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Style w:val="7"/>
          <w:rFonts w:ascii="创艺简标宋" w:eastAsia="创艺简标宋"/>
          <w:sz w:val="44"/>
          <w:szCs w:val="44"/>
        </w:rPr>
      </w:pPr>
      <w:r>
        <w:rPr>
          <w:rFonts w:hint="eastAsia" w:ascii="方正小标宋简体" w:hAnsi="方正小标宋简体" w:eastAsia="方正小标宋简体" w:cs="方正小标宋简体"/>
          <w:bCs/>
          <w:spacing w:val="15"/>
          <w:sz w:val="44"/>
          <w:szCs w:val="44"/>
          <w:lang w:eastAsia="zh-CN"/>
        </w:rPr>
        <w:t>丽水市养老服务指导中心</w:t>
      </w:r>
      <w:r>
        <w:rPr>
          <w:rFonts w:hint="eastAsia" w:ascii="方正小标宋简体" w:hAnsi="方正小标宋简体" w:eastAsia="方正小标宋简体" w:cs="方正小标宋简体"/>
          <w:bCs/>
          <w:spacing w:val="15"/>
          <w:sz w:val="44"/>
          <w:szCs w:val="44"/>
        </w:rPr>
        <w:t>202</w:t>
      </w:r>
      <w:r>
        <w:rPr>
          <w:rFonts w:hint="eastAsia" w:ascii="方正小标宋简体" w:hAnsi="方正小标宋简体" w:eastAsia="方正小标宋简体" w:cs="方正小标宋简体"/>
          <w:bCs/>
          <w:spacing w:val="15"/>
          <w:sz w:val="44"/>
          <w:szCs w:val="44"/>
          <w:lang w:val="en-US" w:eastAsia="zh-CN"/>
        </w:rPr>
        <w:t>2</w:t>
      </w:r>
      <w:r>
        <w:rPr>
          <w:rFonts w:hint="eastAsia" w:ascii="方正小标宋简体" w:hAnsi="方正小标宋简体" w:eastAsia="方正小标宋简体" w:cs="方正小标宋简体"/>
          <w:bCs/>
          <w:spacing w:val="15"/>
          <w:sz w:val="44"/>
          <w:szCs w:val="44"/>
        </w:rPr>
        <w:t>年</w:t>
      </w:r>
      <w:r>
        <w:rPr>
          <w:rFonts w:hint="eastAsia" w:ascii="方正小标宋简体" w:hAnsi="方正小标宋简体" w:eastAsia="方正小标宋简体" w:cs="方正小标宋简体"/>
          <w:bCs/>
          <w:spacing w:val="15"/>
          <w:sz w:val="44"/>
          <w:szCs w:val="44"/>
          <w:lang w:eastAsia="zh-CN"/>
        </w:rPr>
        <w:t>单位</w:t>
      </w:r>
      <w:r>
        <w:rPr>
          <w:rFonts w:hint="eastAsia" w:ascii="方正小标宋简体" w:hAnsi="方正小标宋简体" w:eastAsia="方正小标宋简体" w:cs="方正小标宋简体"/>
          <w:bCs/>
          <w:spacing w:val="15"/>
          <w:sz w:val="44"/>
          <w:szCs w:val="44"/>
        </w:rPr>
        <w:t>预算</w:t>
      </w:r>
    </w:p>
    <w:p>
      <w:pPr>
        <w:snapToGrid w:val="0"/>
        <w:spacing w:line="560" w:lineRule="exact"/>
        <w:ind w:firstLine="4160" w:firstLineChars="1300"/>
        <w:jc w:val="both"/>
        <w:rPr>
          <w:rFonts w:hint="eastAsia" w:ascii="Times New Roman" w:hAnsi="Times New Roman" w:eastAsia="方正小标宋简体" w:cs="Times New Roman"/>
          <w:sz w:val="32"/>
          <w:szCs w:val="32"/>
        </w:rPr>
      </w:pPr>
    </w:p>
    <w:p>
      <w:pPr>
        <w:snapToGrid w:val="0"/>
        <w:spacing w:line="560" w:lineRule="exact"/>
        <w:ind w:firstLine="4160" w:firstLineChars="1300"/>
        <w:jc w:val="both"/>
        <w:rPr>
          <w:rFonts w:hint="eastAsia" w:ascii="Times New Roman" w:hAnsi="Times New Roman" w:eastAsia="方正小标宋简体" w:cs="Times New Roman"/>
          <w:sz w:val="32"/>
          <w:szCs w:val="32"/>
        </w:rPr>
      </w:pPr>
      <w:r>
        <w:rPr>
          <w:rFonts w:hint="eastAsia" w:ascii="Times New Roman" w:hAnsi="Times New Roman" w:eastAsia="方正小标宋简体" w:cs="Times New Roman"/>
          <w:sz w:val="32"/>
          <w:szCs w:val="32"/>
        </w:rPr>
        <w:t>目录</w:t>
      </w:r>
    </w:p>
    <w:p>
      <w:pPr>
        <w:snapToGrid w:val="0"/>
        <w:spacing w:line="560" w:lineRule="exact"/>
        <w:ind w:firstLine="640" w:firstLineChars="200"/>
        <w:jc w:val="center"/>
        <w:rPr>
          <w:rFonts w:hint="eastAsia" w:ascii="Times New Roman" w:hAnsi="Times New Roman" w:eastAsia="方正小标宋简体" w:cs="Times New Roman"/>
          <w:sz w:val="32"/>
          <w:szCs w:val="32"/>
        </w:rPr>
      </w:pPr>
    </w:p>
    <w:p>
      <w:pPr>
        <w:snapToGrid w:val="0"/>
        <w:spacing w:line="560" w:lineRule="exact"/>
        <w:ind w:firstLine="640" w:firstLineChars="200"/>
        <w:jc w:val="left"/>
        <w:rPr>
          <w:rFonts w:hint="eastAsia" w:ascii="Times New Roman" w:hAnsi="Times New Roman" w:eastAsia="方正小标宋简体" w:cs="Times New Roman"/>
          <w:sz w:val="32"/>
          <w:szCs w:val="32"/>
        </w:rPr>
      </w:pPr>
      <w:r>
        <w:rPr>
          <w:rFonts w:hint="eastAsia" w:ascii="Times New Roman" w:hAnsi="Times New Roman" w:eastAsia="方正小标宋简体" w:cs="Times New Roman"/>
          <w:sz w:val="32"/>
          <w:szCs w:val="32"/>
        </w:rPr>
        <w:t>一、单位概况</w:t>
      </w:r>
    </w:p>
    <w:p>
      <w:pPr>
        <w:autoSpaceDE w:val="0"/>
        <w:autoSpaceDN w:val="0"/>
        <w:adjustRightInd w:val="0"/>
        <w:ind w:leftChars="200" w:firstLine="640" w:firstLine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firstLine="640" w:firstLine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（二）单位机构设置情况</w:t>
      </w:r>
    </w:p>
    <w:p>
      <w:pPr>
        <w:snapToGrid w:val="0"/>
        <w:spacing w:line="560" w:lineRule="exact"/>
        <w:ind w:firstLine="640" w:firstLineChars="200"/>
        <w:jc w:val="left"/>
        <w:rPr>
          <w:rFonts w:hint="eastAsia" w:ascii="Times New Roman" w:hAnsi="Times New Roman" w:eastAsia="方正小标宋简体" w:cs="Times New Roman"/>
          <w:sz w:val="32"/>
          <w:szCs w:val="32"/>
        </w:rPr>
      </w:pPr>
      <w:r>
        <w:rPr>
          <w:rFonts w:hint="eastAsia" w:ascii="Times New Roman" w:hAnsi="Times New Roman" w:eastAsia="方正小标宋简体" w:cs="Times New Roman"/>
          <w:sz w:val="32"/>
          <w:szCs w:val="32"/>
        </w:rPr>
        <w:t>二、2022年</w:t>
      </w:r>
      <w:r>
        <w:rPr>
          <w:rFonts w:hint="eastAsia" w:ascii="Times New Roman" w:hAnsi="Times New Roman" w:eastAsia="方正小标宋简体" w:cs="Times New Roman"/>
          <w:sz w:val="32"/>
          <w:szCs w:val="32"/>
          <w:lang w:eastAsia="zh-CN"/>
        </w:rPr>
        <w:t>市养老服务指导中心</w:t>
      </w:r>
      <w:r>
        <w:rPr>
          <w:rFonts w:hint="eastAsia" w:ascii="Times New Roman" w:hAnsi="Times New Roman" w:eastAsia="方正小标宋简体" w:cs="Times New Roman"/>
          <w:sz w:val="32"/>
          <w:szCs w:val="32"/>
        </w:rPr>
        <w:t>单位预算安排情况说明</w:t>
      </w:r>
    </w:p>
    <w:p>
      <w:pPr>
        <w:autoSpaceDE w:val="0"/>
        <w:autoSpaceDN w:val="0"/>
        <w:adjustRightInd w:val="0"/>
        <w:ind w:leftChars="200" w:firstLine="640" w:firstLine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（一）关于</w:t>
      </w:r>
      <w:r>
        <w:rPr>
          <w:rFonts w:hint="eastAsia" w:ascii="楷体_GB2312" w:hAnsi="楷体_GB2312" w:eastAsia="楷体_GB2312" w:cs="楷体_GB2312"/>
          <w:b w:val="0"/>
          <w:bCs/>
          <w:sz w:val="32"/>
          <w:szCs w:val="32"/>
          <w:highlight w:val="none"/>
          <w:lang w:eastAsia="zh-CN"/>
        </w:rPr>
        <w:t>市养老服务指导中心</w:t>
      </w:r>
      <w:r>
        <w:rPr>
          <w:rFonts w:hint="eastAsia" w:ascii="楷体_GB2312" w:hAnsi="楷体_GB2312" w:eastAsia="楷体_GB2312" w:cs="楷体_GB2312"/>
          <w:b w:val="0"/>
          <w:bCs/>
          <w:sz w:val="32"/>
          <w:szCs w:val="32"/>
          <w:highlight w:val="none"/>
        </w:rPr>
        <w:t>2022年收支预算情况的总体说明</w:t>
      </w:r>
    </w:p>
    <w:p>
      <w:pPr>
        <w:autoSpaceDE w:val="0"/>
        <w:autoSpaceDN w:val="0"/>
        <w:adjustRightInd w:val="0"/>
        <w:ind w:leftChars="200" w:firstLine="640" w:firstLine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（二）关于</w:t>
      </w:r>
      <w:r>
        <w:rPr>
          <w:rFonts w:hint="eastAsia" w:ascii="楷体_GB2312" w:hAnsi="楷体_GB2312" w:eastAsia="楷体_GB2312" w:cs="楷体_GB2312"/>
          <w:b w:val="0"/>
          <w:bCs/>
          <w:sz w:val="32"/>
          <w:szCs w:val="32"/>
          <w:highlight w:val="none"/>
          <w:lang w:eastAsia="zh-CN"/>
        </w:rPr>
        <w:t>市养老服务指导中心</w:t>
      </w:r>
      <w:r>
        <w:rPr>
          <w:rFonts w:hint="eastAsia" w:ascii="楷体_GB2312" w:hAnsi="楷体_GB2312" w:eastAsia="楷体_GB2312" w:cs="楷体_GB2312"/>
          <w:b w:val="0"/>
          <w:bCs/>
          <w:sz w:val="32"/>
          <w:szCs w:val="32"/>
          <w:highlight w:val="none"/>
        </w:rPr>
        <w:t>2022年收入预算情况说明</w:t>
      </w:r>
    </w:p>
    <w:p>
      <w:pPr>
        <w:autoSpaceDE w:val="0"/>
        <w:autoSpaceDN w:val="0"/>
        <w:adjustRightInd w:val="0"/>
        <w:ind w:leftChars="200" w:firstLine="640" w:firstLine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（三）关于</w:t>
      </w:r>
      <w:r>
        <w:rPr>
          <w:rFonts w:hint="eastAsia" w:ascii="楷体_GB2312" w:hAnsi="楷体_GB2312" w:eastAsia="楷体_GB2312" w:cs="楷体_GB2312"/>
          <w:b w:val="0"/>
          <w:bCs/>
          <w:sz w:val="32"/>
          <w:szCs w:val="32"/>
          <w:highlight w:val="none"/>
          <w:lang w:eastAsia="zh-CN"/>
        </w:rPr>
        <w:t>市养老服务指导中心</w:t>
      </w:r>
      <w:r>
        <w:rPr>
          <w:rFonts w:hint="eastAsia" w:ascii="楷体_GB2312" w:hAnsi="楷体_GB2312" w:eastAsia="楷体_GB2312" w:cs="楷体_GB2312"/>
          <w:b w:val="0"/>
          <w:bCs/>
          <w:sz w:val="32"/>
          <w:szCs w:val="32"/>
          <w:highlight w:val="none"/>
        </w:rPr>
        <w:t>2022年支出预算情况说明</w:t>
      </w:r>
    </w:p>
    <w:p>
      <w:pPr>
        <w:autoSpaceDE w:val="0"/>
        <w:autoSpaceDN w:val="0"/>
        <w:adjustRightInd w:val="0"/>
        <w:ind w:leftChars="200" w:firstLine="640" w:firstLine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（四）关于</w:t>
      </w:r>
      <w:r>
        <w:rPr>
          <w:rFonts w:hint="eastAsia" w:ascii="楷体_GB2312" w:hAnsi="楷体_GB2312" w:eastAsia="楷体_GB2312" w:cs="楷体_GB2312"/>
          <w:b w:val="0"/>
          <w:bCs/>
          <w:sz w:val="32"/>
          <w:szCs w:val="32"/>
          <w:highlight w:val="none"/>
          <w:lang w:eastAsia="zh-CN"/>
        </w:rPr>
        <w:t>市养老服务指导中心</w:t>
      </w:r>
      <w:r>
        <w:rPr>
          <w:rFonts w:hint="eastAsia" w:ascii="楷体_GB2312" w:hAnsi="楷体_GB2312" w:eastAsia="楷体_GB2312" w:cs="楷体_GB2312"/>
          <w:b w:val="0"/>
          <w:bCs/>
          <w:sz w:val="32"/>
          <w:szCs w:val="32"/>
          <w:highlight w:val="none"/>
        </w:rPr>
        <w:t>2022年财政拨款收支预算情况的总体说明</w:t>
      </w:r>
    </w:p>
    <w:p>
      <w:pPr>
        <w:autoSpaceDE w:val="0"/>
        <w:autoSpaceDN w:val="0"/>
        <w:adjustRightInd w:val="0"/>
        <w:ind w:leftChars="200" w:firstLine="640" w:firstLine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（五）关于</w:t>
      </w:r>
      <w:r>
        <w:rPr>
          <w:rFonts w:hint="eastAsia" w:ascii="楷体_GB2312" w:hAnsi="楷体_GB2312" w:eastAsia="楷体_GB2312" w:cs="楷体_GB2312"/>
          <w:b w:val="0"/>
          <w:bCs/>
          <w:sz w:val="32"/>
          <w:szCs w:val="32"/>
          <w:highlight w:val="none"/>
          <w:lang w:eastAsia="zh-CN"/>
        </w:rPr>
        <w:t>市养老服务指导中心</w:t>
      </w:r>
      <w:r>
        <w:rPr>
          <w:rFonts w:hint="eastAsia" w:ascii="楷体_GB2312" w:hAnsi="楷体_GB2312" w:eastAsia="楷体_GB2312" w:cs="楷体_GB2312"/>
          <w:b w:val="0"/>
          <w:bCs/>
          <w:sz w:val="32"/>
          <w:szCs w:val="32"/>
          <w:highlight w:val="none"/>
        </w:rPr>
        <w:t>2022年一般公共预算当年拨款情况说明</w:t>
      </w:r>
    </w:p>
    <w:p>
      <w:pPr>
        <w:autoSpaceDE w:val="0"/>
        <w:autoSpaceDN w:val="0"/>
        <w:adjustRightInd w:val="0"/>
        <w:ind w:leftChars="200" w:firstLine="640" w:firstLine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（六）关于</w:t>
      </w:r>
      <w:r>
        <w:rPr>
          <w:rFonts w:hint="eastAsia" w:ascii="楷体_GB2312" w:hAnsi="楷体_GB2312" w:eastAsia="楷体_GB2312" w:cs="楷体_GB2312"/>
          <w:b w:val="0"/>
          <w:bCs/>
          <w:sz w:val="32"/>
          <w:szCs w:val="32"/>
          <w:highlight w:val="none"/>
          <w:lang w:eastAsia="zh-CN"/>
        </w:rPr>
        <w:t>市养老服务指导中心</w:t>
      </w:r>
      <w:r>
        <w:rPr>
          <w:rFonts w:hint="eastAsia" w:ascii="楷体_GB2312" w:hAnsi="楷体_GB2312" w:eastAsia="楷体_GB2312" w:cs="楷体_GB2312"/>
          <w:b w:val="0"/>
          <w:bCs/>
          <w:sz w:val="32"/>
          <w:szCs w:val="32"/>
          <w:highlight w:val="none"/>
        </w:rPr>
        <w:t>2022年一般公共预算基本支出情况说明</w:t>
      </w:r>
    </w:p>
    <w:p>
      <w:pPr>
        <w:autoSpaceDE w:val="0"/>
        <w:autoSpaceDN w:val="0"/>
        <w:adjustRightInd w:val="0"/>
        <w:ind w:leftChars="200" w:firstLine="640" w:firstLine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（七）关于</w:t>
      </w:r>
      <w:r>
        <w:rPr>
          <w:rFonts w:hint="eastAsia" w:ascii="楷体_GB2312" w:hAnsi="楷体_GB2312" w:eastAsia="楷体_GB2312" w:cs="楷体_GB2312"/>
          <w:b w:val="0"/>
          <w:bCs/>
          <w:sz w:val="32"/>
          <w:szCs w:val="32"/>
          <w:highlight w:val="none"/>
          <w:lang w:eastAsia="zh-CN"/>
        </w:rPr>
        <w:t>市养老服务指导中心</w:t>
      </w:r>
      <w:r>
        <w:rPr>
          <w:rFonts w:hint="eastAsia" w:ascii="楷体_GB2312" w:hAnsi="楷体_GB2312" w:eastAsia="楷体_GB2312" w:cs="楷体_GB2312"/>
          <w:b w:val="0"/>
          <w:bCs/>
          <w:sz w:val="32"/>
          <w:szCs w:val="32"/>
          <w:highlight w:val="none"/>
        </w:rPr>
        <w:t>2022年政府性基金预算支出情况说明</w:t>
      </w:r>
    </w:p>
    <w:p>
      <w:pPr>
        <w:autoSpaceDE w:val="0"/>
        <w:autoSpaceDN w:val="0"/>
        <w:adjustRightInd w:val="0"/>
        <w:ind w:leftChars="200" w:firstLine="640" w:firstLine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（八）关于</w:t>
      </w:r>
      <w:r>
        <w:rPr>
          <w:rFonts w:hint="eastAsia" w:ascii="楷体_GB2312" w:hAnsi="楷体_GB2312" w:eastAsia="楷体_GB2312" w:cs="楷体_GB2312"/>
          <w:b w:val="0"/>
          <w:bCs/>
          <w:sz w:val="32"/>
          <w:szCs w:val="32"/>
          <w:highlight w:val="none"/>
          <w:lang w:eastAsia="zh-CN"/>
        </w:rPr>
        <w:t>市养老服务指导中心</w:t>
      </w:r>
      <w:r>
        <w:rPr>
          <w:rFonts w:hint="eastAsia" w:ascii="楷体_GB2312" w:hAnsi="楷体_GB2312" w:eastAsia="楷体_GB2312" w:cs="楷体_GB2312"/>
          <w:b w:val="0"/>
          <w:bCs/>
          <w:sz w:val="32"/>
          <w:szCs w:val="32"/>
          <w:highlight w:val="none"/>
        </w:rPr>
        <w:t>2022年国有资本经营预算支出情况说明</w:t>
      </w:r>
    </w:p>
    <w:p>
      <w:pPr>
        <w:autoSpaceDE w:val="0"/>
        <w:autoSpaceDN w:val="0"/>
        <w:adjustRightInd w:val="0"/>
        <w:ind w:leftChars="200" w:firstLine="640" w:firstLine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（九）关于</w:t>
      </w:r>
      <w:r>
        <w:rPr>
          <w:rFonts w:hint="eastAsia" w:ascii="楷体_GB2312" w:hAnsi="楷体_GB2312" w:eastAsia="楷体_GB2312" w:cs="楷体_GB2312"/>
          <w:b w:val="0"/>
          <w:bCs/>
          <w:sz w:val="32"/>
          <w:szCs w:val="32"/>
          <w:highlight w:val="none"/>
          <w:lang w:eastAsia="zh-CN"/>
        </w:rPr>
        <w:t>市养老服务指导中心</w:t>
      </w:r>
      <w:r>
        <w:rPr>
          <w:rFonts w:hint="eastAsia" w:ascii="楷体_GB2312" w:hAnsi="楷体_GB2312" w:eastAsia="楷体_GB2312" w:cs="楷体_GB2312"/>
          <w:b w:val="0"/>
          <w:bCs/>
          <w:sz w:val="32"/>
          <w:szCs w:val="32"/>
          <w:highlight w:val="none"/>
        </w:rPr>
        <w:t>2022年一般公共预算“三公”经费预算况说明</w:t>
      </w:r>
    </w:p>
    <w:p>
      <w:pPr>
        <w:autoSpaceDE w:val="0"/>
        <w:autoSpaceDN w:val="0"/>
        <w:adjustRightInd w:val="0"/>
        <w:ind w:leftChars="200" w:firstLine="640" w:firstLine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（十）其他重要事项的情况说明</w:t>
      </w:r>
    </w:p>
    <w:p>
      <w:pPr>
        <w:pStyle w:val="11"/>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Style w:val="7"/>
          <w:rFonts w:hint="eastAsia" w:ascii="黑体" w:hAnsi="Calibri" w:eastAsia="黑体" w:cs="Times New Roman"/>
          <w:b w:val="0"/>
          <w:color w:val="000000"/>
          <w:kern w:val="2"/>
          <w:sz w:val="32"/>
          <w:szCs w:val="32"/>
          <w:highlight w:val="none"/>
          <w:lang w:val="en-US" w:eastAsia="zh-CN" w:bidi="ar-SA"/>
        </w:rPr>
      </w:pPr>
      <w:r>
        <w:rPr>
          <w:rStyle w:val="7"/>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四、</w:t>
      </w:r>
      <w:r>
        <w:rPr>
          <w:rStyle w:val="7"/>
          <w:rFonts w:hint="eastAsia" w:ascii="黑体" w:eastAsia="黑体"/>
          <w:b w:val="0"/>
          <w:color w:val="000000"/>
          <w:sz w:val="32"/>
          <w:szCs w:val="32"/>
          <w:highlight w:val="none"/>
          <w:lang w:val="en-US" w:eastAsia="zh-CN"/>
        </w:rPr>
        <w:t>2022</w:t>
      </w:r>
      <w:r>
        <w:rPr>
          <w:rStyle w:val="7"/>
          <w:rFonts w:hint="eastAsia" w:ascii="黑体" w:eastAsia="黑体"/>
          <w:b w:val="0"/>
          <w:color w:val="000000"/>
          <w:sz w:val="32"/>
          <w:szCs w:val="32"/>
          <w:highlight w:val="none"/>
        </w:rPr>
        <w:t>年</w:t>
      </w:r>
      <w:r>
        <w:rPr>
          <w:rStyle w:val="7"/>
          <w:rFonts w:hint="eastAsia" w:ascii="黑体" w:eastAsia="黑体"/>
          <w:b w:val="0"/>
          <w:color w:val="000000"/>
          <w:sz w:val="32"/>
          <w:szCs w:val="32"/>
          <w:highlight w:val="none"/>
          <w:lang w:eastAsia="zh-CN"/>
        </w:rPr>
        <w:t>丽水市养老服务指导中心单位预算表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val="en" w:eastAsia="zh-CN"/>
        </w:rPr>
        <w:t>单位</w:t>
      </w:r>
      <w:r>
        <w:rPr>
          <w:rFonts w:hint="eastAsia" w:ascii="楷体_GB2312" w:hAnsi="楷体_GB2312" w:eastAsia="楷体_GB2312" w:cs="楷体_GB2312"/>
          <w:b w:val="0"/>
          <w:bCs/>
          <w:sz w:val="32"/>
          <w:szCs w:val="32"/>
          <w:highlight w:val="none"/>
          <w:lang w:val="en-US" w:eastAsia="zh-CN"/>
        </w:rPr>
        <w:t>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val="en" w:eastAsia="zh-CN"/>
        </w:rPr>
        <w:t>单位</w:t>
      </w:r>
      <w:r>
        <w:rPr>
          <w:rFonts w:hint="eastAsia" w:ascii="楷体_GB2312" w:hAnsi="楷体_GB2312" w:eastAsia="楷体_GB2312" w:cs="楷体_GB2312"/>
          <w:b w:val="0"/>
          <w:bCs/>
          <w:sz w:val="32"/>
          <w:szCs w:val="32"/>
          <w:highlight w:val="none"/>
          <w:lang w:val="en-US" w:eastAsia="zh-CN"/>
        </w:rPr>
        <w:t>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val="en" w:eastAsia="zh-CN"/>
        </w:rPr>
        <w:t>单位</w:t>
      </w:r>
      <w:r>
        <w:rPr>
          <w:rFonts w:hint="eastAsia" w:ascii="楷体_GB2312" w:hAnsi="楷体_GB2312" w:eastAsia="楷体_GB2312" w:cs="楷体_GB2312"/>
          <w:b w:val="0"/>
          <w:bCs/>
          <w:sz w:val="32"/>
          <w:szCs w:val="32"/>
          <w:highlight w:val="none"/>
          <w:lang w:val="en-US" w:eastAsia="zh-CN"/>
        </w:rPr>
        <w:t>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val="en" w:eastAsia="zh-CN"/>
        </w:rPr>
        <w:t>单位</w:t>
      </w:r>
      <w:r>
        <w:rPr>
          <w:rFonts w:hint="eastAsia" w:ascii="楷体_GB2312" w:hAnsi="楷体_GB2312" w:eastAsia="楷体_GB2312" w:cs="楷体_GB2312"/>
          <w:b w:val="0"/>
          <w:bCs/>
          <w:sz w:val="32"/>
          <w:szCs w:val="32"/>
          <w:highlight w:val="none"/>
          <w:lang w:val="en-US" w:eastAsia="zh-CN"/>
        </w:rPr>
        <w:t>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val="en" w:eastAsia="zh-CN"/>
        </w:rPr>
        <w:t>单位</w:t>
      </w:r>
      <w:r>
        <w:rPr>
          <w:rFonts w:hint="eastAsia" w:ascii="楷体_GB2312" w:hAnsi="楷体_GB2312" w:eastAsia="楷体_GB2312" w:cs="楷体_GB2312"/>
          <w:b w:val="0"/>
          <w:bCs/>
          <w:sz w:val="32"/>
          <w:szCs w:val="32"/>
          <w:highlight w:val="none"/>
          <w:lang w:val="en-US" w:eastAsia="zh-CN"/>
        </w:rPr>
        <w:t>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val="en" w:eastAsia="zh-CN"/>
        </w:rPr>
        <w:t>单位</w:t>
      </w:r>
      <w:r>
        <w:rPr>
          <w:rFonts w:hint="eastAsia" w:ascii="楷体_GB2312" w:hAnsi="楷体_GB2312" w:eastAsia="楷体_GB2312" w:cs="楷体_GB2312"/>
          <w:b w:val="0"/>
          <w:bCs/>
          <w:sz w:val="32"/>
          <w:szCs w:val="32"/>
          <w:highlight w:val="none"/>
          <w:lang w:val="en-US" w:eastAsia="zh-CN"/>
        </w:rPr>
        <w:t>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val="en" w:eastAsia="zh-CN"/>
        </w:rPr>
        <w:t>单位</w:t>
      </w:r>
      <w:r>
        <w:rPr>
          <w:rFonts w:hint="eastAsia" w:ascii="楷体_GB2312" w:hAnsi="楷体_GB2312" w:eastAsia="楷体_GB2312" w:cs="楷体_GB2312"/>
          <w:b w:val="0"/>
          <w:bCs/>
          <w:sz w:val="32"/>
          <w:szCs w:val="32"/>
          <w:highlight w:val="none"/>
          <w:lang w:val="en-US" w:eastAsia="zh-CN"/>
        </w:rPr>
        <w:t>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val="en" w:eastAsia="zh-CN"/>
        </w:rPr>
        <w:t>单位</w:t>
      </w:r>
      <w:r>
        <w:rPr>
          <w:rFonts w:hint="eastAsia" w:ascii="楷体_GB2312" w:hAnsi="楷体_GB2312" w:eastAsia="楷体_GB2312" w:cs="楷体_GB2312"/>
          <w:b w:val="0"/>
          <w:bCs/>
          <w:sz w:val="32"/>
          <w:szCs w:val="32"/>
          <w:highlight w:val="none"/>
          <w:lang w:val="en-US" w:eastAsia="zh-CN"/>
        </w:rPr>
        <w:t>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val="en" w:eastAsia="zh-CN"/>
        </w:rPr>
        <w:t>单位</w:t>
      </w:r>
      <w:r>
        <w:rPr>
          <w:rFonts w:hint="eastAsia" w:ascii="楷体_GB2312" w:hAnsi="楷体_GB2312" w:eastAsia="楷体_GB2312" w:cs="楷体_GB2312"/>
          <w:b w:val="0"/>
          <w:bCs/>
          <w:sz w:val="32"/>
          <w:szCs w:val="32"/>
          <w:highlight w:val="none"/>
          <w:lang w:val="en-US" w:eastAsia="zh-CN"/>
        </w:rPr>
        <w:t>国有资本经营预算支出表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val="en" w:eastAsia="zh-CN"/>
        </w:rPr>
        <w:t>单位</w:t>
      </w:r>
      <w:r>
        <w:rPr>
          <w:rFonts w:hint="eastAsia" w:ascii="楷体_GB2312" w:hAnsi="楷体_GB2312" w:eastAsia="楷体_GB2312" w:cs="楷体_GB2312"/>
          <w:b w:val="0"/>
          <w:bCs/>
          <w:sz w:val="32"/>
          <w:szCs w:val="32"/>
          <w:highlight w:val="none"/>
          <w:lang w:val="en-US" w:eastAsia="zh-CN"/>
        </w:rPr>
        <w:t>项目支出预算表</w:t>
      </w:r>
    </w:p>
    <w:p>
      <w:pPr>
        <w:pStyle w:val="2"/>
        <w:rPr>
          <w:rFonts w:hint="eastAsia" w:ascii="楷体_GB2312" w:hAnsi="楷体_GB2312" w:eastAsia="楷体_GB2312" w:cs="楷体_GB2312"/>
          <w:b w:val="0"/>
          <w:bCs/>
          <w:sz w:val="32"/>
          <w:szCs w:val="32"/>
          <w:highlight w:val="none"/>
          <w:lang w:val="en-US" w:eastAsia="zh-CN"/>
        </w:rPr>
      </w:pPr>
    </w:p>
    <w:p>
      <w:pPr>
        <w:pStyle w:val="2"/>
        <w:rPr>
          <w:rFonts w:hint="eastAsia" w:ascii="楷体_GB2312" w:hAnsi="楷体_GB2312" w:eastAsia="楷体_GB2312" w:cs="楷体_GB2312"/>
          <w:b w:val="0"/>
          <w:bCs/>
          <w:sz w:val="32"/>
          <w:szCs w:val="32"/>
          <w:highlight w:val="none"/>
          <w:lang w:val="en-US" w:eastAsia="zh-CN"/>
        </w:rPr>
      </w:pPr>
    </w:p>
    <w:p>
      <w:pPr>
        <w:pStyle w:val="2"/>
        <w:rPr>
          <w:rFonts w:hint="eastAsia" w:ascii="楷体_GB2312" w:hAnsi="楷体_GB2312" w:eastAsia="楷体_GB2312" w:cs="楷体_GB2312"/>
          <w:b w:val="0"/>
          <w:bCs/>
          <w:sz w:val="32"/>
          <w:szCs w:val="32"/>
          <w:highlight w:val="none"/>
          <w:lang w:val="en-US" w:eastAsia="zh-CN"/>
        </w:rPr>
      </w:pPr>
    </w:p>
    <w:p>
      <w:pPr>
        <w:pStyle w:val="2"/>
        <w:rPr>
          <w:rFonts w:hint="eastAsia" w:ascii="楷体_GB2312" w:hAnsi="楷体_GB2312" w:eastAsia="楷体_GB2312" w:cs="楷体_GB2312"/>
          <w:b w:val="0"/>
          <w:bCs/>
          <w:sz w:val="32"/>
          <w:szCs w:val="32"/>
          <w:highlight w:val="none"/>
          <w:lang w:val="en-US" w:eastAsia="zh-CN"/>
        </w:rPr>
      </w:pPr>
    </w:p>
    <w:p>
      <w:pPr>
        <w:pStyle w:val="2"/>
        <w:rPr>
          <w:rFonts w:hint="eastAsia" w:ascii="楷体_GB2312" w:hAnsi="楷体_GB2312" w:eastAsia="楷体_GB2312" w:cs="楷体_GB2312"/>
          <w:b w:val="0"/>
          <w:bCs/>
          <w:sz w:val="32"/>
          <w:szCs w:val="32"/>
          <w:highlight w:val="none"/>
          <w:lang w:val="en-US" w:eastAsia="zh-CN"/>
        </w:rPr>
      </w:pPr>
    </w:p>
    <w:p>
      <w:pPr>
        <w:pStyle w:val="2"/>
        <w:rPr>
          <w:rFonts w:hint="eastAsia" w:ascii="楷体_GB2312" w:hAnsi="楷体_GB2312" w:eastAsia="楷体_GB2312" w:cs="楷体_GB2312"/>
          <w:b w:val="0"/>
          <w:bCs/>
          <w:sz w:val="32"/>
          <w:szCs w:val="32"/>
          <w:highlight w:val="none"/>
          <w:lang w:val="en-US" w:eastAsia="zh-CN"/>
        </w:rPr>
      </w:pPr>
    </w:p>
    <w:p>
      <w:pPr>
        <w:pStyle w:val="2"/>
        <w:rPr>
          <w:rFonts w:hint="default" w:ascii="楷体_GB2312" w:hAnsi="楷体_GB2312" w:eastAsia="楷体_GB2312" w:cs="楷体_GB2312"/>
          <w:b w:val="0"/>
          <w:bCs/>
          <w:sz w:val="32"/>
          <w:szCs w:val="32"/>
          <w:highlight w:val="none"/>
          <w:lang w:val="en-US" w:eastAsia="zh-CN"/>
        </w:rPr>
      </w:pPr>
    </w:p>
    <w:p>
      <w:pPr>
        <w:pStyle w:val="2"/>
        <w:rPr>
          <w:rFonts w:hint="eastAsia"/>
        </w:rPr>
      </w:pPr>
    </w:p>
    <w:p>
      <w:pPr>
        <w:snapToGrid w:val="0"/>
        <w:spacing w:line="560" w:lineRule="exact"/>
        <w:jc w:val="left"/>
        <w:rPr>
          <w:rFonts w:ascii="Times New Roman" w:hAnsi="Times New Roman" w:eastAsia="方正小标宋简体" w:cs="Times New Roman"/>
          <w:sz w:val="32"/>
          <w:szCs w:val="32"/>
        </w:rPr>
      </w:pPr>
    </w:p>
    <w:p>
      <w:pPr>
        <w:numPr>
          <w:ilvl w:val="0"/>
          <w:numId w:val="1"/>
        </w:numPr>
        <w:spacing w:line="560" w:lineRule="exact"/>
        <w:rPr>
          <w:rFonts w:ascii="黑体" w:hAnsi="黑体" w:eastAsia="黑体" w:cs="黑体"/>
          <w:b/>
          <w:bCs/>
          <w:sz w:val="32"/>
          <w:szCs w:val="32"/>
        </w:rPr>
      </w:pPr>
      <w:r>
        <w:rPr>
          <w:rFonts w:hint="eastAsia" w:ascii="黑体" w:hAnsi="黑体" w:eastAsia="黑体" w:cs="黑体"/>
          <w:b/>
          <w:bCs/>
          <w:sz w:val="32"/>
          <w:szCs w:val="32"/>
        </w:rPr>
        <w:t>丽水市</w:t>
      </w:r>
      <w:r>
        <w:rPr>
          <w:rFonts w:hint="eastAsia" w:ascii="黑体" w:hAnsi="黑体" w:eastAsia="黑体" w:cs="黑体"/>
          <w:b/>
          <w:bCs/>
          <w:sz w:val="32"/>
          <w:szCs w:val="32"/>
          <w:lang w:eastAsia="zh-CN"/>
        </w:rPr>
        <w:t>养老服务指导中心</w:t>
      </w:r>
      <w:r>
        <w:rPr>
          <w:rFonts w:hint="eastAsia" w:ascii="黑体" w:hAnsi="黑体" w:eastAsia="黑体" w:cs="黑体"/>
          <w:b/>
          <w:bCs/>
          <w:sz w:val="32"/>
          <w:szCs w:val="32"/>
        </w:rPr>
        <w:t>概况</w:t>
      </w:r>
    </w:p>
    <w:p>
      <w:pPr>
        <w:numPr>
          <w:ilvl w:val="0"/>
          <w:numId w:val="2"/>
        </w:numPr>
        <w:spacing w:line="560" w:lineRule="exact"/>
        <w:rPr>
          <w:rFonts w:ascii="楷体_GB2312" w:hAnsi="楷体_GB2312" w:eastAsia="楷体_GB2312" w:cs="楷体_GB2312"/>
          <w:sz w:val="32"/>
          <w:szCs w:val="32"/>
        </w:rPr>
      </w:pPr>
      <w:r>
        <w:rPr>
          <w:rFonts w:hint="eastAsia" w:ascii="楷体_GB2312" w:hAnsi="楷体_GB2312" w:eastAsia="楷体_GB2312" w:cs="楷体_GB2312"/>
          <w:sz w:val="32"/>
          <w:szCs w:val="32"/>
        </w:rPr>
        <w:t>主要职能</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eastAsia="zh-CN"/>
        </w:rPr>
        <w:t>负责全市各类养老机构的业务指导、行业监管与人员培训，配合开展养老服务各项评估、审核及检查等工作。集中就业残疾人权益保护指导全市残疾人权益保护，残疾人福利相关政策宣传，残疾人就业培</w:t>
      </w:r>
      <w:r>
        <w:rPr>
          <w:rFonts w:hint="eastAsia" w:ascii="仿宋_GB2312" w:hAnsi="宋体" w:eastAsia="仿宋_GB2312" w:cs="宋体"/>
          <w:color w:val="000000"/>
          <w:kern w:val="0"/>
          <w:sz w:val="32"/>
          <w:szCs w:val="32"/>
          <w:lang w:val="en-US" w:eastAsia="zh-CN"/>
        </w:rPr>
        <w:t xml:space="preserve"> </w:t>
      </w:r>
      <w:r>
        <w:rPr>
          <w:rFonts w:hint="eastAsia" w:ascii="仿宋_GB2312" w:hAnsi="宋体" w:eastAsia="仿宋_GB2312" w:cs="宋体"/>
          <w:color w:val="000000"/>
          <w:kern w:val="0"/>
          <w:sz w:val="32"/>
          <w:szCs w:val="32"/>
          <w:lang w:eastAsia="zh-CN"/>
        </w:rPr>
        <w:t>训和调查研究。</w:t>
      </w:r>
    </w:p>
    <w:p>
      <w:pPr>
        <w:numPr>
          <w:ilvl w:val="0"/>
          <w:numId w:val="2"/>
        </w:numPr>
        <w:spacing w:line="560" w:lineRule="exact"/>
        <w:rPr>
          <w:rFonts w:ascii="楷体_GB2312" w:hAnsi="楷体_GB2312" w:eastAsia="楷体_GB2312" w:cs="楷体_GB2312"/>
          <w:sz w:val="32"/>
          <w:szCs w:val="32"/>
        </w:rPr>
      </w:pPr>
      <w:r>
        <w:rPr>
          <w:rFonts w:hint="eastAsia" w:ascii="楷体_GB2312" w:hAnsi="楷体_GB2312" w:eastAsia="楷体_GB2312" w:cs="楷体_GB2312"/>
          <w:sz w:val="32"/>
          <w:szCs w:val="32"/>
        </w:rPr>
        <w:t>预算单位构成</w:t>
      </w:r>
    </w:p>
    <w:p>
      <w:pPr>
        <w:numPr>
          <w:numId w:val="0"/>
        </w:numPr>
        <w:spacing w:line="560" w:lineRule="exact"/>
        <w:ind w:firstLine="640" w:firstLineChars="200"/>
        <w:rPr>
          <w:rFonts w:ascii="黑体" w:hAnsi="黑体" w:eastAsia="黑体" w:cs="黑体"/>
          <w:b/>
          <w:bCs/>
          <w:sz w:val="32"/>
          <w:szCs w:val="32"/>
        </w:rPr>
      </w:pPr>
      <w:r>
        <w:rPr>
          <w:rFonts w:hint="eastAsia" w:ascii="楷体" w:hAnsi="楷体" w:eastAsia="楷体" w:cs="楷体"/>
          <w:sz w:val="32"/>
          <w:szCs w:val="32"/>
        </w:rPr>
        <w:t>2021年末机构数为1个，为全额拨款事业单位。内设科室</w:t>
      </w:r>
      <w:r>
        <w:rPr>
          <w:rFonts w:hint="eastAsia" w:ascii="楷体" w:hAnsi="楷体" w:eastAsia="楷体" w:cs="楷体"/>
          <w:sz w:val="32"/>
          <w:szCs w:val="32"/>
          <w:lang w:val="en-US" w:eastAsia="zh-CN"/>
        </w:rPr>
        <w:t>2</w:t>
      </w:r>
      <w:r>
        <w:rPr>
          <w:rFonts w:hint="eastAsia" w:ascii="楷体" w:hAnsi="楷体" w:eastAsia="楷体" w:cs="楷体"/>
          <w:sz w:val="32"/>
          <w:szCs w:val="32"/>
        </w:rPr>
        <w:t>个，为业务科和办公室。</w:t>
      </w:r>
    </w:p>
    <w:p>
      <w:pPr>
        <w:numPr>
          <w:ilvl w:val="0"/>
          <w:numId w:val="1"/>
        </w:numPr>
        <w:spacing w:line="560" w:lineRule="exact"/>
        <w:rPr>
          <w:rFonts w:ascii="黑体" w:hAnsi="黑体" w:eastAsia="黑体" w:cs="黑体"/>
          <w:b/>
          <w:bCs/>
          <w:sz w:val="32"/>
          <w:szCs w:val="32"/>
        </w:rPr>
      </w:pPr>
      <w:r>
        <w:rPr>
          <w:rFonts w:hint="eastAsia" w:ascii="黑体" w:hAnsi="黑体" w:eastAsia="黑体" w:cs="黑体"/>
          <w:b/>
          <w:bCs/>
          <w:sz w:val="32"/>
          <w:szCs w:val="32"/>
        </w:rPr>
        <w:t>丽水市</w:t>
      </w:r>
      <w:r>
        <w:rPr>
          <w:rFonts w:hint="eastAsia" w:ascii="黑体" w:hAnsi="黑体" w:eastAsia="黑体" w:cs="黑体"/>
          <w:b/>
          <w:bCs/>
          <w:sz w:val="32"/>
          <w:szCs w:val="32"/>
          <w:lang w:eastAsia="zh-CN"/>
        </w:rPr>
        <w:t>养老服务指导中心</w:t>
      </w:r>
      <w:r>
        <w:rPr>
          <w:rFonts w:hint="eastAsia" w:ascii="黑体" w:hAnsi="黑体" w:eastAsia="黑体" w:cs="黑体"/>
          <w:b/>
          <w:bCs/>
          <w:sz w:val="32"/>
          <w:szCs w:val="32"/>
        </w:rPr>
        <w:t>202</w:t>
      </w:r>
      <w:r>
        <w:rPr>
          <w:rFonts w:hint="eastAsia" w:ascii="黑体" w:hAnsi="黑体" w:eastAsia="黑体" w:cs="黑体"/>
          <w:b/>
          <w:bCs/>
          <w:sz w:val="32"/>
          <w:szCs w:val="32"/>
          <w:lang w:val="en-US" w:eastAsia="zh-CN"/>
        </w:rPr>
        <w:t>1</w:t>
      </w:r>
      <w:r>
        <w:rPr>
          <w:rFonts w:hint="eastAsia" w:ascii="黑体" w:hAnsi="黑体" w:eastAsia="黑体" w:cs="黑体"/>
          <w:b/>
          <w:bCs/>
          <w:sz w:val="32"/>
          <w:szCs w:val="32"/>
        </w:rPr>
        <w:t>年部门预算安排情况说明</w:t>
      </w:r>
    </w:p>
    <w:p>
      <w:pPr>
        <w:numPr>
          <w:ilvl w:val="0"/>
          <w:numId w:val="3"/>
        </w:numPr>
        <w:spacing w:line="560" w:lineRule="exact"/>
        <w:rPr>
          <w:rFonts w:ascii="楷体_GB2312" w:hAnsi="楷体_GB2312" w:eastAsia="楷体_GB2312" w:cs="楷体_GB2312"/>
          <w:sz w:val="32"/>
          <w:szCs w:val="32"/>
        </w:rPr>
      </w:pPr>
      <w:r>
        <w:rPr>
          <w:rFonts w:hint="eastAsia" w:ascii="楷体_GB2312" w:hAnsi="楷体_GB2312" w:eastAsia="楷体_GB2312" w:cs="楷体_GB2312"/>
          <w:sz w:val="32"/>
          <w:szCs w:val="32"/>
        </w:rPr>
        <w:t>关于丽水市</w:t>
      </w:r>
      <w:r>
        <w:rPr>
          <w:rFonts w:hint="eastAsia" w:ascii="楷体_GB2312" w:hAnsi="楷体_GB2312" w:eastAsia="楷体_GB2312" w:cs="楷体_GB2312"/>
          <w:sz w:val="32"/>
          <w:szCs w:val="32"/>
          <w:lang w:eastAsia="zh-CN"/>
        </w:rPr>
        <w:t>养老服务指导中心</w:t>
      </w:r>
      <w:r>
        <w:rPr>
          <w:rFonts w:hint="eastAsia" w:ascii="楷体_GB2312" w:hAnsi="楷体_GB2312" w:eastAsia="楷体_GB2312" w:cs="楷体_GB2312"/>
          <w:sz w:val="32"/>
          <w:szCs w:val="32"/>
        </w:rPr>
        <w:t>202</w:t>
      </w: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rPr>
        <w:t>年收支预算情况的总体说明</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丽水市</w:t>
      </w:r>
      <w:r>
        <w:rPr>
          <w:rFonts w:hint="eastAsia" w:ascii="仿宋_GB2312" w:hAnsi="宋体" w:eastAsia="仿宋_GB2312" w:cs="宋体"/>
          <w:color w:val="000000"/>
          <w:kern w:val="0"/>
          <w:sz w:val="32"/>
          <w:szCs w:val="32"/>
          <w:lang w:eastAsia="zh-CN"/>
        </w:rPr>
        <w:t>养老服务指导中心预算</w:t>
      </w:r>
      <w:r>
        <w:rPr>
          <w:rFonts w:hint="eastAsia" w:ascii="仿宋_GB2312" w:hAnsi="宋体" w:eastAsia="仿宋_GB2312" w:cs="宋体"/>
          <w:color w:val="000000"/>
          <w:kern w:val="0"/>
          <w:sz w:val="32"/>
          <w:szCs w:val="32"/>
        </w:rPr>
        <w:t>包括：一般公共预算拨款收入；支出包括：社会保障和就业支出、卫生健康支出。丽水市</w:t>
      </w:r>
      <w:r>
        <w:rPr>
          <w:rFonts w:hint="eastAsia" w:ascii="仿宋_GB2312" w:hAnsi="宋体" w:eastAsia="仿宋_GB2312" w:cs="宋体"/>
          <w:color w:val="000000"/>
          <w:kern w:val="0"/>
          <w:sz w:val="32"/>
          <w:szCs w:val="32"/>
          <w:lang w:eastAsia="zh-CN"/>
        </w:rPr>
        <w:t>养老服务指导中心</w:t>
      </w:r>
      <w:r>
        <w:rPr>
          <w:rFonts w:hint="eastAsia" w:ascii="仿宋_GB2312" w:hAnsi="宋体" w:eastAsia="仿宋_GB2312" w:cs="宋体"/>
          <w:color w:val="000000"/>
          <w:kern w:val="0"/>
          <w:sz w:val="32"/>
          <w:szCs w:val="32"/>
        </w:rPr>
        <w:t>202</w:t>
      </w: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年收支总预算</w:t>
      </w:r>
      <w:r>
        <w:rPr>
          <w:rFonts w:hint="eastAsia" w:ascii="仿宋_GB2312" w:hAnsi="宋体" w:eastAsia="仿宋_GB2312" w:cs="宋体"/>
          <w:color w:val="000000"/>
          <w:kern w:val="0"/>
          <w:sz w:val="32"/>
          <w:szCs w:val="32"/>
          <w:lang w:val="en-US" w:eastAsia="zh-CN"/>
        </w:rPr>
        <w:t>124.40</w:t>
      </w:r>
      <w:r>
        <w:rPr>
          <w:rFonts w:hint="eastAsia" w:ascii="仿宋_GB2312" w:hAnsi="宋体" w:eastAsia="仿宋_GB2312" w:cs="宋体"/>
          <w:color w:val="000000"/>
          <w:kern w:val="0"/>
          <w:sz w:val="32"/>
          <w:szCs w:val="32"/>
        </w:rPr>
        <w:t>万元。</w:t>
      </w:r>
    </w:p>
    <w:p>
      <w:pPr>
        <w:numPr>
          <w:ilvl w:val="0"/>
          <w:numId w:val="3"/>
        </w:numPr>
        <w:spacing w:line="560" w:lineRule="exact"/>
        <w:rPr>
          <w:rFonts w:ascii="楷体_GB2312" w:hAnsi="楷体_GB2312" w:eastAsia="楷体_GB2312" w:cs="楷体_GB2312"/>
          <w:sz w:val="32"/>
          <w:szCs w:val="32"/>
        </w:rPr>
      </w:pPr>
      <w:r>
        <w:rPr>
          <w:rFonts w:hint="eastAsia" w:ascii="楷体_GB2312" w:hAnsi="楷体_GB2312" w:eastAsia="楷体_GB2312" w:cs="楷体_GB2312"/>
          <w:sz w:val="32"/>
          <w:szCs w:val="32"/>
        </w:rPr>
        <w:t>关于丽水市</w:t>
      </w:r>
      <w:r>
        <w:rPr>
          <w:rFonts w:hint="eastAsia" w:ascii="楷体_GB2312" w:hAnsi="楷体_GB2312" w:eastAsia="楷体_GB2312" w:cs="楷体_GB2312"/>
          <w:sz w:val="32"/>
          <w:szCs w:val="32"/>
          <w:lang w:eastAsia="zh-CN"/>
        </w:rPr>
        <w:t>养老服务指导中心</w:t>
      </w:r>
      <w:r>
        <w:rPr>
          <w:rFonts w:hint="eastAsia" w:ascii="楷体_GB2312" w:hAnsi="楷体_GB2312" w:eastAsia="楷体_GB2312" w:cs="楷体_GB2312"/>
          <w:sz w:val="32"/>
          <w:szCs w:val="32"/>
        </w:rPr>
        <w:t>202</w:t>
      </w: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rPr>
        <w:t>年收入预算情况说明</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丽水市</w:t>
      </w:r>
      <w:r>
        <w:rPr>
          <w:rFonts w:hint="eastAsia" w:ascii="仿宋_GB2312" w:hAnsi="宋体" w:eastAsia="仿宋_GB2312" w:cs="宋体"/>
          <w:color w:val="000000"/>
          <w:kern w:val="0"/>
          <w:sz w:val="32"/>
          <w:szCs w:val="32"/>
          <w:lang w:eastAsia="zh-CN"/>
        </w:rPr>
        <w:t>养老服务指导中心</w:t>
      </w:r>
      <w:r>
        <w:rPr>
          <w:rFonts w:hint="eastAsia" w:ascii="仿宋_GB2312" w:hAnsi="宋体" w:eastAsia="仿宋_GB2312" w:cs="宋体"/>
          <w:color w:val="000000"/>
          <w:kern w:val="0"/>
          <w:sz w:val="32"/>
          <w:szCs w:val="32"/>
        </w:rPr>
        <w:t>20</w:t>
      </w:r>
      <w:r>
        <w:rPr>
          <w:rFonts w:hint="eastAsia" w:ascii="仿宋_GB2312" w:hAnsi="宋体" w:eastAsia="仿宋_GB2312" w:cs="宋体"/>
          <w:color w:val="000000"/>
          <w:kern w:val="0"/>
          <w:sz w:val="32"/>
          <w:szCs w:val="32"/>
          <w:lang w:val="en-US" w:eastAsia="zh-CN"/>
        </w:rPr>
        <w:t>22</w:t>
      </w:r>
      <w:r>
        <w:rPr>
          <w:rFonts w:hint="eastAsia" w:ascii="仿宋_GB2312" w:hAnsi="宋体" w:eastAsia="仿宋_GB2312" w:cs="宋体"/>
          <w:color w:val="000000"/>
          <w:kern w:val="0"/>
          <w:sz w:val="32"/>
          <w:szCs w:val="32"/>
        </w:rPr>
        <w:t>年收入预算</w:t>
      </w:r>
      <w:r>
        <w:rPr>
          <w:rFonts w:hint="eastAsia" w:ascii="仿宋_GB2312" w:hAnsi="宋体" w:eastAsia="仿宋_GB2312" w:cs="宋体"/>
          <w:color w:val="000000"/>
          <w:kern w:val="0"/>
          <w:sz w:val="32"/>
          <w:szCs w:val="32"/>
          <w:lang w:val="en-US" w:eastAsia="zh-CN"/>
        </w:rPr>
        <w:t>124.4</w:t>
      </w:r>
      <w:r>
        <w:rPr>
          <w:rFonts w:hint="eastAsia" w:ascii="仿宋_GB2312" w:hAnsi="宋体" w:eastAsia="仿宋_GB2312" w:cs="宋体"/>
          <w:color w:val="000000"/>
          <w:kern w:val="0"/>
          <w:sz w:val="32"/>
          <w:szCs w:val="32"/>
        </w:rPr>
        <w:t>万元，比20</w:t>
      </w:r>
      <w:r>
        <w:rPr>
          <w:rFonts w:hint="eastAsia" w:ascii="仿宋_GB2312" w:hAnsi="宋体" w:eastAsia="仿宋_GB2312" w:cs="宋体"/>
          <w:color w:val="000000"/>
          <w:kern w:val="0"/>
          <w:sz w:val="32"/>
          <w:szCs w:val="32"/>
          <w:lang w:val="en-US" w:eastAsia="zh-CN"/>
        </w:rPr>
        <w:t>21</w:t>
      </w:r>
      <w:r>
        <w:rPr>
          <w:rFonts w:hint="eastAsia" w:ascii="仿宋_GB2312" w:hAnsi="宋体" w:eastAsia="仿宋_GB2312" w:cs="宋体"/>
          <w:color w:val="000000"/>
          <w:kern w:val="0"/>
          <w:sz w:val="32"/>
          <w:szCs w:val="32"/>
        </w:rPr>
        <w:t>年执行数</w:t>
      </w:r>
      <w:r>
        <w:rPr>
          <w:rFonts w:hint="eastAsia" w:ascii="仿宋_GB2312" w:hAnsi="宋体" w:eastAsia="仿宋_GB2312" w:cs="宋体"/>
          <w:color w:val="000000"/>
          <w:kern w:val="0"/>
          <w:sz w:val="32"/>
          <w:szCs w:val="32"/>
          <w:lang w:eastAsia="zh-CN"/>
        </w:rPr>
        <w:t>减少</w:t>
      </w:r>
      <w:r>
        <w:rPr>
          <w:rFonts w:hint="eastAsia" w:ascii="仿宋_GB2312" w:hAnsi="宋体" w:eastAsia="仿宋_GB2312" w:cs="宋体"/>
          <w:color w:val="000000"/>
          <w:kern w:val="0"/>
          <w:sz w:val="32"/>
          <w:szCs w:val="32"/>
          <w:lang w:val="en-US" w:eastAsia="zh-CN"/>
        </w:rPr>
        <w:t>1.75</w:t>
      </w:r>
      <w:r>
        <w:rPr>
          <w:rFonts w:hint="eastAsia" w:ascii="仿宋_GB2312" w:hAnsi="宋体" w:eastAsia="仿宋_GB2312" w:cs="宋体"/>
          <w:color w:val="000000"/>
          <w:kern w:val="0"/>
          <w:sz w:val="32"/>
          <w:szCs w:val="32"/>
        </w:rPr>
        <w:t>万元，主要是</w:t>
      </w:r>
      <w:r>
        <w:rPr>
          <w:rFonts w:hint="eastAsia" w:ascii="仿宋_GB2312" w:hAnsi="宋体" w:eastAsia="仿宋_GB2312" w:cs="宋体"/>
          <w:color w:val="000000"/>
          <w:kern w:val="0"/>
          <w:sz w:val="32"/>
          <w:szCs w:val="32"/>
          <w:lang w:eastAsia="zh-CN"/>
        </w:rPr>
        <w:t>人员经费减少。</w:t>
      </w:r>
      <w:r>
        <w:rPr>
          <w:rFonts w:hint="eastAsia" w:ascii="仿宋_GB2312" w:hAnsi="宋体" w:eastAsia="仿宋_GB2312" w:cs="宋体"/>
          <w:color w:val="000000"/>
          <w:kern w:val="0"/>
          <w:sz w:val="32"/>
          <w:szCs w:val="32"/>
        </w:rPr>
        <w:t>其中：一般公共预算拨款收入</w:t>
      </w:r>
      <w:r>
        <w:rPr>
          <w:rFonts w:hint="eastAsia" w:ascii="仿宋_GB2312" w:hAnsi="宋体" w:eastAsia="仿宋_GB2312" w:cs="宋体"/>
          <w:color w:val="000000"/>
          <w:kern w:val="0"/>
          <w:sz w:val="32"/>
          <w:szCs w:val="32"/>
          <w:lang w:val="en-US" w:eastAsia="zh-CN"/>
        </w:rPr>
        <w:t>124.40</w:t>
      </w:r>
      <w:r>
        <w:rPr>
          <w:rFonts w:hint="eastAsia" w:ascii="仿宋_GB2312" w:hAnsi="宋体" w:eastAsia="仿宋_GB2312" w:cs="宋体"/>
          <w:color w:val="000000"/>
          <w:kern w:val="0"/>
          <w:sz w:val="32"/>
          <w:szCs w:val="32"/>
        </w:rPr>
        <w:t>万元，占</w:t>
      </w:r>
      <w:r>
        <w:rPr>
          <w:rFonts w:hint="eastAsia" w:ascii="仿宋_GB2312" w:hAnsi="宋体" w:eastAsia="仿宋_GB2312" w:cs="宋体"/>
          <w:color w:val="000000"/>
          <w:kern w:val="0"/>
          <w:sz w:val="32"/>
          <w:szCs w:val="32"/>
          <w:lang w:val="en-US" w:eastAsia="zh-CN"/>
        </w:rPr>
        <w:t>100</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　　</w:t>
      </w:r>
    </w:p>
    <w:p>
      <w:pPr>
        <w:numPr>
          <w:ilvl w:val="0"/>
          <w:numId w:val="3"/>
        </w:numPr>
        <w:spacing w:line="560" w:lineRule="exact"/>
        <w:rPr>
          <w:rFonts w:ascii="楷体_GB2312" w:hAnsi="楷体_GB2312" w:eastAsia="楷体_GB2312" w:cs="楷体_GB2312"/>
          <w:sz w:val="32"/>
          <w:szCs w:val="32"/>
        </w:rPr>
      </w:pPr>
      <w:r>
        <w:rPr>
          <w:rFonts w:hint="eastAsia" w:ascii="楷体_GB2312" w:hAnsi="楷体_GB2312" w:eastAsia="楷体_GB2312" w:cs="楷体_GB2312"/>
          <w:sz w:val="32"/>
          <w:szCs w:val="32"/>
        </w:rPr>
        <w:t>关于</w:t>
      </w:r>
      <w:r>
        <w:rPr>
          <w:rFonts w:hint="eastAsia" w:ascii="楷体_GB2312" w:hAnsi="楷体_GB2312" w:eastAsia="楷体_GB2312" w:cs="楷体_GB2312"/>
          <w:sz w:val="32"/>
          <w:szCs w:val="32"/>
          <w:lang w:eastAsia="zh-CN"/>
        </w:rPr>
        <w:t>丽水市养老服务指导中心</w:t>
      </w:r>
      <w:r>
        <w:rPr>
          <w:rFonts w:hint="eastAsia" w:ascii="楷体_GB2312" w:hAnsi="楷体_GB2312" w:eastAsia="楷体_GB2312" w:cs="楷体_GB2312"/>
          <w:sz w:val="32"/>
          <w:szCs w:val="32"/>
        </w:rPr>
        <w:t>202</w:t>
      </w: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rPr>
        <w:t>年支出预算情况说明</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丽水市</w:t>
      </w:r>
      <w:r>
        <w:rPr>
          <w:rFonts w:hint="eastAsia" w:ascii="仿宋_GB2312" w:hAnsi="宋体" w:eastAsia="仿宋_GB2312" w:cs="宋体"/>
          <w:color w:val="000000"/>
          <w:kern w:val="0"/>
          <w:sz w:val="32"/>
          <w:szCs w:val="32"/>
          <w:lang w:eastAsia="zh-CN"/>
        </w:rPr>
        <w:t>养老服务指导中心</w:t>
      </w:r>
      <w:r>
        <w:rPr>
          <w:rFonts w:hint="eastAsia" w:ascii="仿宋_GB2312" w:hAnsi="宋体" w:eastAsia="仿宋_GB2312" w:cs="宋体"/>
          <w:color w:val="000000"/>
          <w:kern w:val="0"/>
          <w:sz w:val="32"/>
          <w:szCs w:val="32"/>
        </w:rPr>
        <w:t>20</w:t>
      </w:r>
      <w:r>
        <w:rPr>
          <w:rFonts w:hint="eastAsia" w:ascii="仿宋_GB2312" w:hAnsi="宋体" w:eastAsia="仿宋_GB2312" w:cs="宋体"/>
          <w:color w:val="000000"/>
          <w:kern w:val="0"/>
          <w:sz w:val="32"/>
          <w:szCs w:val="32"/>
          <w:lang w:val="en-US" w:eastAsia="zh-CN"/>
        </w:rPr>
        <w:t>22年</w:t>
      </w:r>
      <w:r>
        <w:rPr>
          <w:rFonts w:hint="eastAsia" w:ascii="仿宋_GB2312" w:hAnsi="宋体" w:eastAsia="仿宋_GB2312" w:cs="宋体"/>
          <w:color w:val="000000"/>
          <w:kern w:val="0"/>
          <w:sz w:val="32"/>
          <w:szCs w:val="32"/>
        </w:rPr>
        <w:t>支出预算</w:t>
      </w:r>
      <w:r>
        <w:rPr>
          <w:rFonts w:hint="eastAsia" w:ascii="仿宋_GB2312" w:hAnsi="宋体" w:eastAsia="仿宋_GB2312" w:cs="宋体"/>
          <w:color w:val="000000"/>
          <w:kern w:val="0"/>
          <w:sz w:val="32"/>
          <w:szCs w:val="32"/>
          <w:lang w:val="en-US" w:eastAsia="zh-CN"/>
        </w:rPr>
        <w:t>124.40</w:t>
      </w:r>
      <w:r>
        <w:rPr>
          <w:rFonts w:hint="eastAsia" w:ascii="仿宋_GB2312" w:hAnsi="宋体" w:eastAsia="仿宋_GB2312" w:cs="宋体"/>
          <w:color w:val="000000"/>
          <w:kern w:val="0"/>
          <w:sz w:val="32"/>
          <w:szCs w:val="32"/>
        </w:rPr>
        <w:t>万元</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比20</w:t>
      </w:r>
      <w:r>
        <w:rPr>
          <w:rFonts w:hint="eastAsia" w:ascii="仿宋_GB2312" w:hAnsi="宋体" w:eastAsia="仿宋_GB2312" w:cs="宋体"/>
          <w:color w:val="000000"/>
          <w:kern w:val="0"/>
          <w:sz w:val="32"/>
          <w:szCs w:val="32"/>
          <w:lang w:val="en-US" w:eastAsia="zh-CN"/>
        </w:rPr>
        <w:t>21</w:t>
      </w:r>
      <w:r>
        <w:rPr>
          <w:rFonts w:hint="eastAsia" w:ascii="仿宋_GB2312" w:hAnsi="宋体" w:eastAsia="仿宋_GB2312" w:cs="宋体"/>
          <w:color w:val="000000"/>
          <w:kern w:val="0"/>
          <w:sz w:val="32"/>
          <w:szCs w:val="32"/>
        </w:rPr>
        <w:t>年执行数</w:t>
      </w:r>
      <w:r>
        <w:rPr>
          <w:rFonts w:hint="eastAsia" w:ascii="仿宋_GB2312" w:hAnsi="宋体" w:eastAsia="仿宋_GB2312" w:cs="宋体"/>
          <w:color w:val="000000"/>
          <w:kern w:val="0"/>
          <w:sz w:val="32"/>
          <w:szCs w:val="32"/>
          <w:lang w:eastAsia="zh-CN"/>
        </w:rPr>
        <w:t>减少</w:t>
      </w:r>
      <w:r>
        <w:rPr>
          <w:rFonts w:hint="eastAsia" w:ascii="仿宋_GB2312" w:hAnsi="宋体" w:eastAsia="仿宋_GB2312" w:cs="宋体"/>
          <w:color w:val="000000"/>
          <w:kern w:val="0"/>
          <w:sz w:val="32"/>
          <w:szCs w:val="32"/>
          <w:lang w:val="en-US" w:eastAsia="zh-CN"/>
        </w:rPr>
        <w:t>1.75</w:t>
      </w:r>
      <w:r>
        <w:rPr>
          <w:rFonts w:hint="eastAsia" w:ascii="仿宋_GB2312" w:hAnsi="宋体" w:eastAsia="仿宋_GB2312" w:cs="宋体"/>
          <w:color w:val="000000"/>
          <w:kern w:val="0"/>
          <w:sz w:val="32"/>
          <w:szCs w:val="32"/>
        </w:rPr>
        <w:t>万元，主要是</w:t>
      </w:r>
      <w:r>
        <w:rPr>
          <w:rFonts w:hint="eastAsia" w:ascii="仿宋_GB2312" w:hAnsi="宋体" w:eastAsia="仿宋_GB2312" w:cs="宋体"/>
          <w:color w:val="000000"/>
          <w:kern w:val="0"/>
          <w:sz w:val="32"/>
          <w:szCs w:val="32"/>
          <w:lang w:eastAsia="zh-CN"/>
        </w:rPr>
        <w:t>人员经费减少。</w:t>
      </w:r>
    </w:p>
    <w:p>
      <w:pPr>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1.</w:t>
      </w:r>
      <w:r>
        <w:rPr>
          <w:rFonts w:hint="eastAsia" w:ascii="仿宋_GB2312" w:hAnsi="宋体" w:eastAsia="仿宋_GB2312" w:cs="宋体"/>
          <w:color w:val="000000"/>
          <w:kern w:val="0"/>
          <w:sz w:val="32"/>
          <w:szCs w:val="32"/>
        </w:rPr>
        <w:t>按支出功能分类，社会保障和就业支出</w:t>
      </w:r>
      <w:r>
        <w:rPr>
          <w:rFonts w:hint="eastAsia" w:ascii="仿宋_GB2312" w:hAnsi="宋体" w:eastAsia="仿宋_GB2312" w:cs="宋体"/>
          <w:color w:val="000000"/>
          <w:kern w:val="0"/>
          <w:sz w:val="32"/>
          <w:szCs w:val="32"/>
          <w:lang w:val="en-US" w:eastAsia="zh-CN"/>
        </w:rPr>
        <w:t>117.76</w:t>
      </w:r>
      <w:r>
        <w:rPr>
          <w:rFonts w:hint="eastAsia" w:ascii="仿宋_GB2312" w:hAnsi="宋体" w:eastAsia="仿宋_GB2312" w:cs="宋体"/>
          <w:color w:val="000000"/>
          <w:kern w:val="0"/>
          <w:sz w:val="32"/>
          <w:szCs w:val="32"/>
        </w:rPr>
        <w:t>万元、卫生健康支出</w:t>
      </w:r>
      <w:r>
        <w:rPr>
          <w:rFonts w:hint="eastAsia" w:ascii="仿宋_GB2312" w:hAnsi="宋体" w:eastAsia="仿宋_GB2312" w:cs="宋体"/>
          <w:color w:val="000000"/>
          <w:kern w:val="0"/>
          <w:sz w:val="32"/>
          <w:szCs w:val="32"/>
          <w:lang w:val="en-US" w:eastAsia="zh-CN"/>
        </w:rPr>
        <w:t>6.63</w:t>
      </w:r>
      <w:r>
        <w:rPr>
          <w:rFonts w:hint="eastAsia" w:ascii="仿宋_GB2312" w:hAnsi="宋体" w:eastAsia="仿宋_GB2312" w:cs="宋体"/>
          <w:color w:val="000000"/>
          <w:kern w:val="0"/>
          <w:sz w:val="32"/>
          <w:szCs w:val="32"/>
        </w:rPr>
        <w:t>万元。</w:t>
      </w:r>
    </w:p>
    <w:p>
      <w:pPr>
        <w:spacing w:line="560" w:lineRule="exact"/>
        <w:ind w:firstLine="643" w:firstLineChars="200"/>
        <w:rPr>
          <w:rFonts w:hint="eastAsia" w:ascii="仿宋_GB2312" w:hAnsi="宋体" w:eastAsia="仿宋_GB2312" w:cs="宋体"/>
          <w:color w:val="000000"/>
          <w:kern w:val="0"/>
          <w:sz w:val="32"/>
          <w:szCs w:val="32"/>
          <w:lang w:eastAsia="zh-CN"/>
        </w:rPr>
      </w:pPr>
      <w:r>
        <w:rPr>
          <w:rFonts w:hint="eastAsia" w:ascii="仿宋_GB2312" w:hAnsi="宋体" w:eastAsia="仿宋_GB2312" w:cs="宋体"/>
          <w:b/>
          <w:bCs/>
          <w:color w:val="000000"/>
          <w:kern w:val="0"/>
          <w:sz w:val="32"/>
          <w:szCs w:val="32"/>
        </w:rPr>
        <w:t>2.</w:t>
      </w:r>
      <w:r>
        <w:rPr>
          <w:rFonts w:hint="eastAsia" w:ascii="仿宋_GB2312" w:hAnsi="宋体" w:eastAsia="仿宋_GB2312" w:cs="宋体"/>
          <w:color w:val="000000"/>
          <w:kern w:val="0"/>
          <w:sz w:val="32"/>
          <w:szCs w:val="32"/>
        </w:rPr>
        <w:t>按支出用途分类，包括人员支出</w:t>
      </w:r>
      <w:r>
        <w:rPr>
          <w:rFonts w:hint="eastAsia" w:ascii="仿宋_GB2312" w:hAnsi="宋体" w:eastAsia="仿宋_GB2312" w:cs="宋体"/>
          <w:color w:val="000000"/>
          <w:kern w:val="0"/>
          <w:sz w:val="32"/>
          <w:szCs w:val="32"/>
          <w:lang w:val="en-US" w:eastAsia="zh-CN"/>
        </w:rPr>
        <w:t>110.00</w:t>
      </w:r>
      <w:r>
        <w:rPr>
          <w:rFonts w:hint="eastAsia" w:ascii="仿宋_GB2312" w:hAnsi="宋体" w:eastAsia="仿宋_GB2312" w:cs="宋体"/>
          <w:color w:val="000000"/>
          <w:kern w:val="0"/>
          <w:sz w:val="32"/>
          <w:szCs w:val="32"/>
        </w:rPr>
        <w:t>万元，占</w:t>
      </w:r>
      <w:r>
        <w:rPr>
          <w:rFonts w:hint="eastAsia" w:ascii="仿宋_GB2312" w:hAnsi="宋体" w:eastAsia="仿宋_GB2312" w:cs="宋体"/>
          <w:color w:val="000000"/>
          <w:kern w:val="0"/>
          <w:sz w:val="32"/>
          <w:szCs w:val="32"/>
          <w:lang w:val="en-US" w:eastAsia="zh-CN"/>
        </w:rPr>
        <w:t>88.42</w:t>
      </w:r>
      <w:r>
        <w:rPr>
          <w:rFonts w:hint="eastAsia" w:ascii="仿宋_GB2312" w:hAnsi="宋体" w:eastAsia="仿宋_GB2312" w:cs="宋体"/>
          <w:color w:val="000000"/>
          <w:kern w:val="0"/>
          <w:sz w:val="32"/>
          <w:szCs w:val="32"/>
        </w:rPr>
        <w:t>%；日常公用支出</w:t>
      </w:r>
      <w:r>
        <w:rPr>
          <w:rFonts w:hint="eastAsia" w:ascii="仿宋_GB2312" w:hAnsi="宋体" w:eastAsia="仿宋_GB2312" w:cs="宋体"/>
          <w:color w:val="000000"/>
          <w:kern w:val="0"/>
          <w:sz w:val="32"/>
          <w:szCs w:val="32"/>
          <w:lang w:val="en-US" w:eastAsia="zh-CN"/>
        </w:rPr>
        <w:t>14.39</w:t>
      </w:r>
      <w:r>
        <w:rPr>
          <w:rFonts w:hint="eastAsia" w:ascii="仿宋_GB2312" w:hAnsi="宋体" w:eastAsia="仿宋_GB2312" w:cs="宋体"/>
          <w:color w:val="000000"/>
          <w:kern w:val="0"/>
          <w:sz w:val="32"/>
          <w:szCs w:val="32"/>
        </w:rPr>
        <w:t>万元，占</w:t>
      </w:r>
      <w:r>
        <w:rPr>
          <w:rFonts w:hint="eastAsia" w:ascii="仿宋_GB2312" w:hAnsi="宋体" w:eastAsia="仿宋_GB2312" w:cs="宋体"/>
          <w:color w:val="000000"/>
          <w:kern w:val="0"/>
          <w:sz w:val="32"/>
          <w:szCs w:val="32"/>
          <w:lang w:val="en-US" w:eastAsia="zh-CN"/>
        </w:rPr>
        <w:t>11.56</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eastAsia="zh-CN"/>
        </w:rPr>
        <w:t>。</w:t>
      </w:r>
    </w:p>
    <w:p>
      <w:pPr>
        <w:numPr>
          <w:ilvl w:val="0"/>
          <w:numId w:val="3"/>
        </w:numPr>
        <w:spacing w:line="560" w:lineRule="exact"/>
        <w:rPr>
          <w:rFonts w:ascii="楷体_GB2312" w:hAnsi="楷体_GB2312" w:eastAsia="楷体_GB2312" w:cs="楷体_GB2312"/>
          <w:sz w:val="32"/>
          <w:szCs w:val="32"/>
        </w:rPr>
      </w:pPr>
      <w:r>
        <w:rPr>
          <w:rFonts w:hint="eastAsia" w:ascii="楷体_GB2312" w:hAnsi="楷体_GB2312" w:eastAsia="楷体_GB2312" w:cs="楷体_GB2312"/>
          <w:sz w:val="32"/>
          <w:szCs w:val="32"/>
        </w:rPr>
        <w:t>关于</w:t>
      </w:r>
      <w:r>
        <w:rPr>
          <w:rFonts w:hint="eastAsia" w:ascii="楷体_GB2312" w:hAnsi="楷体_GB2312" w:eastAsia="楷体_GB2312" w:cs="楷体_GB2312"/>
          <w:sz w:val="32"/>
          <w:szCs w:val="32"/>
          <w:lang w:eastAsia="zh-CN"/>
        </w:rPr>
        <w:t>丽水市养老服务指导中心</w:t>
      </w:r>
      <w:r>
        <w:rPr>
          <w:rFonts w:hint="eastAsia" w:ascii="楷体_GB2312" w:hAnsi="楷体_GB2312" w:eastAsia="楷体_GB2312" w:cs="楷体_GB2312"/>
          <w:sz w:val="32"/>
          <w:szCs w:val="32"/>
        </w:rPr>
        <w:t>202</w:t>
      </w: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rPr>
        <w:t>年财政拨款收支预算情况的总体说明</w:t>
      </w:r>
    </w:p>
    <w:p>
      <w:pPr>
        <w:spacing w:line="560" w:lineRule="exact"/>
        <w:ind w:firstLine="640" w:firstLineChars="200"/>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丽水市</w:t>
      </w:r>
      <w:r>
        <w:rPr>
          <w:rFonts w:hint="eastAsia" w:ascii="仿宋_GB2312" w:hAnsi="宋体" w:eastAsia="仿宋_GB2312" w:cs="宋体"/>
          <w:color w:val="000000"/>
          <w:kern w:val="0"/>
          <w:sz w:val="32"/>
          <w:szCs w:val="32"/>
          <w:lang w:eastAsia="zh-CN"/>
        </w:rPr>
        <w:t>养老服务指导中心</w:t>
      </w:r>
      <w:r>
        <w:rPr>
          <w:rFonts w:hint="eastAsia" w:ascii="仿宋_GB2312" w:hAnsi="宋体" w:eastAsia="仿宋_GB2312" w:cs="宋体"/>
          <w:color w:val="000000"/>
          <w:kern w:val="0"/>
          <w:sz w:val="32"/>
          <w:szCs w:val="32"/>
        </w:rPr>
        <w:t>20</w:t>
      </w:r>
      <w:r>
        <w:rPr>
          <w:rFonts w:hint="eastAsia" w:ascii="仿宋_GB2312" w:hAnsi="宋体" w:eastAsia="仿宋_GB2312" w:cs="宋体"/>
          <w:color w:val="000000"/>
          <w:kern w:val="0"/>
          <w:sz w:val="32"/>
          <w:szCs w:val="32"/>
          <w:lang w:val="en-US" w:eastAsia="zh-CN"/>
        </w:rPr>
        <w:t>22</w:t>
      </w:r>
      <w:r>
        <w:rPr>
          <w:rFonts w:hint="eastAsia" w:ascii="仿宋_GB2312" w:hAnsi="宋体" w:eastAsia="仿宋_GB2312" w:cs="宋体"/>
          <w:color w:val="000000"/>
          <w:kern w:val="0"/>
          <w:sz w:val="32"/>
          <w:szCs w:val="32"/>
        </w:rPr>
        <w:t>年财政拨款收支总预算</w:t>
      </w:r>
      <w:r>
        <w:rPr>
          <w:rFonts w:hint="eastAsia" w:ascii="仿宋_GB2312" w:hAnsi="宋体" w:eastAsia="仿宋_GB2312" w:cs="宋体"/>
          <w:color w:val="000000"/>
          <w:kern w:val="0"/>
          <w:sz w:val="32"/>
          <w:szCs w:val="32"/>
          <w:lang w:val="en-US" w:eastAsia="zh-CN"/>
        </w:rPr>
        <w:t>124.40</w:t>
      </w:r>
      <w:r>
        <w:rPr>
          <w:rFonts w:hint="eastAsia" w:ascii="仿宋_GB2312" w:hAnsi="宋体" w:eastAsia="仿宋_GB2312" w:cs="宋体"/>
          <w:color w:val="000000"/>
          <w:kern w:val="0"/>
          <w:sz w:val="32"/>
          <w:szCs w:val="32"/>
        </w:rPr>
        <w:t>万元。收入包括：一般公共预算</w:t>
      </w:r>
      <w:r>
        <w:rPr>
          <w:rFonts w:hint="eastAsia" w:ascii="仿宋_GB2312" w:hAnsi="宋体" w:eastAsia="仿宋_GB2312" w:cs="宋体"/>
          <w:color w:val="000000"/>
          <w:kern w:val="0"/>
          <w:sz w:val="32"/>
          <w:szCs w:val="32"/>
          <w:lang w:val="en-US" w:eastAsia="zh-CN"/>
        </w:rPr>
        <w:t>124.40</w:t>
      </w:r>
      <w:r>
        <w:rPr>
          <w:rFonts w:hint="eastAsia" w:ascii="仿宋_GB2312" w:hAnsi="宋体" w:eastAsia="仿宋_GB2312" w:cs="宋体"/>
          <w:color w:val="000000"/>
          <w:kern w:val="0"/>
          <w:sz w:val="32"/>
          <w:szCs w:val="32"/>
        </w:rPr>
        <w:t>万元</w:t>
      </w:r>
      <w:r>
        <w:rPr>
          <w:rFonts w:hint="eastAsia" w:ascii="仿宋_GB2312" w:hAnsi="宋体" w:eastAsia="仿宋_GB2312" w:cs="宋体"/>
          <w:color w:val="000000"/>
          <w:kern w:val="0"/>
          <w:sz w:val="32"/>
          <w:szCs w:val="32"/>
          <w:lang w:eastAsia="zh-CN"/>
        </w:rPr>
        <w:t>。</w:t>
      </w:r>
    </w:p>
    <w:p>
      <w:pPr>
        <w:numPr>
          <w:ilvl w:val="0"/>
          <w:numId w:val="3"/>
        </w:numPr>
        <w:spacing w:line="560" w:lineRule="exact"/>
        <w:rPr>
          <w:rFonts w:ascii="楷体_GB2312" w:hAnsi="楷体_GB2312" w:eastAsia="楷体_GB2312" w:cs="楷体_GB2312"/>
          <w:sz w:val="32"/>
          <w:szCs w:val="32"/>
        </w:rPr>
      </w:pPr>
      <w:r>
        <w:rPr>
          <w:rFonts w:hint="eastAsia" w:ascii="楷体_GB2312" w:hAnsi="楷体_GB2312" w:eastAsia="楷体_GB2312" w:cs="楷体_GB2312"/>
          <w:sz w:val="32"/>
          <w:szCs w:val="32"/>
        </w:rPr>
        <w:t>关于</w:t>
      </w:r>
      <w:r>
        <w:rPr>
          <w:rFonts w:hint="eastAsia" w:ascii="楷体_GB2312" w:hAnsi="楷体_GB2312" w:eastAsia="楷体_GB2312" w:cs="楷体_GB2312"/>
          <w:sz w:val="32"/>
          <w:szCs w:val="32"/>
          <w:lang w:eastAsia="zh-CN"/>
        </w:rPr>
        <w:t>丽水市养老服务指导中心</w:t>
      </w:r>
      <w:r>
        <w:rPr>
          <w:rFonts w:hint="eastAsia" w:ascii="楷体_GB2312" w:hAnsi="楷体_GB2312" w:eastAsia="楷体_GB2312" w:cs="楷体_GB2312"/>
          <w:sz w:val="32"/>
          <w:szCs w:val="32"/>
        </w:rPr>
        <w:t>202</w:t>
      </w: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rPr>
        <w:t>年一般公共预算当年拨款情况说明</w:t>
      </w:r>
    </w:p>
    <w:p>
      <w:pPr>
        <w:spacing w:line="560" w:lineRule="exact"/>
        <w:ind w:firstLine="643" w:firstLineChars="200"/>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1.一般公共预算当年拨款规模变化情况</w:t>
      </w:r>
    </w:p>
    <w:p>
      <w:pPr>
        <w:spacing w:line="560" w:lineRule="exact"/>
        <w:ind w:firstLine="640" w:firstLineChars="200"/>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丽水市</w:t>
      </w:r>
      <w:r>
        <w:rPr>
          <w:rFonts w:hint="eastAsia" w:ascii="仿宋_GB2312" w:hAnsi="宋体" w:eastAsia="仿宋_GB2312" w:cs="宋体"/>
          <w:color w:val="000000"/>
          <w:kern w:val="0"/>
          <w:sz w:val="32"/>
          <w:szCs w:val="32"/>
          <w:lang w:eastAsia="zh-CN"/>
        </w:rPr>
        <w:t>养老服务指导中心</w:t>
      </w:r>
      <w:r>
        <w:rPr>
          <w:rFonts w:hint="eastAsia" w:ascii="仿宋_GB2312" w:hAnsi="宋体" w:eastAsia="仿宋_GB2312" w:cs="宋体"/>
          <w:color w:val="000000"/>
          <w:kern w:val="0"/>
          <w:sz w:val="32"/>
          <w:szCs w:val="32"/>
        </w:rPr>
        <w:t>20</w:t>
      </w:r>
      <w:r>
        <w:rPr>
          <w:rFonts w:hint="eastAsia" w:ascii="仿宋_GB2312" w:hAnsi="宋体" w:eastAsia="仿宋_GB2312" w:cs="宋体"/>
          <w:color w:val="000000"/>
          <w:kern w:val="0"/>
          <w:sz w:val="32"/>
          <w:szCs w:val="32"/>
          <w:lang w:val="en-US" w:eastAsia="zh-CN"/>
        </w:rPr>
        <w:t>21</w:t>
      </w:r>
      <w:r>
        <w:rPr>
          <w:rFonts w:hint="eastAsia" w:ascii="仿宋_GB2312" w:hAnsi="宋体" w:eastAsia="仿宋_GB2312" w:cs="宋体"/>
          <w:color w:val="000000"/>
          <w:kern w:val="0"/>
          <w:sz w:val="32"/>
          <w:szCs w:val="32"/>
        </w:rPr>
        <w:t>年一般公共预算当年拨款</w:t>
      </w:r>
      <w:r>
        <w:rPr>
          <w:rFonts w:hint="eastAsia" w:ascii="仿宋_GB2312" w:hAnsi="宋体" w:eastAsia="仿宋_GB2312" w:cs="宋体"/>
          <w:color w:val="000000"/>
          <w:kern w:val="0"/>
          <w:sz w:val="32"/>
          <w:szCs w:val="32"/>
          <w:lang w:val="en-US" w:eastAsia="zh-CN"/>
        </w:rPr>
        <w:t>124.40</w:t>
      </w:r>
      <w:r>
        <w:rPr>
          <w:rFonts w:hint="eastAsia" w:ascii="仿宋_GB2312" w:hAnsi="宋体" w:eastAsia="仿宋_GB2312" w:cs="宋体"/>
          <w:color w:val="000000"/>
          <w:kern w:val="0"/>
          <w:sz w:val="32"/>
          <w:szCs w:val="32"/>
        </w:rPr>
        <w:t>万元，比20</w:t>
      </w:r>
      <w:r>
        <w:rPr>
          <w:rFonts w:hint="eastAsia" w:ascii="仿宋_GB2312" w:hAnsi="宋体" w:eastAsia="仿宋_GB2312" w:cs="宋体"/>
          <w:color w:val="000000"/>
          <w:kern w:val="0"/>
          <w:sz w:val="32"/>
          <w:szCs w:val="32"/>
          <w:lang w:val="en-US" w:eastAsia="zh-CN"/>
        </w:rPr>
        <w:t>21</w:t>
      </w:r>
      <w:r>
        <w:rPr>
          <w:rFonts w:hint="eastAsia" w:ascii="仿宋_GB2312" w:hAnsi="宋体" w:eastAsia="仿宋_GB2312" w:cs="宋体"/>
          <w:color w:val="000000"/>
          <w:kern w:val="0"/>
          <w:sz w:val="32"/>
          <w:szCs w:val="32"/>
        </w:rPr>
        <w:t>年执行数</w:t>
      </w:r>
      <w:r>
        <w:rPr>
          <w:rFonts w:hint="eastAsia" w:ascii="仿宋_GB2312" w:hAnsi="宋体" w:eastAsia="仿宋_GB2312" w:cs="宋体"/>
          <w:color w:val="000000"/>
          <w:kern w:val="0"/>
          <w:sz w:val="32"/>
          <w:szCs w:val="32"/>
          <w:lang w:eastAsia="zh-CN"/>
        </w:rPr>
        <w:t>减少</w:t>
      </w:r>
      <w:r>
        <w:rPr>
          <w:rFonts w:hint="eastAsia" w:ascii="仿宋_GB2312" w:hAnsi="宋体" w:eastAsia="仿宋_GB2312" w:cs="宋体"/>
          <w:color w:val="000000"/>
          <w:kern w:val="0"/>
          <w:sz w:val="32"/>
          <w:szCs w:val="32"/>
          <w:lang w:val="en-US" w:eastAsia="zh-CN"/>
        </w:rPr>
        <w:t>1.75</w:t>
      </w:r>
      <w:r>
        <w:rPr>
          <w:rFonts w:hint="eastAsia" w:ascii="仿宋_GB2312" w:hAnsi="宋体" w:eastAsia="仿宋_GB2312" w:cs="宋体"/>
          <w:color w:val="000000"/>
          <w:kern w:val="0"/>
          <w:sz w:val="32"/>
          <w:szCs w:val="32"/>
        </w:rPr>
        <w:t>万元，主要是</w:t>
      </w:r>
      <w:r>
        <w:rPr>
          <w:rFonts w:hint="eastAsia" w:ascii="仿宋_GB2312" w:hAnsi="宋体" w:eastAsia="仿宋_GB2312" w:cs="宋体"/>
          <w:color w:val="000000"/>
          <w:kern w:val="0"/>
          <w:sz w:val="32"/>
          <w:szCs w:val="32"/>
          <w:lang w:eastAsia="zh-CN"/>
        </w:rPr>
        <w:t>人员经费减少。</w:t>
      </w:r>
    </w:p>
    <w:p>
      <w:pPr>
        <w:spacing w:line="560" w:lineRule="exact"/>
        <w:ind w:firstLine="643" w:firstLineChars="200"/>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2.一般公共预算当年拨款结构情况</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社会保障和就业（类）支出</w:t>
      </w:r>
      <w:r>
        <w:rPr>
          <w:rFonts w:hint="eastAsia" w:ascii="仿宋_GB2312" w:hAnsi="宋体" w:eastAsia="仿宋_GB2312" w:cs="宋体"/>
          <w:color w:val="000000"/>
          <w:kern w:val="0"/>
          <w:sz w:val="32"/>
          <w:szCs w:val="32"/>
          <w:lang w:val="en-US" w:eastAsia="zh-CN"/>
        </w:rPr>
        <w:t>117.76</w:t>
      </w:r>
      <w:r>
        <w:rPr>
          <w:rFonts w:hint="eastAsia" w:ascii="仿宋_GB2312" w:hAnsi="宋体" w:eastAsia="仿宋_GB2312" w:cs="宋体"/>
          <w:color w:val="000000"/>
          <w:kern w:val="0"/>
          <w:sz w:val="32"/>
          <w:szCs w:val="32"/>
        </w:rPr>
        <w:t>万元，占</w:t>
      </w:r>
      <w:r>
        <w:rPr>
          <w:rFonts w:hint="eastAsia" w:ascii="仿宋_GB2312" w:hAnsi="宋体" w:eastAsia="仿宋_GB2312" w:cs="宋体"/>
          <w:color w:val="000000"/>
          <w:kern w:val="0"/>
          <w:sz w:val="32"/>
          <w:szCs w:val="32"/>
          <w:lang w:val="en-US" w:eastAsia="zh-CN"/>
        </w:rPr>
        <w:t>94.66</w:t>
      </w:r>
      <w:r>
        <w:rPr>
          <w:rFonts w:hint="eastAsia" w:ascii="仿宋_GB2312" w:hAnsi="宋体" w:eastAsia="仿宋_GB2312" w:cs="宋体"/>
          <w:color w:val="000000"/>
          <w:kern w:val="0"/>
          <w:sz w:val="32"/>
          <w:szCs w:val="32"/>
        </w:rPr>
        <w:t>%；卫生健康（类）支出</w:t>
      </w:r>
      <w:r>
        <w:rPr>
          <w:rFonts w:hint="eastAsia" w:ascii="仿宋_GB2312" w:hAnsi="宋体" w:eastAsia="仿宋_GB2312" w:cs="宋体"/>
          <w:color w:val="000000"/>
          <w:kern w:val="0"/>
          <w:sz w:val="32"/>
          <w:szCs w:val="32"/>
          <w:lang w:val="en-US" w:eastAsia="zh-CN"/>
        </w:rPr>
        <w:t>6.63</w:t>
      </w:r>
      <w:r>
        <w:rPr>
          <w:rFonts w:hint="eastAsia" w:ascii="仿宋_GB2312" w:hAnsi="宋体" w:eastAsia="仿宋_GB2312" w:cs="宋体"/>
          <w:color w:val="000000"/>
          <w:kern w:val="0"/>
          <w:sz w:val="32"/>
          <w:szCs w:val="32"/>
        </w:rPr>
        <w:t>万元，占</w:t>
      </w:r>
      <w:r>
        <w:rPr>
          <w:rFonts w:hint="eastAsia" w:ascii="仿宋_GB2312" w:hAnsi="宋体" w:eastAsia="仿宋_GB2312" w:cs="宋体"/>
          <w:color w:val="000000"/>
          <w:kern w:val="0"/>
          <w:sz w:val="32"/>
          <w:szCs w:val="32"/>
          <w:lang w:val="en-US" w:eastAsia="zh-CN"/>
        </w:rPr>
        <w:t>5.32</w:t>
      </w:r>
      <w:r>
        <w:rPr>
          <w:rFonts w:hint="eastAsia" w:ascii="仿宋_GB2312" w:hAnsi="宋体" w:eastAsia="仿宋_GB2312" w:cs="宋体"/>
          <w:color w:val="000000"/>
          <w:kern w:val="0"/>
          <w:sz w:val="32"/>
          <w:szCs w:val="32"/>
        </w:rPr>
        <w:t>%。</w:t>
      </w:r>
    </w:p>
    <w:p>
      <w:pPr>
        <w:spacing w:line="560" w:lineRule="exact"/>
        <w:ind w:firstLine="643" w:firstLineChars="200"/>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xml:space="preserve"> 3.一般公共预算当年拨款具体使用情况</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）社会保障和就业支出（类）-民政管理事务（款）为</w:t>
      </w:r>
      <w:r>
        <w:rPr>
          <w:rFonts w:hint="eastAsia" w:ascii="仿宋_GB2312" w:hAnsi="宋体" w:eastAsia="仿宋_GB2312" w:cs="宋体"/>
          <w:color w:val="000000"/>
          <w:kern w:val="0"/>
          <w:sz w:val="32"/>
          <w:szCs w:val="32"/>
          <w:lang w:val="en-US" w:eastAsia="zh-CN"/>
        </w:rPr>
        <w:t>105.87</w:t>
      </w:r>
      <w:r>
        <w:rPr>
          <w:rFonts w:hint="eastAsia" w:ascii="仿宋_GB2312" w:hAnsi="宋体" w:eastAsia="仿宋_GB2312" w:cs="宋体"/>
          <w:color w:val="000000"/>
          <w:kern w:val="0"/>
          <w:sz w:val="32"/>
          <w:szCs w:val="32"/>
        </w:rPr>
        <w:t>万元，主要用于丽水市</w:t>
      </w:r>
      <w:r>
        <w:rPr>
          <w:rFonts w:hint="eastAsia" w:ascii="仿宋_GB2312" w:hAnsi="宋体" w:eastAsia="仿宋_GB2312" w:cs="宋体"/>
          <w:color w:val="000000"/>
          <w:kern w:val="0"/>
          <w:sz w:val="32"/>
          <w:szCs w:val="32"/>
          <w:lang w:eastAsia="zh-CN"/>
        </w:rPr>
        <w:t>养老服务指导中心</w:t>
      </w:r>
      <w:r>
        <w:rPr>
          <w:rFonts w:hint="eastAsia" w:ascii="仿宋_GB2312" w:hAnsi="宋体" w:eastAsia="仿宋_GB2312" w:cs="宋体"/>
          <w:color w:val="000000"/>
          <w:kern w:val="0"/>
          <w:sz w:val="32"/>
          <w:szCs w:val="32"/>
        </w:rPr>
        <w:t>的基本支出。</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）社会保障和就业支出（类）-</w:t>
      </w:r>
      <w:r>
        <w:rPr>
          <w:rFonts w:hint="eastAsia" w:ascii="仿宋_GB2312" w:hAnsi="宋体" w:eastAsia="仿宋_GB2312" w:cs="宋体"/>
          <w:color w:val="000000"/>
          <w:kern w:val="0"/>
          <w:sz w:val="32"/>
          <w:szCs w:val="32"/>
          <w:lang w:eastAsia="zh-CN"/>
        </w:rPr>
        <w:t>行政事业单位养老支出</w:t>
      </w:r>
      <w:r>
        <w:rPr>
          <w:rFonts w:hint="eastAsia" w:ascii="仿宋_GB2312" w:hAnsi="宋体" w:eastAsia="仿宋_GB2312" w:cs="宋体"/>
          <w:color w:val="000000"/>
          <w:kern w:val="0"/>
          <w:sz w:val="32"/>
          <w:szCs w:val="32"/>
        </w:rPr>
        <w:t>（款）</w:t>
      </w:r>
      <w:r>
        <w:rPr>
          <w:rFonts w:hint="eastAsia" w:ascii="仿宋_GB2312" w:hAnsi="宋体" w:eastAsia="仿宋_GB2312" w:cs="宋体"/>
          <w:color w:val="000000"/>
          <w:kern w:val="0"/>
          <w:sz w:val="32"/>
          <w:szCs w:val="32"/>
          <w:lang w:val="en-US" w:eastAsia="zh-CN"/>
        </w:rPr>
        <w:t>11.06</w:t>
      </w:r>
      <w:r>
        <w:rPr>
          <w:rFonts w:hint="eastAsia" w:ascii="仿宋_GB2312" w:hAnsi="宋体" w:eastAsia="仿宋_GB2312" w:cs="宋体"/>
          <w:color w:val="000000"/>
          <w:kern w:val="0"/>
          <w:sz w:val="32"/>
          <w:szCs w:val="32"/>
        </w:rPr>
        <w:t>万元，主要用于实施养老保险制度由单位缴纳的基本养老保险支出。</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）社会保障和就业支出（类）- 其他社会保障和就业支出（款）-其他社会保障和就业支出（项）为</w:t>
      </w:r>
      <w:r>
        <w:rPr>
          <w:rFonts w:hint="eastAsia" w:ascii="仿宋_GB2312" w:hAnsi="宋体" w:eastAsia="仿宋_GB2312" w:cs="宋体"/>
          <w:kern w:val="0"/>
          <w:sz w:val="32"/>
          <w:szCs w:val="32"/>
          <w:lang w:val="en-US" w:eastAsia="zh-CN"/>
        </w:rPr>
        <w:t>0.84</w:t>
      </w:r>
      <w:r>
        <w:rPr>
          <w:rFonts w:hint="eastAsia" w:ascii="仿宋_GB2312" w:hAnsi="宋体" w:eastAsia="仿宋_GB2312" w:cs="宋体"/>
          <w:kern w:val="0"/>
          <w:sz w:val="32"/>
          <w:szCs w:val="32"/>
        </w:rPr>
        <w:t>万元，主要用于</w:t>
      </w:r>
      <w:r>
        <w:rPr>
          <w:rFonts w:hint="eastAsia" w:ascii="仿宋_GB2312" w:hAnsi="宋体" w:eastAsia="仿宋_GB2312" w:cs="宋体"/>
          <w:color w:val="000000"/>
          <w:kern w:val="0"/>
          <w:sz w:val="32"/>
          <w:szCs w:val="32"/>
        </w:rPr>
        <w:t>丽水市</w:t>
      </w:r>
      <w:r>
        <w:rPr>
          <w:rFonts w:hint="eastAsia" w:ascii="仿宋_GB2312" w:hAnsi="宋体" w:eastAsia="仿宋_GB2312" w:cs="宋体"/>
          <w:color w:val="000000"/>
          <w:kern w:val="0"/>
          <w:sz w:val="32"/>
          <w:szCs w:val="32"/>
          <w:lang w:eastAsia="zh-CN"/>
        </w:rPr>
        <w:t>养老服务指导中心</w:t>
      </w:r>
      <w:r>
        <w:rPr>
          <w:rFonts w:hint="eastAsia" w:ascii="仿宋_GB2312" w:hAnsi="宋体" w:eastAsia="仿宋_GB2312" w:cs="宋体"/>
          <w:kern w:val="0"/>
          <w:sz w:val="32"/>
          <w:szCs w:val="32"/>
        </w:rPr>
        <w:t>按照国家规定标准为职工缴纳社会保险基金的支出。</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4</w:t>
      </w:r>
      <w:r>
        <w:rPr>
          <w:rFonts w:hint="eastAsia" w:ascii="仿宋_GB2312" w:hAnsi="宋体" w:eastAsia="仿宋_GB2312" w:cs="宋体"/>
          <w:color w:val="000000"/>
          <w:kern w:val="0"/>
          <w:sz w:val="32"/>
          <w:szCs w:val="32"/>
        </w:rPr>
        <w:t>）卫生健康支出（类）-行政事业单位医疗（款）-行政单位医疗（项）为</w:t>
      </w:r>
      <w:r>
        <w:rPr>
          <w:rFonts w:hint="eastAsia" w:ascii="仿宋_GB2312" w:hAnsi="宋体" w:eastAsia="仿宋_GB2312" w:cs="宋体"/>
          <w:color w:val="000000"/>
          <w:kern w:val="0"/>
          <w:sz w:val="32"/>
          <w:szCs w:val="32"/>
          <w:lang w:val="en-US" w:eastAsia="zh-CN"/>
        </w:rPr>
        <w:t>6.63</w:t>
      </w:r>
      <w:r>
        <w:rPr>
          <w:rFonts w:hint="eastAsia" w:ascii="仿宋_GB2312" w:hAnsi="宋体" w:eastAsia="仿宋_GB2312" w:cs="宋体"/>
          <w:color w:val="000000"/>
          <w:kern w:val="0"/>
          <w:sz w:val="32"/>
          <w:szCs w:val="32"/>
        </w:rPr>
        <w:t>万元，主要用于丽水市</w:t>
      </w:r>
      <w:r>
        <w:rPr>
          <w:rFonts w:hint="eastAsia" w:ascii="仿宋_GB2312" w:hAnsi="宋体" w:eastAsia="仿宋_GB2312" w:cs="宋体"/>
          <w:color w:val="000000"/>
          <w:kern w:val="0"/>
          <w:sz w:val="32"/>
          <w:szCs w:val="32"/>
          <w:lang w:eastAsia="zh-CN"/>
        </w:rPr>
        <w:t>养老服务指导中心</w:t>
      </w:r>
      <w:r>
        <w:rPr>
          <w:rFonts w:hint="eastAsia" w:ascii="仿宋_GB2312" w:hAnsi="宋体" w:eastAsia="仿宋_GB2312" w:cs="宋体"/>
          <w:color w:val="000000"/>
          <w:kern w:val="0"/>
          <w:sz w:val="32"/>
          <w:szCs w:val="32"/>
        </w:rPr>
        <w:t>按照国家规定标准为职工缴纳的基本医疗保险支出。</w:t>
      </w:r>
    </w:p>
    <w:p>
      <w:pPr>
        <w:numPr>
          <w:ilvl w:val="0"/>
          <w:numId w:val="3"/>
        </w:numPr>
        <w:spacing w:line="560" w:lineRule="exact"/>
        <w:rPr>
          <w:rFonts w:ascii="楷体_GB2312" w:hAnsi="楷体_GB2312" w:eastAsia="楷体_GB2312" w:cs="楷体_GB2312"/>
          <w:sz w:val="32"/>
          <w:szCs w:val="32"/>
        </w:rPr>
      </w:pPr>
      <w:r>
        <w:rPr>
          <w:rFonts w:hint="eastAsia" w:ascii="楷体_GB2312" w:hAnsi="楷体_GB2312" w:eastAsia="楷体_GB2312" w:cs="楷体_GB2312"/>
          <w:sz w:val="32"/>
          <w:szCs w:val="32"/>
          <w:lang w:eastAsia="zh-CN"/>
        </w:rPr>
        <w:t>关于丽水市养老服务指导中心</w:t>
      </w:r>
      <w:r>
        <w:rPr>
          <w:rFonts w:hint="eastAsia" w:ascii="楷体_GB2312" w:hAnsi="楷体_GB2312" w:eastAsia="楷体_GB2312" w:cs="楷体_GB2312"/>
          <w:sz w:val="32"/>
          <w:szCs w:val="32"/>
        </w:rPr>
        <w:t>202</w:t>
      </w: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rPr>
        <w:t>年一般公共预算基本支出情况说明</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丽水市</w:t>
      </w:r>
      <w:r>
        <w:rPr>
          <w:rFonts w:hint="eastAsia" w:ascii="仿宋_GB2312" w:hAnsi="宋体" w:eastAsia="仿宋_GB2312" w:cs="宋体"/>
          <w:color w:val="000000"/>
          <w:kern w:val="0"/>
          <w:sz w:val="32"/>
          <w:szCs w:val="32"/>
          <w:lang w:eastAsia="zh-CN"/>
        </w:rPr>
        <w:t>养老服务指导中心</w:t>
      </w:r>
      <w:r>
        <w:rPr>
          <w:rFonts w:hint="eastAsia" w:ascii="仿宋_GB2312" w:hAnsi="宋体" w:eastAsia="仿宋_GB2312" w:cs="宋体"/>
          <w:color w:val="000000"/>
          <w:kern w:val="0"/>
          <w:sz w:val="32"/>
          <w:szCs w:val="32"/>
        </w:rPr>
        <w:t>20</w:t>
      </w:r>
      <w:r>
        <w:rPr>
          <w:rFonts w:hint="eastAsia" w:ascii="仿宋_GB2312" w:hAnsi="宋体" w:eastAsia="仿宋_GB2312" w:cs="宋体"/>
          <w:color w:val="000000"/>
          <w:kern w:val="0"/>
          <w:sz w:val="32"/>
          <w:szCs w:val="32"/>
          <w:lang w:val="en-US" w:eastAsia="zh-CN"/>
        </w:rPr>
        <w:t>22</w:t>
      </w:r>
      <w:r>
        <w:rPr>
          <w:rFonts w:hint="eastAsia" w:ascii="仿宋_GB2312" w:hAnsi="宋体" w:eastAsia="仿宋_GB2312" w:cs="宋体"/>
          <w:color w:val="000000"/>
          <w:kern w:val="0"/>
          <w:sz w:val="32"/>
          <w:szCs w:val="32"/>
        </w:rPr>
        <w:t>年一般公共预算基本支出</w:t>
      </w:r>
      <w:r>
        <w:rPr>
          <w:rFonts w:hint="eastAsia" w:ascii="仿宋_GB2312" w:hAnsi="宋体" w:eastAsia="仿宋_GB2312" w:cs="宋体"/>
          <w:color w:val="000000"/>
          <w:kern w:val="0"/>
          <w:sz w:val="32"/>
          <w:szCs w:val="32"/>
          <w:lang w:val="en-US" w:eastAsia="zh-CN"/>
        </w:rPr>
        <w:t>124.40</w:t>
      </w:r>
      <w:r>
        <w:rPr>
          <w:rFonts w:hint="eastAsia" w:ascii="仿宋_GB2312" w:hAnsi="宋体" w:eastAsia="仿宋_GB2312" w:cs="宋体"/>
          <w:color w:val="000000"/>
          <w:kern w:val="0"/>
          <w:sz w:val="32"/>
          <w:szCs w:val="32"/>
        </w:rPr>
        <w:t>万元，其中：</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人员经费</w:t>
      </w:r>
      <w:r>
        <w:rPr>
          <w:rFonts w:hint="eastAsia" w:ascii="仿宋_GB2312" w:hAnsi="宋体" w:eastAsia="仿宋_GB2312" w:cs="宋体"/>
          <w:color w:val="000000"/>
          <w:kern w:val="0"/>
          <w:sz w:val="32"/>
          <w:szCs w:val="32"/>
          <w:lang w:val="en-US" w:eastAsia="zh-CN"/>
        </w:rPr>
        <w:t>110.00</w:t>
      </w:r>
      <w:r>
        <w:rPr>
          <w:rFonts w:hint="eastAsia" w:ascii="仿宋_GB2312" w:hAnsi="宋体" w:eastAsia="仿宋_GB2312" w:cs="宋体"/>
          <w:color w:val="000000"/>
          <w:kern w:val="0"/>
          <w:sz w:val="32"/>
          <w:szCs w:val="32"/>
        </w:rPr>
        <w:t>万元，主要包括：基本工资、津贴补贴、奖金、绩效工资、机关事业单位基本养老保险缴费、职业年金缴费、住房公积金、医疗费、其他工资福利支出、离休费、退休费、生活补助、医疗费补助、奖励金、其他对个人和家庭的补助；</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公用经费</w:t>
      </w:r>
      <w:r>
        <w:rPr>
          <w:rFonts w:hint="eastAsia" w:ascii="仿宋_GB2312" w:hAnsi="宋体" w:eastAsia="仿宋_GB2312" w:cs="宋体"/>
          <w:color w:val="000000"/>
          <w:kern w:val="0"/>
          <w:sz w:val="32"/>
          <w:szCs w:val="32"/>
          <w:lang w:val="en-US" w:eastAsia="zh-CN"/>
        </w:rPr>
        <w:t>14.39</w:t>
      </w:r>
      <w:r>
        <w:rPr>
          <w:rFonts w:hint="eastAsia" w:ascii="仿宋_GB2312" w:hAnsi="宋体" w:eastAsia="仿宋_GB2312" w:cs="宋体"/>
          <w:color w:val="000000"/>
          <w:kern w:val="0"/>
          <w:sz w:val="32"/>
          <w:szCs w:val="32"/>
        </w:rPr>
        <w:t>万元，主要包括：办公费、水费、电费、邮电费、物业管理费、差旅费、维修（护）费、会议费、培训费、公务接待费、专用材料费、委托业务费、工会经费、福利费、公务用车运行维护费、其他交通费用、其他商品和服务支出、办公设备购置。</w:t>
      </w:r>
    </w:p>
    <w:p>
      <w:pPr>
        <w:numPr>
          <w:ilvl w:val="0"/>
          <w:numId w:val="3"/>
        </w:numPr>
        <w:spacing w:line="560" w:lineRule="exact"/>
        <w:rPr>
          <w:rFonts w:ascii="楷体_GB2312" w:hAnsi="楷体_GB2312" w:eastAsia="楷体_GB2312" w:cs="楷体_GB2312"/>
          <w:sz w:val="32"/>
          <w:szCs w:val="32"/>
        </w:rPr>
      </w:pPr>
      <w:r>
        <w:rPr>
          <w:rFonts w:hint="eastAsia" w:ascii="楷体_GB2312" w:hAnsi="楷体_GB2312" w:eastAsia="楷体_GB2312" w:cs="楷体_GB2312"/>
          <w:sz w:val="32"/>
          <w:szCs w:val="32"/>
        </w:rPr>
        <w:t>关于</w:t>
      </w:r>
      <w:r>
        <w:rPr>
          <w:rFonts w:hint="eastAsia" w:ascii="楷体_GB2312" w:hAnsi="楷体_GB2312" w:eastAsia="楷体_GB2312" w:cs="楷体_GB2312"/>
          <w:sz w:val="32"/>
          <w:szCs w:val="32"/>
          <w:lang w:eastAsia="zh-CN"/>
        </w:rPr>
        <w:t>丽水市养老服务指导中心</w:t>
      </w:r>
      <w:r>
        <w:rPr>
          <w:rFonts w:hint="eastAsia" w:ascii="楷体_GB2312" w:hAnsi="楷体_GB2312" w:eastAsia="楷体_GB2312" w:cs="楷体_GB2312"/>
          <w:sz w:val="32"/>
          <w:szCs w:val="32"/>
        </w:rPr>
        <w:t>202</w:t>
      </w: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rPr>
        <w:t>年政府性基金预算支出情况说明</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eastAsia="仿宋_GB2312"/>
          <w:color w:val="000000"/>
          <w:sz w:val="32"/>
          <w:szCs w:val="32"/>
          <w:lang w:eastAsia="zh-CN"/>
        </w:rPr>
        <w:t>丽水市养老服务指导中心</w:t>
      </w: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年没有使用政府性基金预算拨款安排的支出</w:t>
      </w:r>
    </w:p>
    <w:p>
      <w:pPr>
        <w:numPr>
          <w:ilvl w:val="0"/>
          <w:numId w:val="3"/>
        </w:numPr>
        <w:spacing w:line="560" w:lineRule="exact"/>
        <w:rPr>
          <w:rFonts w:ascii="楷体_GB2312" w:hAnsi="楷体_GB2312" w:eastAsia="楷体_GB2312" w:cs="楷体_GB2312"/>
          <w:sz w:val="32"/>
          <w:szCs w:val="32"/>
        </w:rPr>
      </w:pPr>
      <w:r>
        <w:rPr>
          <w:rFonts w:hint="eastAsia" w:ascii="楷体_GB2312" w:hAnsi="楷体_GB2312" w:eastAsia="楷体_GB2312" w:cs="楷体_GB2312"/>
          <w:sz w:val="32"/>
          <w:szCs w:val="32"/>
          <w:lang w:eastAsia="zh-CN"/>
        </w:rPr>
        <w:t>关于丽水市养老服务指导中心</w:t>
      </w:r>
      <w:r>
        <w:rPr>
          <w:rFonts w:hint="eastAsia" w:ascii="楷体_GB2312" w:hAnsi="楷体_GB2312" w:eastAsia="楷体_GB2312" w:cs="楷体_GB2312"/>
          <w:sz w:val="32"/>
          <w:szCs w:val="32"/>
          <w:lang w:val="en-US" w:eastAsia="zh-CN"/>
        </w:rPr>
        <w:t>2022年国有资本经营预算支出情况说明</w:t>
      </w:r>
    </w:p>
    <w:p>
      <w:pPr>
        <w:spacing w:line="560" w:lineRule="exact"/>
        <w:ind w:firstLine="640" w:firstLineChars="200"/>
        <w:rPr>
          <w:rFonts w:hint="eastAsia" w:ascii="仿宋_GB2312" w:hAnsi="宋体" w:eastAsia="仿宋_GB2312" w:cs="宋体"/>
          <w:color w:val="000000"/>
          <w:kern w:val="0"/>
          <w:sz w:val="32"/>
          <w:szCs w:val="32"/>
          <w:lang w:eastAsia="zh-CN"/>
        </w:rPr>
      </w:pPr>
      <w:r>
        <w:rPr>
          <w:rFonts w:hint="eastAsia" w:ascii="仿宋_GB2312" w:eastAsia="仿宋_GB2312"/>
          <w:color w:val="000000"/>
          <w:sz w:val="32"/>
          <w:szCs w:val="32"/>
          <w:lang w:eastAsia="zh-CN"/>
        </w:rPr>
        <w:t>丽水市养老服务指导中心</w:t>
      </w: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年没有</w:t>
      </w:r>
      <w:r>
        <w:rPr>
          <w:rFonts w:hint="eastAsia" w:ascii="仿宋_GB2312" w:eastAsia="仿宋_GB2312"/>
          <w:color w:val="000000"/>
          <w:sz w:val="32"/>
          <w:szCs w:val="32"/>
          <w:lang w:eastAsia="zh-CN"/>
        </w:rPr>
        <w:t>国有资本经营预算支出。</w:t>
      </w:r>
    </w:p>
    <w:p>
      <w:pPr>
        <w:numPr>
          <w:ilvl w:val="0"/>
          <w:numId w:val="3"/>
        </w:numPr>
        <w:spacing w:line="560" w:lineRule="exact"/>
        <w:rPr>
          <w:rFonts w:ascii="楷体_GB2312" w:hAnsi="楷体_GB2312" w:eastAsia="楷体_GB2312" w:cs="楷体_GB2312"/>
          <w:sz w:val="32"/>
          <w:szCs w:val="32"/>
        </w:rPr>
      </w:pPr>
      <w:r>
        <w:rPr>
          <w:rFonts w:hint="eastAsia" w:ascii="楷体_GB2312" w:hAnsi="楷体_GB2312" w:eastAsia="楷体_GB2312" w:cs="楷体_GB2312"/>
          <w:sz w:val="32"/>
          <w:szCs w:val="32"/>
        </w:rPr>
        <w:t>关于</w:t>
      </w:r>
      <w:r>
        <w:rPr>
          <w:rFonts w:hint="eastAsia" w:ascii="楷体_GB2312" w:hAnsi="楷体_GB2312" w:eastAsia="楷体_GB2312" w:cs="楷体_GB2312"/>
          <w:sz w:val="32"/>
          <w:szCs w:val="32"/>
          <w:lang w:eastAsia="zh-CN"/>
        </w:rPr>
        <w:t>丽水市养老服务指导中心</w:t>
      </w:r>
      <w:r>
        <w:rPr>
          <w:rFonts w:hint="eastAsia" w:ascii="楷体_GB2312" w:hAnsi="楷体_GB2312" w:eastAsia="楷体_GB2312" w:cs="楷体_GB2312"/>
          <w:sz w:val="32"/>
          <w:szCs w:val="32"/>
        </w:rPr>
        <w:t>202</w:t>
      </w: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rPr>
        <w:t>年一般公共预算“三公”经费预算情况说明</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丽水市</w:t>
      </w:r>
      <w:r>
        <w:rPr>
          <w:rFonts w:hint="eastAsia" w:ascii="仿宋_GB2312" w:eastAsia="仿宋_GB2312"/>
          <w:color w:val="000000"/>
          <w:sz w:val="32"/>
          <w:szCs w:val="32"/>
          <w:lang w:eastAsia="zh-CN"/>
        </w:rPr>
        <w:t>养老服务指导中心</w:t>
      </w: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2</w:t>
      </w:r>
      <w:r>
        <w:rPr>
          <w:rFonts w:hint="eastAsia" w:ascii="仿宋_GB2312" w:hAnsi="宋体" w:eastAsia="仿宋_GB2312" w:cs="宋体"/>
          <w:color w:val="000000"/>
          <w:kern w:val="0"/>
          <w:sz w:val="32"/>
          <w:szCs w:val="32"/>
        </w:rPr>
        <w:t xml:space="preserve"> 年“三公”经费预算数为</w:t>
      </w:r>
      <w:r>
        <w:rPr>
          <w:rFonts w:hint="eastAsia" w:ascii="仿宋_GB2312" w:hAnsi="宋体" w:eastAsia="仿宋_GB2312" w:cs="宋体"/>
          <w:color w:val="000000"/>
          <w:kern w:val="0"/>
          <w:sz w:val="32"/>
          <w:szCs w:val="32"/>
          <w:lang w:val="en-US" w:eastAsia="zh-CN"/>
        </w:rPr>
        <w:t>0.25</w:t>
      </w:r>
      <w:r>
        <w:rPr>
          <w:rFonts w:hint="eastAsia" w:ascii="仿宋_GB2312" w:hAnsi="宋体" w:eastAsia="仿宋_GB2312" w:cs="宋体"/>
          <w:color w:val="000000"/>
          <w:kern w:val="0"/>
          <w:sz w:val="32"/>
          <w:szCs w:val="32"/>
        </w:rPr>
        <w:t>万元，比20</w:t>
      </w:r>
      <w:r>
        <w:rPr>
          <w:rFonts w:hint="eastAsia" w:ascii="仿宋_GB2312" w:hAnsi="宋体" w:eastAsia="仿宋_GB2312" w:cs="宋体"/>
          <w:color w:val="000000"/>
          <w:kern w:val="0"/>
          <w:sz w:val="32"/>
          <w:szCs w:val="32"/>
          <w:lang w:val="en-US" w:eastAsia="zh-CN"/>
        </w:rPr>
        <w:t>21</w:t>
      </w:r>
      <w:r>
        <w:rPr>
          <w:rFonts w:hint="eastAsia" w:ascii="仿宋_GB2312" w:hAnsi="宋体" w:eastAsia="仿宋_GB2312" w:cs="宋体"/>
          <w:color w:val="000000"/>
          <w:kern w:val="0"/>
          <w:sz w:val="32"/>
          <w:szCs w:val="32"/>
        </w:rPr>
        <w:t>年执行数</w:t>
      </w:r>
      <w:r>
        <w:rPr>
          <w:rFonts w:hint="eastAsia" w:ascii="仿宋_GB2312" w:hAnsi="宋体" w:eastAsia="仿宋_GB2312" w:cs="宋体"/>
          <w:color w:val="000000"/>
          <w:kern w:val="0"/>
          <w:sz w:val="32"/>
          <w:szCs w:val="32"/>
          <w:lang w:eastAsia="zh-CN"/>
        </w:rPr>
        <w:t>增加</w:t>
      </w:r>
      <w:r>
        <w:rPr>
          <w:rFonts w:hint="eastAsia" w:ascii="仿宋_GB2312" w:hAnsi="宋体" w:eastAsia="仿宋_GB2312" w:cs="宋体"/>
          <w:color w:val="000000"/>
          <w:kern w:val="0"/>
          <w:sz w:val="32"/>
          <w:szCs w:val="32"/>
          <w:lang w:val="en-US" w:eastAsia="zh-CN"/>
        </w:rPr>
        <w:t>0.04</w:t>
      </w:r>
      <w:r>
        <w:rPr>
          <w:rFonts w:hint="eastAsia" w:ascii="仿宋_GB2312" w:hAnsi="宋体" w:eastAsia="仿宋_GB2312" w:cs="宋体"/>
          <w:color w:val="000000"/>
          <w:kern w:val="0"/>
          <w:sz w:val="32"/>
          <w:szCs w:val="32"/>
        </w:rPr>
        <w:t>万元，</w:t>
      </w:r>
      <w:r>
        <w:rPr>
          <w:rFonts w:hint="eastAsia" w:ascii="仿宋_GB2312" w:hAnsi="宋体" w:eastAsia="仿宋_GB2312" w:cs="宋体"/>
          <w:color w:val="000000"/>
          <w:kern w:val="0"/>
          <w:sz w:val="32"/>
          <w:szCs w:val="32"/>
          <w:lang w:eastAsia="zh-CN"/>
        </w:rPr>
        <w:t>增加</w:t>
      </w:r>
      <w:r>
        <w:rPr>
          <w:rFonts w:hint="eastAsia" w:ascii="仿宋_GB2312" w:hAnsi="宋体" w:eastAsia="仿宋_GB2312" w:cs="宋体"/>
          <w:color w:val="000000"/>
          <w:kern w:val="0"/>
          <w:sz w:val="32"/>
          <w:szCs w:val="32"/>
          <w:lang w:val="en-US" w:eastAsia="zh-CN"/>
        </w:rPr>
        <w:t>19</w:t>
      </w:r>
      <w:r>
        <w:rPr>
          <w:rFonts w:hint="eastAsia" w:ascii="仿宋_GB2312" w:hAnsi="宋体" w:eastAsia="仿宋_GB2312" w:cs="宋体"/>
          <w:color w:val="000000"/>
          <w:kern w:val="0"/>
          <w:sz w:val="32"/>
          <w:szCs w:val="32"/>
        </w:rPr>
        <w:t>%，具体如下：</w:t>
      </w:r>
    </w:p>
    <w:p>
      <w:pPr>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因公出国（境）费用：根据市外办安排的因公出国计划和实际工作需要，2022年安排因公出国（境）费用预算0万元，与上年执行数持平。主要用于机关及下属预算单位人员等公务出国（境）的国际旅费、国外城市间交通费、住宿费、伙食费、培训费、公杂费等支出。</w:t>
      </w:r>
    </w:p>
    <w:p>
      <w:pPr>
        <w:spacing w:line="560" w:lineRule="exact"/>
        <w:ind w:firstLine="640" w:firstLineChars="200"/>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.公务接待费：</w:t>
      </w:r>
      <w:r>
        <w:rPr>
          <w:rFonts w:hint="eastAsia" w:ascii="仿宋_GB2312" w:hAnsi="宋体" w:eastAsia="仿宋_GB2312" w:cs="宋体"/>
          <w:color w:val="000000"/>
          <w:kern w:val="0"/>
          <w:sz w:val="32"/>
          <w:szCs w:val="32"/>
          <w:lang w:val="en-US" w:eastAsia="zh-CN"/>
        </w:rPr>
        <w:t>2022</w:t>
      </w:r>
      <w:r>
        <w:rPr>
          <w:rFonts w:hint="eastAsia" w:ascii="仿宋_GB2312" w:hAnsi="宋体" w:eastAsia="仿宋_GB2312" w:cs="宋体"/>
          <w:color w:val="000000"/>
          <w:kern w:val="0"/>
          <w:sz w:val="32"/>
          <w:szCs w:val="32"/>
        </w:rPr>
        <w:t>年安排公务接待费预算</w:t>
      </w:r>
      <w:r>
        <w:rPr>
          <w:rFonts w:hint="eastAsia" w:ascii="仿宋_GB2312" w:hAnsi="宋体" w:eastAsia="仿宋_GB2312" w:cs="宋体"/>
          <w:color w:val="000000"/>
          <w:kern w:val="0"/>
          <w:sz w:val="32"/>
          <w:szCs w:val="32"/>
          <w:lang w:val="en-US" w:eastAsia="zh-CN"/>
        </w:rPr>
        <w:t>0.25</w:t>
      </w:r>
      <w:r>
        <w:rPr>
          <w:rFonts w:hint="eastAsia" w:ascii="仿宋_GB2312" w:hAnsi="宋体" w:eastAsia="仿宋_GB2312" w:cs="宋体"/>
          <w:color w:val="000000"/>
          <w:kern w:val="0"/>
          <w:sz w:val="32"/>
          <w:szCs w:val="32"/>
        </w:rPr>
        <w:t>万元，比上年执行数</w:t>
      </w:r>
      <w:r>
        <w:rPr>
          <w:rFonts w:hint="eastAsia" w:ascii="仿宋_GB2312" w:hAnsi="宋体" w:eastAsia="仿宋_GB2312" w:cs="宋体"/>
          <w:color w:val="000000"/>
          <w:kern w:val="0"/>
          <w:sz w:val="32"/>
          <w:szCs w:val="32"/>
          <w:lang w:eastAsia="zh-CN"/>
        </w:rPr>
        <w:t>增加</w:t>
      </w:r>
      <w:r>
        <w:rPr>
          <w:rFonts w:hint="eastAsia" w:ascii="仿宋_GB2312" w:hAnsi="宋体" w:eastAsia="仿宋_GB2312" w:cs="宋体"/>
          <w:color w:val="000000"/>
          <w:kern w:val="0"/>
          <w:sz w:val="32"/>
          <w:szCs w:val="32"/>
          <w:lang w:val="en-US" w:eastAsia="zh-CN"/>
        </w:rPr>
        <w:t>0.04</w:t>
      </w:r>
      <w:r>
        <w:rPr>
          <w:rFonts w:hint="eastAsia" w:ascii="仿宋_GB2312" w:hAnsi="宋体" w:eastAsia="仿宋_GB2312" w:cs="宋体"/>
          <w:color w:val="000000"/>
          <w:kern w:val="0"/>
          <w:sz w:val="32"/>
          <w:szCs w:val="32"/>
        </w:rPr>
        <w:t>万元，</w:t>
      </w:r>
      <w:r>
        <w:rPr>
          <w:rFonts w:hint="eastAsia" w:ascii="仿宋_GB2312" w:hAnsi="宋体" w:eastAsia="仿宋_GB2312" w:cs="宋体"/>
          <w:color w:val="000000"/>
          <w:kern w:val="0"/>
          <w:sz w:val="32"/>
          <w:szCs w:val="32"/>
          <w:lang w:eastAsia="zh-CN"/>
        </w:rPr>
        <w:t>增加</w:t>
      </w:r>
      <w:r>
        <w:rPr>
          <w:rFonts w:hint="eastAsia" w:ascii="仿宋_GB2312" w:hAnsi="宋体" w:eastAsia="仿宋_GB2312" w:cs="宋体"/>
          <w:color w:val="000000"/>
          <w:kern w:val="0"/>
          <w:sz w:val="32"/>
          <w:szCs w:val="32"/>
          <w:lang w:val="en-US" w:eastAsia="zh-CN"/>
        </w:rPr>
        <w:t>19</w:t>
      </w:r>
      <w:r>
        <w:rPr>
          <w:rFonts w:hint="eastAsia" w:ascii="仿宋_GB2312" w:hAnsi="宋体" w:eastAsia="仿宋_GB2312" w:cs="宋体"/>
          <w:color w:val="000000"/>
          <w:kern w:val="0"/>
          <w:sz w:val="32"/>
          <w:szCs w:val="32"/>
        </w:rPr>
        <w:t>%。主要用于</w:t>
      </w:r>
      <w:r>
        <w:rPr>
          <w:rFonts w:hint="eastAsia" w:ascii="仿宋_GB2312" w:hAnsi="宋体" w:eastAsia="仿宋_GB2312" w:cs="宋体"/>
          <w:color w:val="000000"/>
          <w:kern w:val="0"/>
          <w:sz w:val="32"/>
          <w:szCs w:val="32"/>
          <w:lang w:eastAsia="zh-CN"/>
        </w:rPr>
        <w:t>丽水市养老服务指导中心</w:t>
      </w:r>
      <w:r>
        <w:rPr>
          <w:rFonts w:hint="eastAsia" w:ascii="仿宋_GB2312" w:hAnsi="宋体" w:eastAsia="仿宋_GB2312" w:cs="宋体"/>
          <w:color w:val="000000"/>
          <w:kern w:val="0"/>
          <w:sz w:val="32"/>
          <w:szCs w:val="32"/>
        </w:rPr>
        <w:t>各项公务活动接待支出等支出。</w:t>
      </w:r>
      <w:r>
        <w:rPr>
          <w:rFonts w:hint="eastAsia" w:ascii="仿宋_GB2312" w:hAnsi="宋体" w:eastAsia="仿宋_GB2312" w:cs="宋体"/>
          <w:color w:val="000000"/>
          <w:kern w:val="0"/>
          <w:sz w:val="32"/>
          <w:szCs w:val="32"/>
          <w:lang w:eastAsia="zh-CN"/>
        </w:rPr>
        <w:t>增加的原因是下面县市的活动对接业务增加。</w:t>
      </w:r>
    </w:p>
    <w:p>
      <w:pPr>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3.公务用车购置及运行维护费：2022年安排公务用车购置及运行维护费预算</w:t>
      </w:r>
      <w:r>
        <w:rPr>
          <w:rFonts w:hint="eastAsia" w:ascii="仿宋_GB2312" w:hAnsi="宋体" w:eastAsia="仿宋_GB2312" w:cs="宋体"/>
          <w:color w:val="000000"/>
          <w:kern w:val="0"/>
          <w:sz w:val="32"/>
          <w:szCs w:val="32"/>
          <w:lang w:val="en-US" w:eastAsia="zh-CN"/>
        </w:rPr>
        <w:t>0</w:t>
      </w:r>
      <w:r>
        <w:rPr>
          <w:rFonts w:hint="eastAsia" w:ascii="仿宋_GB2312" w:hAnsi="宋体" w:eastAsia="仿宋_GB2312" w:cs="宋体"/>
          <w:color w:val="000000"/>
          <w:kern w:val="0"/>
          <w:sz w:val="32"/>
          <w:szCs w:val="32"/>
        </w:rPr>
        <w:t>万元，与上年执行数持平。其中，公务用车购置支出0万元（含购置税等附加费用），主要用于经批准购置的0辆公务用车，与上年执行数持平；公务用车运行维护费支出</w:t>
      </w:r>
      <w:r>
        <w:rPr>
          <w:rFonts w:hint="eastAsia" w:ascii="仿宋_GB2312" w:hAnsi="宋体" w:eastAsia="仿宋_GB2312" w:cs="宋体"/>
          <w:color w:val="000000"/>
          <w:kern w:val="0"/>
          <w:sz w:val="32"/>
          <w:szCs w:val="32"/>
          <w:lang w:val="en-US" w:eastAsia="zh-CN"/>
        </w:rPr>
        <w:t>0</w:t>
      </w:r>
      <w:r>
        <w:rPr>
          <w:rFonts w:hint="eastAsia" w:ascii="仿宋_GB2312" w:hAnsi="宋体" w:eastAsia="仿宋_GB2312" w:cs="宋体"/>
          <w:color w:val="000000"/>
          <w:kern w:val="0"/>
          <w:sz w:val="32"/>
          <w:szCs w:val="32"/>
        </w:rPr>
        <w:t>万元，</w:t>
      </w:r>
      <w:r>
        <w:rPr>
          <w:rFonts w:hint="eastAsia" w:ascii="仿宋_GB2312" w:hAnsi="宋体" w:eastAsia="仿宋_GB2312" w:cs="宋体"/>
          <w:color w:val="000000"/>
          <w:kern w:val="0"/>
          <w:sz w:val="32"/>
          <w:szCs w:val="32"/>
          <w:lang w:val="en-US" w:eastAsia="zh-CN"/>
        </w:rPr>
        <w:t>与上年执行数持平。</w:t>
      </w:r>
      <w:r>
        <w:rPr>
          <w:rFonts w:hint="eastAsia" w:ascii="仿宋_GB2312" w:hAnsi="宋体" w:eastAsia="仿宋_GB2312" w:cs="宋体"/>
          <w:color w:val="000000"/>
          <w:kern w:val="0"/>
          <w:sz w:val="32"/>
          <w:szCs w:val="32"/>
        </w:rPr>
        <w:t>主要用于丽水市民政行政执法支队开展公务活动等所需的公务用车燃料费、维修费、过桥过路费、保险费、安全奖励费用等支出。</w:t>
      </w:r>
    </w:p>
    <w:p>
      <w:pPr>
        <w:pStyle w:val="2"/>
        <w:rPr>
          <w:rFonts w:hint="eastAsia"/>
          <w:lang w:eastAsia="zh-CN"/>
        </w:rPr>
      </w:pPr>
    </w:p>
    <w:p>
      <w:pPr>
        <w:pStyle w:val="11"/>
        <w:spacing w:line="560" w:lineRule="exact"/>
        <w:ind w:firstLine="600"/>
        <w:rPr>
          <w:rFonts w:ascii="仿宋_GB2312" w:hAnsi="仿宋_GB2312"/>
          <w:b/>
          <w:bCs/>
          <w:sz w:val="32"/>
          <w:szCs w:val="32"/>
        </w:rPr>
      </w:pPr>
      <w:r>
        <w:rPr>
          <w:rFonts w:hint="eastAsia" w:ascii="仿宋_GB2312" w:hAnsi="仿宋_GB2312"/>
          <w:b/>
          <w:bCs/>
          <w:sz w:val="32"/>
          <w:szCs w:val="32"/>
          <w:lang w:eastAsia="zh-CN"/>
        </w:rPr>
        <w:t>十、</w:t>
      </w:r>
      <w:r>
        <w:rPr>
          <w:rFonts w:hint="eastAsia" w:ascii="仿宋_GB2312" w:hAnsi="仿宋_GB2312"/>
          <w:b/>
          <w:bCs/>
          <w:sz w:val="32"/>
          <w:szCs w:val="32"/>
        </w:rPr>
        <w:t>其他重要事项的情况说明</w:t>
      </w:r>
    </w:p>
    <w:p>
      <w:pPr>
        <w:pStyle w:val="11"/>
        <w:spacing w:line="560" w:lineRule="exact"/>
        <w:ind w:firstLine="600"/>
        <w:rPr>
          <w:rFonts w:hint="eastAsia" w:ascii="仿宋_GB2312" w:hAnsi="仿宋_GB2312"/>
          <w:b/>
          <w:bCs/>
          <w:sz w:val="32"/>
          <w:szCs w:val="32"/>
        </w:rPr>
      </w:pPr>
      <w:r>
        <w:rPr>
          <w:rFonts w:ascii="仿宋_GB2312" w:hAnsi="仿宋_GB2312"/>
          <w:b/>
          <w:bCs/>
          <w:sz w:val="32"/>
          <w:szCs w:val="32"/>
        </w:rPr>
        <w:t>1.机关运行经费</w:t>
      </w:r>
    </w:p>
    <w:p>
      <w:pPr>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本单位为事业单位，无机关运行经费预算安排。</w:t>
      </w:r>
    </w:p>
    <w:p>
      <w:pPr>
        <w:pStyle w:val="11"/>
        <w:numPr>
          <w:ilvl w:val="0"/>
          <w:numId w:val="4"/>
        </w:numPr>
        <w:spacing w:line="560" w:lineRule="exact"/>
        <w:ind w:firstLine="600"/>
        <w:rPr>
          <w:rFonts w:hint="eastAsia" w:ascii="仿宋_GB2312" w:hAnsi="仿宋_GB2312"/>
          <w:b/>
          <w:bCs/>
          <w:sz w:val="32"/>
          <w:szCs w:val="32"/>
        </w:rPr>
      </w:pPr>
      <w:r>
        <w:rPr>
          <w:rFonts w:ascii="仿宋_GB2312" w:hAnsi="仿宋_GB2312"/>
          <w:b/>
          <w:bCs/>
          <w:sz w:val="32"/>
          <w:szCs w:val="32"/>
        </w:rPr>
        <w:t>政府采购情况</w:t>
      </w:r>
    </w:p>
    <w:p>
      <w:pPr>
        <w:pStyle w:val="11"/>
        <w:spacing w:line="560" w:lineRule="exact"/>
        <w:ind w:firstLine="640" w:firstLineChars="200"/>
        <w:rPr>
          <w:rFonts w:hint="eastAsia" w:ascii="仿宋_GB2312" w:hAnsi="仿宋_GB2312"/>
          <w:sz w:val="32"/>
          <w:szCs w:val="32"/>
        </w:rPr>
      </w:pPr>
      <w:r>
        <w:rPr>
          <w:rFonts w:hint="eastAsia" w:ascii="仿宋_GB2312" w:hAnsi="宋体" w:eastAsia="仿宋_GB2312" w:cs="宋体"/>
          <w:color w:val="000000"/>
          <w:kern w:val="0"/>
          <w:sz w:val="32"/>
          <w:szCs w:val="32"/>
          <w:lang w:val="en-US" w:eastAsia="zh-CN" w:bidi="ar-SA"/>
        </w:rPr>
        <w:t>2022年丽水市养老服务指导中心政府采购预算总额0万元，其中：政府采购货物预算0万元、政府采购工程预算0万元、政府采购服务预算0万元。</w:t>
      </w:r>
    </w:p>
    <w:p>
      <w:pPr>
        <w:pStyle w:val="11"/>
        <w:spacing w:line="560" w:lineRule="exact"/>
        <w:ind w:firstLine="642"/>
        <w:rPr>
          <w:rFonts w:hint="eastAsia" w:ascii="仿宋_GB2312" w:hAnsi="仿宋_GB2312"/>
          <w:sz w:val="32"/>
          <w:szCs w:val="32"/>
        </w:rPr>
      </w:pPr>
      <w:r>
        <w:rPr>
          <w:rFonts w:ascii="仿宋_GB2312" w:hAnsi="仿宋_GB2312"/>
          <w:b/>
          <w:bCs/>
          <w:sz w:val="32"/>
          <w:szCs w:val="32"/>
        </w:rPr>
        <w:t>3.国有资产占有使用情况</w:t>
      </w:r>
    </w:p>
    <w:p>
      <w:pPr>
        <w:pStyle w:val="11"/>
        <w:spacing w:line="560" w:lineRule="exact"/>
        <w:ind w:firstLine="640" w:firstLineChars="200"/>
        <w:rPr>
          <w:rFonts w:hint="eastAsia"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lang w:val="en-US" w:eastAsia="zh-CN" w:bidi="ar-SA"/>
        </w:rPr>
        <w:t xml:space="preserve">截至2021年12月31日，丽水市养老服务指导中心共有车辆0辆。单位价值50万元以上通用设备0台（套），单位价值100万元以上专用设备0台（套）。 </w:t>
      </w:r>
    </w:p>
    <w:p>
      <w:pPr>
        <w:pStyle w:val="11"/>
        <w:spacing w:line="560" w:lineRule="exact"/>
        <w:ind w:firstLine="640" w:firstLineChars="200"/>
        <w:rPr>
          <w:rFonts w:hint="eastAsia"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lang w:val="en-US" w:eastAsia="zh-CN" w:bidi="ar-SA"/>
        </w:rPr>
        <w:t>2022年部门预算未安排购置车辆、单位价值50万元以上通用设备及单位价值100万元以上专用设备。</w:t>
      </w:r>
    </w:p>
    <w:p>
      <w:pPr>
        <w:pStyle w:val="11"/>
        <w:spacing w:line="560" w:lineRule="exact"/>
        <w:rPr>
          <w:rFonts w:hint="eastAsia" w:ascii="仿宋_GB2312" w:hAnsi="仿宋_GB2312"/>
          <w:b/>
          <w:bCs/>
          <w:sz w:val="32"/>
          <w:szCs w:val="32"/>
        </w:rPr>
      </w:pPr>
      <w:r>
        <w:rPr>
          <w:rFonts w:ascii="仿宋_GB2312" w:hAnsi="仿宋_GB2312"/>
          <w:b/>
          <w:bCs/>
          <w:sz w:val="32"/>
          <w:szCs w:val="32"/>
        </w:rPr>
        <w:t xml:space="preserve">    4.绩效目标设置情况</w:t>
      </w:r>
    </w:p>
    <w:p>
      <w:pPr>
        <w:pStyle w:val="11"/>
        <w:spacing w:line="560" w:lineRule="exact"/>
        <w:ind w:firstLine="640" w:firstLineChars="200"/>
        <w:rPr>
          <w:rFonts w:hint="eastAsia"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lang w:val="en-US" w:eastAsia="zh-CN" w:bidi="ar-SA"/>
        </w:rPr>
        <w:t>2022年丽水市养老服务指导中心无其他运转类项目和特定目标类项目。</w:t>
      </w:r>
    </w:p>
    <w:p>
      <w:pPr>
        <w:pStyle w:val="11"/>
        <w:spacing w:line="560" w:lineRule="exact"/>
        <w:ind w:firstLine="640" w:firstLineChars="200"/>
        <w:rPr>
          <w:rStyle w:val="12"/>
          <w:rFonts w:hint="default" w:ascii="黑体" w:hAnsi="黑体" w:eastAsia="黑体"/>
          <w:b w:val="0"/>
          <w:bCs w:val="0"/>
        </w:rPr>
      </w:pPr>
      <w:r>
        <w:rPr>
          <w:rStyle w:val="12"/>
          <w:rFonts w:hint="default" w:ascii="黑体" w:hAnsi="黑体" w:eastAsia="黑体"/>
          <w:b w:val="0"/>
          <w:bCs w:val="0"/>
        </w:rPr>
        <w:t>三、名词解释</w:t>
      </w:r>
    </w:p>
    <w:p>
      <w:pPr>
        <w:ind w:firstLine="640" w:firstLineChars="200"/>
        <w:rPr>
          <w:rFonts w:hint="eastAsia" w:ascii="仿宋_GB2312" w:hAnsi="宋体" w:eastAsia="仿宋_GB2312" w:cs="宋体"/>
          <w:b w:val="0"/>
          <w:bCs w:val="0"/>
          <w:color w:val="000000"/>
          <w:kern w:val="0"/>
          <w:sz w:val="32"/>
          <w:szCs w:val="32"/>
        </w:rPr>
      </w:pPr>
      <w:r>
        <w:rPr>
          <w:rFonts w:hint="eastAsia" w:ascii="仿宋_GB2312" w:hAnsi="宋体" w:eastAsia="仿宋_GB2312" w:cs="宋体"/>
          <w:b w:val="0"/>
          <w:bCs w:val="0"/>
          <w:color w:val="000000"/>
          <w:kern w:val="0"/>
          <w:sz w:val="32"/>
          <w:szCs w:val="32"/>
        </w:rPr>
        <w:t>1.财政拨款收入：本级财政部门当年拨付的财政预算资金，包括一般公共预算财政拨款和政府性基金预算财政拨款。</w:t>
      </w:r>
    </w:p>
    <w:p>
      <w:pPr>
        <w:ind w:firstLine="640" w:firstLineChars="200"/>
        <w:rPr>
          <w:rFonts w:hint="eastAsia" w:ascii="仿宋_GB2312" w:hAnsi="宋体" w:eastAsia="仿宋_GB2312" w:cs="宋体"/>
          <w:b w:val="0"/>
          <w:bCs w:val="0"/>
          <w:color w:val="000000"/>
          <w:kern w:val="0"/>
          <w:sz w:val="32"/>
          <w:szCs w:val="32"/>
        </w:rPr>
      </w:pPr>
      <w:r>
        <w:rPr>
          <w:rFonts w:hint="eastAsia" w:ascii="仿宋_GB2312" w:hAnsi="宋体" w:eastAsia="仿宋_GB2312" w:cs="宋体"/>
          <w:b w:val="0"/>
          <w:bCs w:val="0"/>
          <w:color w:val="000000"/>
          <w:kern w:val="0"/>
          <w:sz w:val="32"/>
          <w:szCs w:val="32"/>
        </w:rPr>
        <w:t>2.基本支出：是预算单位为保障其正常运转，完成日常工作任务所发生的支出，包括人员支出和日常公用支出。</w:t>
      </w:r>
    </w:p>
    <w:p>
      <w:pPr>
        <w:ind w:firstLine="640" w:firstLineChars="200"/>
        <w:rPr>
          <w:rFonts w:hint="eastAsia" w:ascii="仿宋_GB2312" w:hAnsi="宋体" w:eastAsia="仿宋_GB2312" w:cs="宋体"/>
          <w:b w:val="0"/>
          <w:bCs w:val="0"/>
          <w:color w:val="000000"/>
          <w:kern w:val="0"/>
          <w:sz w:val="32"/>
          <w:szCs w:val="32"/>
        </w:rPr>
      </w:pPr>
      <w:r>
        <w:rPr>
          <w:rFonts w:hint="eastAsia" w:ascii="仿宋_GB2312" w:hAnsi="宋体" w:eastAsia="仿宋_GB2312" w:cs="宋体"/>
          <w:b w:val="0"/>
          <w:bCs w:val="0"/>
          <w:color w:val="000000"/>
          <w:kern w:val="0"/>
          <w:sz w:val="32"/>
          <w:szCs w:val="32"/>
        </w:rPr>
        <w:t>3. “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ind w:firstLine="640" w:firstLineChars="200"/>
        <w:rPr>
          <w:rFonts w:hint="eastAsia" w:ascii="仿宋_GB2312" w:hAnsi="宋体" w:eastAsia="仿宋_GB2312" w:cs="宋体"/>
          <w:b w:val="0"/>
          <w:bCs w:val="0"/>
          <w:color w:val="000000"/>
          <w:kern w:val="0"/>
          <w:sz w:val="32"/>
          <w:szCs w:val="32"/>
        </w:rPr>
      </w:pPr>
      <w:r>
        <w:rPr>
          <w:rFonts w:hint="eastAsia" w:ascii="仿宋_GB2312" w:hAnsi="宋体" w:eastAsia="仿宋_GB2312" w:cs="宋体"/>
          <w:b w:val="0"/>
          <w:bCs w:val="0"/>
          <w:color w:val="000000"/>
          <w:kern w:val="0"/>
          <w:sz w:val="32"/>
          <w:szCs w:val="32"/>
          <w:lang w:val="en-US" w:eastAsia="zh-CN"/>
        </w:rPr>
        <w:t>4</w:t>
      </w:r>
      <w:r>
        <w:rPr>
          <w:rFonts w:hint="eastAsia" w:ascii="仿宋_GB2312" w:hAnsi="宋体" w:eastAsia="仿宋_GB2312" w:cs="宋体"/>
          <w:b w:val="0"/>
          <w:bCs w:val="0"/>
          <w:color w:val="000000"/>
          <w:kern w:val="0"/>
          <w:sz w:val="32"/>
          <w:szCs w:val="32"/>
        </w:rPr>
        <w:t>．社会保障和就业支出（类）-行政事业单位离退休（款）-未归口管理的行政单位离退休（项）：指反映未实行归口管理的行政单位（包括实行公务员管理的事业单位）开支的离退休支出。</w:t>
      </w:r>
    </w:p>
    <w:p>
      <w:pPr>
        <w:ind w:firstLine="640" w:firstLineChars="200"/>
        <w:rPr>
          <w:rFonts w:hint="eastAsia" w:ascii="仿宋_GB2312" w:hAnsi="宋体" w:eastAsia="仿宋_GB2312" w:cs="宋体"/>
          <w:b w:val="0"/>
          <w:bCs w:val="0"/>
          <w:color w:val="000000"/>
          <w:kern w:val="0"/>
          <w:sz w:val="32"/>
          <w:szCs w:val="32"/>
        </w:rPr>
      </w:pPr>
      <w:r>
        <w:rPr>
          <w:rFonts w:hint="eastAsia" w:ascii="仿宋_GB2312" w:hAnsi="宋体" w:eastAsia="仿宋_GB2312" w:cs="宋体"/>
          <w:b w:val="0"/>
          <w:bCs w:val="0"/>
          <w:color w:val="000000"/>
          <w:kern w:val="0"/>
          <w:sz w:val="32"/>
          <w:szCs w:val="32"/>
          <w:lang w:val="en-US" w:eastAsia="zh-CN"/>
        </w:rPr>
        <w:t>5</w:t>
      </w:r>
      <w:r>
        <w:rPr>
          <w:rFonts w:hint="eastAsia" w:ascii="仿宋_GB2312" w:hAnsi="宋体" w:eastAsia="仿宋_GB2312" w:cs="宋体"/>
          <w:b w:val="0"/>
          <w:bCs w:val="0"/>
          <w:color w:val="000000"/>
          <w:kern w:val="0"/>
          <w:sz w:val="32"/>
          <w:szCs w:val="32"/>
        </w:rPr>
        <w:t>．社会保障和就业支出（类）-行政事业单位养老支出（款）-机关事业单位基本养老保险缴费支出（项）：指反映机关事业单位实施养老保险制度由单位实施缴纳的基本养老保险费支出。</w:t>
      </w:r>
    </w:p>
    <w:p>
      <w:pPr>
        <w:ind w:firstLine="640" w:firstLineChars="200"/>
        <w:rPr>
          <w:rFonts w:hint="eastAsia" w:ascii="仿宋_GB2312" w:hAnsi="宋体" w:eastAsia="仿宋_GB2312" w:cs="宋体"/>
          <w:b w:val="0"/>
          <w:bCs w:val="0"/>
          <w:color w:val="000000"/>
          <w:kern w:val="0"/>
          <w:sz w:val="32"/>
          <w:szCs w:val="32"/>
        </w:rPr>
      </w:pPr>
      <w:r>
        <w:rPr>
          <w:rFonts w:hint="eastAsia" w:ascii="仿宋_GB2312" w:hAnsi="宋体" w:eastAsia="仿宋_GB2312" w:cs="宋体"/>
          <w:b w:val="0"/>
          <w:bCs w:val="0"/>
          <w:color w:val="000000"/>
          <w:kern w:val="0"/>
          <w:sz w:val="32"/>
          <w:szCs w:val="32"/>
          <w:lang w:val="en-US" w:eastAsia="zh-CN"/>
        </w:rPr>
        <w:t>6</w:t>
      </w:r>
      <w:r>
        <w:rPr>
          <w:rFonts w:hint="eastAsia" w:ascii="仿宋_GB2312" w:hAnsi="宋体" w:eastAsia="仿宋_GB2312" w:cs="宋体"/>
          <w:b w:val="0"/>
          <w:bCs w:val="0"/>
          <w:color w:val="000000"/>
          <w:kern w:val="0"/>
          <w:sz w:val="32"/>
          <w:szCs w:val="32"/>
        </w:rPr>
        <w:t>．社会保障和就</w:t>
      </w:r>
      <w:bookmarkStart w:id="0" w:name="_GoBack"/>
      <w:bookmarkEnd w:id="0"/>
      <w:r>
        <w:rPr>
          <w:rFonts w:hint="eastAsia" w:ascii="仿宋_GB2312" w:hAnsi="宋体" w:eastAsia="仿宋_GB2312" w:cs="宋体"/>
          <w:b w:val="0"/>
          <w:bCs w:val="0"/>
          <w:color w:val="000000"/>
          <w:kern w:val="0"/>
          <w:sz w:val="32"/>
          <w:szCs w:val="32"/>
        </w:rPr>
        <w:t>业支出（类）-行政事业单位养老支出（款）-机关事业单位职业年金缴费支出（项）：指反映机关事业单位实施养老保险制度由单位实施缴纳的职业年金支出。</w:t>
      </w:r>
    </w:p>
    <w:p>
      <w:pPr>
        <w:ind w:firstLine="640" w:firstLineChars="200"/>
        <w:rPr>
          <w:rFonts w:hint="default" w:ascii="仿宋_GB2312" w:hAnsi="宋体" w:eastAsia="仿宋_GB2312" w:cs="宋体"/>
          <w:b w:val="0"/>
          <w:bCs w:val="0"/>
          <w:color w:val="000000"/>
          <w:kern w:val="0"/>
          <w:sz w:val="32"/>
          <w:szCs w:val="32"/>
          <w:lang w:val="en-US" w:eastAsia="zh-CN"/>
        </w:rPr>
      </w:pPr>
    </w:p>
    <w:p>
      <w:pPr>
        <w:ind w:firstLine="640" w:firstLineChars="200"/>
        <w:rPr>
          <w:rFonts w:hint="eastAsia" w:ascii="仿宋_GB2312" w:hAnsi="宋体" w:eastAsia="仿宋_GB2312" w:cs="宋体"/>
          <w:b w:val="0"/>
          <w:bCs w:val="0"/>
          <w:color w:val="000000"/>
          <w:kern w:val="0"/>
          <w:sz w:val="32"/>
          <w:szCs w:val="32"/>
        </w:rPr>
      </w:pPr>
    </w:p>
    <w:sectPr>
      <w:pgSz w:w="11906" w:h="16838"/>
      <w:pgMar w:top="1440" w:right="1293" w:bottom="1440" w:left="106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创艺简标宋">
    <w:altName w:val="方正舒体"/>
    <w:panose1 w:val="00000000000000000000"/>
    <w:charset w:val="86"/>
    <w:family w:val="auto"/>
    <w:pitch w:val="default"/>
    <w:sig w:usb0="00000000" w:usb1="00000000" w:usb2="00000000"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389411"/>
    <w:multiLevelType w:val="singleLevel"/>
    <w:tmpl w:val="BF389411"/>
    <w:lvl w:ilvl="0" w:tentative="0">
      <w:start w:val="1"/>
      <w:numFmt w:val="chineseCounting"/>
      <w:suff w:val="nothing"/>
      <w:lvlText w:val="%1、"/>
      <w:lvlJc w:val="left"/>
      <w:pPr>
        <w:ind w:left="0" w:firstLine="420"/>
      </w:pPr>
      <w:rPr>
        <w:rFonts w:hint="eastAsia"/>
      </w:rPr>
    </w:lvl>
  </w:abstractNum>
  <w:abstractNum w:abstractNumId="1">
    <w:nsid w:val="198E06FD"/>
    <w:multiLevelType w:val="multilevel"/>
    <w:tmpl w:val="198E06FD"/>
    <w:lvl w:ilvl="0" w:tentative="0">
      <w:start w:val="2"/>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3C827421"/>
    <w:multiLevelType w:val="singleLevel"/>
    <w:tmpl w:val="3C827421"/>
    <w:lvl w:ilvl="0" w:tentative="0">
      <w:start w:val="1"/>
      <w:numFmt w:val="chineseCounting"/>
      <w:suff w:val="nothing"/>
      <w:lvlText w:val="（%1）"/>
      <w:lvlJc w:val="left"/>
      <w:pPr>
        <w:ind w:left="0" w:firstLine="420"/>
      </w:pPr>
      <w:rPr>
        <w:rFonts w:hint="eastAsia"/>
      </w:rPr>
    </w:lvl>
  </w:abstractNum>
  <w:abstractNum w:abstractNumId="3">
    <w:nsid w:val="60C83533"/>
    <w:multiLevelType w:val="singleLevel"/>
    <w:tmpl w:val="60C83533"/>
    <w:lvl w:ilvl="0" w:tentative="0">
      <w:start w:val="1"/>
      <w:numFmt w:val="chineseCounting"/>
      <w:suff w:val="nothing"/>
      <w:lvlText w:val="（%1）"/>
      <w:lvlJc w:val="left"/>
      <w:pPr>
        <w:ind w:left="0" w:firstLine="420"/>
      </w:pPr>
      <w:rPr>
        <w:rFonts w:hint="eastAsia"/>
      </w:rPr>
    </w:lvl>
  </w:abstractNum>
  <w:num w:numId="1">
    <w:abstractNumId w:val="0"/>
  </w:num>
  <w:num w:numId="2">
    <w:abstractNumId w:val="2"/>
  </w:num>
  <w:num w:numId="3">
    <w:abstractNumId w:val="3"/>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iMDc4NjdkODRjODIyYjY5M2Q5ZDAzMjdlODdlYWQifQ=="/>
  </w:docVars>
  <w:rsids>
    <w:rsidRoot w:val="13163AC0"/>
    <w:rsid w:val="0001504A"/>
    <w:rsid w:val="0003115D"/>
    <w:rsid w:val="00045F87"/>
    <w:rsid w:val="000754BE"/>
    <w:rsid w:val="00095197"/>
    <w:rsid w:val="000F22BA"/>
    <w:rsid w:val="00125554"/>
    <w:rsid w:val="00155B37"/>
    <w:rsid w:val="00167D24"/>
    <w:rsid w:val="00172574"/>
    <w:rsid w:val="001726F5"/>
    <w:rsid w:val="00191D50"/>
    <w:rsid w:val="001C5166"/>
    <w:rsid w:val="001C78F2"/>
    <w:rsid w:val="001D0757"/>
    <w:rsid w:val="002660DA"/>
    <w:rsid w:val="0026726B"/>
    <w:rsid w:val="00272254"/>
    <w:rsid w:val="00283B03"/>
    <w:rsid w:val="002B4F54"/>
    <w:rsid w:val="002E1CDF"/>
    <w:rsid w:val="00360781"/>
    <w:rsid w:val="0036778D"/>
    <w:rsid w:val="00380BF1"/>
    <w:rsid w:val="0039741D"/>
    <w:rsid w:val="003C6F9B"/>
    <w:rsid w:val="00406EB5"/>
    <w:rsid w:val="00450B74"/>
    <w:rsid w:val="004566E1"/>
    <w:rsid w:val="0046195F"/>
    <w:rsid w:val="004C5343"/>
    <w:rsid w:val="004D624D"/>
    <w:rsid w:val="00550E69"/>
    <w:rsid w:val="005825DD"/>
    <w:rsid w:val="005A563C"/>
    <w:rsid w:val="005E0F90"/>
    <w:rsid w:val="005E1164"/>
    <w:rsid w:val="00630A91"/>
    <w:rsid w:val="00644BEA"/>
    <w:rsid w:val="00650F90"/>
    <w:rsid w:val="00664205"/>
    <w:rsid w:val="00682A07"/>
    <w:rsid w:val="00694A77"/>
    <w:rsid w:val="006A0DB2"/>
    <w:rsid w:val="006E6E4A"/>
    <w:rsid w:val="0070248B"/>
    <w:rsid w:val="00707821"/>
    <w:rsid w:val="00712A09"/>
    <w:rsid w:val="00714C2B"/>
    <w:rsid w:val="00740947"/>
    <w:rsid w:val="007459B8"/>
    <w:rsid w:val="00746811"/>
    <w:rsid w:val="00751EDF"/>
    <w:rsid w:val="0075611E"/>
    <w:rsid w:val="00762DFD"/>
    <w:rsid w:val="00782B28"/>
    <w:rsid w:val="00786846"/>
    <w:rsid w:val="007962CA"/>
    <w:rsid w:val="007967B1"/>
    <w:rsid w:val="00796CDD"/>
    <w:rsid w:val="007B31D4"/>
    <w:rsid w:val="007C37E7"/>
    <w:rsid w:val="007C42CC"/>
    <w:rsid w:val="007E3F7E"/>
    <w:rsid w:val="007F44D1"/>
    <w:rsid w:val="00832F7A"/>
    <w:rsid w:val="00836783"/>
    <w:rsid w:val="00845C52"/>
    <w:rsid w:val="008878E9"/>
    <w:rsid w:val="00895D60"/>
    <w:rsid w:val="008C2CAC"/>
    <w:rsid w:val="008F529D"/>
    <w:rsid w:val="00970B25"/>
    <w:rsid w:val="00977542"/>
    <w:rsid w:val="00985D7B"/>
    <w:rsid w:val="009B4BCA"/>
    <w:rsid w:val="009D412F"/>
    <w:rsid w:val="009D57C2"/>
    <w:rsid w:val="009F741D"/>
    <w:rsid w:val="00A13D3A"/>
    <w:rsid w:val="00A430F7"/>
    <w:rsid w:val="00A50CBD"/>
    <w:rsid w:val="00A62E23"/>
    <w:rsid w:val="00A833C7"/>
    <w:rsid w:val="00A85908"/>
    <w:rsid w:val="00AA66EA"/>
    <w:rsid w:val="00B23D99"/>
    <w:rsid w:val="00BB6E08"/>
    <w:rsid w:val="00BD2813"/>
    <w:rsid w:val="00C01D90"/>
    <w:rsid w:val="00C06411"/>
    <w:rsid w:val="00C344B9"/>
    <w:rsid w:val="00C50A60"/>
    <w:rsid w:val="00C5377B"/>
    <w:rsid w:val="00C66E97"/>
    <w:rsid w:val="00C70031"/>
    <w:rsid w:val="00C772CE"/>
    <w:rsid w:val="00C804D4"/>
    <w:rsid w:val="00C832FB"/>
    <w:rsid w:val="00C8571D"/>
    <w:rsid w:val="00C95C60"/>
    <w:rsid w:val="00CA58A6"/>
    <w:rsid w:val="00CB4364"/>
    <w:rsid w:val="00CE7BBC"/>
    <w:rsid w:val="00CF01AC"/>
    <w:rsid w:val="00D00F99"/>
    <w:rsid w:val="00D074E0"/>
    <w:rsid w:val="00D56532"/>
    <w:rsid w:val="00D57E5E"/>
    <w:rsid w:val="00D6796E"/>
    <w:rsid w:val="00D74E4B"/>
    <w:rsid w:val="00D96B5B"/>
    <w:rsid w:val="00E50168"/>
    <w:rsid w:val="00E64176"/>
    <w:rsid w:val="00E66B0B"/>
    <w:rsid w:val="00E86E01"/>
    <w:rsid w:val="00EB163E"/>
    <w:rsid w:val="00EE1118"/>
    <w:rsid w:val="00F47B23"/>
    <w:rsid w:val="00F603A2"/>
    <w:rsid w:val="00F70A13"/>
    <w:rsid w:val="00FA3EF4"/>
    <w:rsid w:val="00FA60FD"/>
    <w:rsid w:val="00FF7616"/>
    <w:rsid w:val="03A45B28"/>
    <w:rsid w:val="03FE4B61"/>
    <w:rsid w:val="05BB0DC9"/>
    <w:rsid w:val="065735E9"/>
    <w:rsid w:val="13163AC0"/>
    <w:rsid w:val="17097A06"/>
    <w:rsid w:val="1FA60400"/>
    <w:rsid w:val="22772EE2"/>
    <w:rsid w:val="2B584195"/>
    <w:rsid w:val="2D6B34DC"/>
    <w:rsid w:val="32486CE1"/>
    <w:rsid w:val="34057185"/>
    <w:rsid w:val="4B3B5564"/>
    <w:rsid w:val="53843FC2"/>
    <w:rsid w:val="563D3C9A"/>
    <w:rsid w:val="72390446"/>
    <w:rsid w:val="7E463AD0"/>
    <w:rsid w:val="7FE07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kern w:val="0"/>
      <w:sz w:val="24"/>
      <w:szCs w:val="22"/>
      <w:lang w:val="en-US" w:eastAsia="zh-CN" w:bidi="ar-SA"/>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rFonts w:ascii="宋体" w:hAnsi="宋体" w:cs="Courier New"/>
      <w:b/>
      <w:bCs/>
      <w:sz w:val="32"/>
      <w:szCs w:val="32"/>
    </w:rPr>
  </w:style>
  <w:style w:type="paragraph" w:customStyle="1" w:styleId="8">
    <w:name w:val="样式1"/>
    <w:basedOn w:val="1"/>
    <w:qFormat/>
    <w:uiPriority w:val="0"/>
  </w:style>
  <w:style w:type="character" w:customStyle="1" w:styleId="9">
    <w:name w:val="页眉 Char"/>
    <w:basedOn w:val="6"/>
    <w:link w:val="4"/>
    <w:qFormat/>
    <w:uiPriority w:val="0"/>
    <w:rPr>
      <w:kern w:val="2"/>
      <w:sz w:val="18"/>
      <w:szCs w:val="18"/>
    </w:rPr>
  </w:style>
  <w:style w:type="character" w:customStyle="1" w:styleId="10">
    <w:name w:val="页脚 Char"/>
    <w:basedOn w:val="6"/>
    <w:link w:val="3"/>
    <w:qFormat/>
    <w:uiPriority w:val="0"/>
    <w:rPr>
      <w:kern w:val="2"/>
      <w:sz w:val="18"/>
      <w:szCs w:val="18"/>
    </w:rPr>
  </w:style>
  <w:style w:type="paragraph" w:customStyle="1" w:styleId="11">
    <w:name w:val="p0"/>
    <w:basedOn w:val="1"/>
    <w:qFormat/>
    <w:uiPriority w:val="0"/>
    <w:pPr>
      <w:widowControl/>
    </w:pPr>
    <w:rPr>
      <w:kern w:val="0"/>
      <w:szCs w:val="21"/>
    </w:rPr>
  </w:style>
  <w:style w:type="character" w:customStyle="1" w:styleId="12">
    <w:name w:val="15"/>
    <w:basedOn w:val="6"/>
    <w:qFormat/>
    <w:uiPriority w:val="0"/>
    <w:rPr>
      <w:rFonts w:hint="eastAsia" w:ascii="宋体" w:hAnsi="宋体" w:eastAsia="宋体" w:cs="Courier New"/>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2901</Words>
  <Characters>3202</Characters>
  <Lines>52</Lines>
  <Paragraphs>14</Paragraphs>
  <TotalTime>1</TotalTime>
  <ScaleCrop>false</ScaleCrop>
  <LinksUpToDate>false</LinksUpToDate>
  <CharactersWithSpaces>3214</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2019-04-17T01:53:00Z</dcterms:created>
  <dc:creator>多多的麻麻</dc:creator>
  <cp:lastModifiedBy>叶水花</cp:lastModifiedBy>
  <cp:lastPrinted>2022-05-12T02:17:00Z</cp:lastPrinted>
  <dcterms:modified xsi:type="dcterms:W3CDTF">2023-09-20T07:38:58Z</dcterms:modified>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E58DB4A286494BC99FC4F83EEF4FC794</vt:lpwstr>
  </property>
</Properties>
</file>