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color="auto" w:fill="FFFFFF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丽水市医疗保障局关于转发〈浙江省医疗保障局关于公布部分调整完善医疗服务价格项目的通知〉的通知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color="auto" w:fill="FFFFFF"/>
        </w:rPr>
        <w:t>》的起草依据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b/>
          <w:bCs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根据《浙江省医疗保障局关于公布部分调整完善医疗服务价格项目的通知》（浙医保发〔2022〕44号）文件要求，进一步完善我市医疗服务价格项目，制定该《通知》，以确保相关政策执行到位。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71FC9"/>
    <w:rsid w:val="39E6737B"/>
    <w:rsid w:val="41271FC9"/>
    <w:rsid w:val="683A01BE"/>
    <w:rsid w:val="DF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发文"/>
    <w:basedOn w:val="1"/>
    <w:qFormat/>
    <w:uiPriority w:val="0"/>
    <w:pPr>
      <w:spacing w:line="580" w:lineRule="atLeast"/>
      <w:ind w:firstLine="640" w:firstLineChars="200"/>
    </w:pPr>
    <w:rPr>
      <w:rFonts w:hint="eastAsia"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2022-12-01T16:13:00Z</dcterms:created>
  <dc:creator>ོ</dc:creator>
  <cp:lastModifiedBy>吴筱琳</cp:lastModifiedBy>
  <dcterms:modified xsi:type="dcterms:W3CDTF">2022-12-01T17:09:59Z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