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0" w:firstLineChars="0"/>
        <w:jc w:val="center"/>
        <w:outlineLvl w:val="0"/>
        <w:rPr>
          <w:rFonts w:hint="eastAsia" w:ascii="宋体" w:hAnsi="宋体" w:eastAsia="小标宋" w:cs="宋体"/>
          <w:bCs/>
          <w:color w:val="auto"/>
          <w:kern w:val="36"/>
          <w:sz w:val="44"/>
          <w:szCs w:val="48"/>
          <w:highlight w:val="none"/>
          <w:lang w:val="en-US" w:eastAsia="zh-CN" w:bidi="ar-SA"/>
        </w:rPr>
      </w:pPr>
      <w:bookmarkStart w:id="0" w:name="_GoBack"/>
      <w:r>
        <w:rPr>
          <w:rFonts w:hint="eastAsia" w:ascii="宋体" w:hAnsi="宋体" w:eastAsia="小标宋" w:cs="宋体"/>
          <w:bCs/>
          <w:color w:val="auto"/>
          <w:kern w:val="36"/>
          <w:sz w:val="44"/>
          <w:szCs w:val="48"/>
          <w:highlight w:val="none"/>
          <w:lang w:val="en-US" w:eastAsia="zh-CN" w:bidi="ar-SA"/>
        </w:rPr>
        <w:t>关于制定《丽水市住房公积金管理委员会关于进一步完善住房公积金政策的通知》的说明</w:t>
      </w:r>
    </w:p>
    <w:bookmarkEnd w:id="0"/>
    <w:p>
      <w:pPr>
        <w:pStyle w:val="2"/>
        <w:ind w:left="0" w:leftChars="0" w:firstLine="0" w:firstLineChars="0"/>
        <w:rPr>
          <w:rFonts w:hint="eastAsia"/>
          <w:lang w:val="en-US" w:eastAsia="zh-CN"/>
        </w:rPr>
      </w:pPr>
    </w:p>
    <w:p>
      <w:pPr>
        <w:spacing w:line="560" w:lineRule="exact"/>
        <w:ind w:firstLine="612"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本次政策</w:t>
      </w:r>
      <w:r>
        <w:rPr>
          <w:rFonts w:hint="eastAsia" w:ascii="仿宋_GB2312" w:hAnsi="仿宋_GB2312" w:cs="仿宋_GB2312"/>
          <w:sz w:val="32"/>
          <w:szCs w:val="32"/>
          <w:shd w:val="clear" w:color="auto" w:fill="FFFFFF"/>
          <w:lang w:eastAsia="zh-CN"/>
        </w:rPr>
        <w:t>优化</w:t>
      </w:r>
      <w:r>
        <w:rPr>
          <w:rFonts w:hint="eastAsia" w:ascii="仿宋_GB2312" w:hAnsi="仿宋_GB2312" w:eastAsia="仿宋_GB2312" w:cs="仿宋_GB2312"/>
          <w:sz w:val="32"/>
          <w:szCs w:val="32"/>
          <w:shd w:val="clear" w:color="auto" w:fill="FFFFFF"/>
        </w:rPr>
        <w:t>调整理由如下：</w:t>
      </w:r>
    </w:p>
    <w:p>
      <w:pPr>
        <w:pStyle w:val="2"/>
        <w:numPr>
          <w:ilvl w:val="0"/>
          <w:numId w:val="2"/>
        </w:numPr>
        <w:jc w:val="both"/>
        <w:rPr>
          <w:rFonts w:hint="eastAsia"/>
          <w:b/>
          <w:bCs/>
        </w:rPr>
      </w:pPr>
      <w:r>
        <w:rPr>
          <w:rFonts w:hint="eastAsia"/>
          <w:b/>
          <w:bCs/>
          <w:lang w:eastAsia="zh-CN"/>
        </w:rPr>
        <w:t>关于</w:t>
      </w:r>
      <w:r>
        <w:rPr>
          <w:rFonts w:hint="eastAsia"/>
          <w:b/>
          <w:bCs/>
        </w:rPr>
        <w:t>提高职工住房公积金贷款最高限额</w:t>
      </w:r>
    </w:p>
    <w:p>
      <w:pPr>
        <w:pStyle w:val="2"/>
        <w:numPr>
          <w:ilvl w:val="0"/>
          <w:numId w:val="0"/>
        </w:numPr>
        <w:ind w:firstLine="640"/>
        <w:jc w:val="both"/>
        <w:rPr>
          <w:rFonts w:hint="eastAsia" w:ascii="仿宋_GB2312" w:hAnsi="仿宋_GB2312" w:cs="仿宋_GB2312"/>
          <w:sz w:val="32"/>
          <w:szCs w:val="32"/>
          <w:shd w:val="clear" w:color="auto" w:fill="FFFFFF"/>
          <w:lang w:eastAsia="zh-CN"/>
        </w:rPr>
      </w:pPr>
      <w:r>
        <w:rPr>
          <w:rFonts w:hint="eastAsia"/>
          <w:b w:val="0"/>
          <w:bCs w:val="0"/>
          <w:sz w:val="32"/>
          <w:szCs w:val="32"/>
          <w:lang w:val="en-US" w:eastAsia="zh-CN"/>
        </w:rPr>
        <w:t>2022年12月召开的中央经济工作会议明确强调“支持刚性和改善性住房需求”，要求“采取更多惠民生、暖民心举措，着力解决好人民群众急难愁盼问题”，增进民生福祉，提高生活品质。《丽水市人民政府关于印发丽水市进一步提振市场信心推动经济运行整体好转工作实施方案的通知》（丽政发〔2023〕6号）明确要求“谋划提高住房公积金贷款最高限额”。按照上级“首次首套大力支持、二次二套合理支持”的</w:t>
      </w:r>
      <w:r>
        <w:rPr>
          <w:rFonts w:hint="eastAsia" w:ascii="仿宋_GB2312" w:hAnsi="仿宋_GB2312" w:eastAsia="仿宋_GB2312" w:cs="仿宋_GB2312"/>
          <w:sz w:val="32"/>
          <w:szCs w:val="32"/>
          <w:shd w:val="clear" w:color="auto" w:fill="FFFFFF"/>
        </w:rPr>
        <w:t>住房公积金贷款差别化政策</w:t>
      </w:r>
      <w:r>
        <w:rPr>
          <w:rFonts w:hint="eastAsia" w:ascii="仿宋_GB2312" w:hAnsi="仿宋_GB2312" w:cs="仿宋_GB2312"/>
          <w:sz w:val="32"/>
          <w:szCs w:val="32"/>
          <w:shd w:val="clear" w:color="auto" w:fill="FFFFFF"/>
          <w:lang w:eastAsia="zh-CN"/>
        </w:rPr>
        <w:t>要求，进一步提高职工住房公积金贷款最高限额，助力解决新市民、青年人等住房问题。</w:t>
      </w:r>
    </w:p>
    <w:p>
      <w:pPr>
        <w:pStyle w:val="2"/>
        <w:numPr>
          <w:ilvl w:val="0"/>
          <w:numId w:val="0"/>
        </w:numPr>
        <w:ind w:firstLine="640"/>
        <w:jc w:val="both"/>
        <w:rPr>
          <w:rFonts w:hint="eastAsia" w:ascii="仿宋_GB2312" w:eastAsia="仿宋_GB2312" w:cs="仿宋_GB2312"/>
          <w:b/>
          <w:bCs/>
          <w:kern w:val="0"/>
          <w:sz w:val="32"/>
          <w:szCs w:val="32"/>
        </w:rPr>
      </w:pPr>
      <w:r>
        <w:rPr>
          <w:rFonts w:hint="eastAsia" w:ascii="仿宋_GB2312" w:hAnsi="仿宋_GB2312" w:cs="仿宋_GB2312"/>
          <w:sz w:val="32"/>
          <w:szCs w:val="32"/>
          <w:shd w:val="clear" w:color="auto" w:fill="FFFFFF"/>
          <w:lang w:eastAsia="zh-CN"/>
        </w:rPr>
        <w:t>二、</w:t>
      </w:r>
      <w:r>
        <w:rPr>
          <w:rFonts w:hint="eastAsia" w:ascii="仿宋_GB2312" w:cs="仿宋_GB2312"/>
          <w:b/>
          <w:bCs/>
          <w:kern w:val="0"/>
          <w:sz w:val="32"/>
          <w:szCs w:val="32"/>
          <w:lang w:eastAsia="zh-CN"/>
        </w:rPr>
        <w:t>关于</w:t>
      </w:r>
      <w:r>
        <w:rPr>
          <w:rFonts w:hint="eastAsia" w:ascii="仿宋_GB2312" w:eastAsia="仿宋_GB2312" w:cs="仿宋_GB2312"/>
          <w:b/>
          <w:bCs/>
          <w:kern w:val="0"/>
          <w:sz w:val="32"/>
          <w:szCs w:val="32"/>
        </w:rPr>
        <w:t>加大多孩家庭住房公积金支持力度</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12" w:firstLineChars="200"/>
        <w:jc w:val="both"/>
        <w:textAlignment w:val="auto"/>
        <w:rPr>
          <w:rFonts w:hint="eastAsia" w:ascii="仿宋_GB2312" w:hAnsi="仿宋_GB2312" w:cs="仿宋_GB2312"/>
          <w:sz w:val="32"/>
          <w:szCs w:val="32"/>
          <w:shd w:val="clear" w:color="auto" w:fill="FFFFFF"/>
          <w:lang w:eastAsia="zh-CN"/>
        </w:rPr>
      </w:pPr>
      <w:r>
        <w:rPr>
          <w:rFonts w:hint="eastAsia" w:ascii="仿宋_GB2312" w:cs="仿宋_GB2312"/>
          <w:b w:val="0"/>
          <w:bCs w:val="0"/>
          <w:kern w:val="0"/>
          <w:sz w:val="32"/>
          <w:szCs w:val="32"/>
          <w:lang w:val="en-US" w:eastAsia="zh-CN"/>
        </w:rPr>
        <w:t>2022年，我市落实《浙江省住房和城乡建设厅关于支持推进“浙有善育”工作的若干意见》，规定三孩家庭首次申请住房公积金贷款购买首套自住住房的，住房公积金贷款最高限额上浮20%。三孩家庭市场租赁自住住房的，提取限额上浮50%。由于政策只针对三孩家庭，且贷款限额提高限定首次首套，政策覆盖面不够广，2022年仅有一户三孩家庭申请住房公积金贷款，成效不够明显。本次将二孩家庭纳入其中，优化多孩家庭住房公积金贷款额度和无房租赁提取政策，提升多孩家庭住房公积金住房消费能力，持续助力“浙有善育”，促进我市人口长期均衡发展。</w:t>
      </w:r>
    </w:p>
    <w:p>
      <w:pPr>
        <w:pStyle w:val="2"/>
        <w:numPr>
          <w:ilvl w:val="0"/>
          <w:numId w:val="0"/>
        </w:numPr>
        <w:ind w:leftChars="200"/>
        <w:jc w:val="both"/>
        <w:rPr>
          <w:rFonts w:hint="eastAsia"/>
          <w:b/>
          <w:bCs/>
          <w:lang w:eastAsia="zh-CN"/>
        </w:rPr>
      </w:pPr>
      <w:r>
        <w:rPr>
          <w:rFonts w:hint="eastAsia" w:ascii="仿宋_GB2312" w:hAnsi="仿宋_GB2312" w:cs="仿宋_GB2312"/>
          <w:b/>
          <w:bCs/>
          <w:sz w:val="32"/>
          <w:szCs w:val="32"/>
          <w:shd w:val="clear" w:color="auto" w:fill="FFFFFF"/>
          <w:lang w:eastAsia="zh-CN"/>
        </w:rPr>
        <w:t>三、关于</w:t>
      </w:r>
      <w:r>
        <w:rPr>
          <w:rFonts w:hint="eastAsia"/>
          <w:b/>
          <w:bCs/>
          <w:lang w:eastAsia="zh-CN"/>
        </w:rPr>
        <w:t>提高职工住房公积金可贷额度</w:t>
      </w:r>
    </w:p>
    <w:p>
      <w:pPr>
        <w:autoSpaceDE w:val="0"/>
        <w:autoSpaceDN w:val="0"/>
        <w:adjustRightInd w:val="0"/>
        <w:ind w:firstLine="560"/>
        <w:jc w:val="left"/>
        <w:rPr>
          <w:rFonts w:hint="eastAsia" w:ascii="仿宋_GB2312" w:hAnsi="仿宋_GB2312" w:cs="仿宋_GB2312"/>
          <w:color w:val="000000"/>
          <w:sz w:val="32"/>
          <w:szCs w:val="32"/>
          <w:shd w:val="clear" w:color="auto" w:fill="FFFFFF"/>
          <w:lang w:eastAsia="zh-CN"/>
        </w:rPr>
      </w:pPr>
      <w:r>
        <w:rPr>
          <w:rFonts w:hint="eastAsia"/>
          <w:b w:val="0"/>
          <w:bCs w:val="0"/>
          <w:lang w:val="en-US" w:eastAsia="zh-CN"/>
        </w:rPr>
        <w:t>2022年，我市住房公积金贷款最高限额历经两次调整后，双缴存职工首次首套最高限额为80万元，非首次首套最高限额为60万元。单缴存职工首次首套最高限额为40万元，非首次首套最高限额为30万元。据统计，2022年我市发放的贷款中，双缴存职工首次首套平均实际贷款金额为55万元，非首次首套平均实际贷款金额为50万元；单缴存职工首次首套平均实际贷款金额为32万元，非首次首套平均实际贷款金额为28万元。实际贷款金额与贷款最高限额间尚有距离。为进一步完善</w:t>
      </w:r>
      <w:r>
        <w:rPr>
          <w:rFonts w:hint="eastAsia" w:ascii="仿宋_GB2312" w:eastAsia="仿宋_GB2312" w:cs="仿宋_GB2312"/>
          <w:kern w:val="0"/>
          <w:sz w:val="32"/>
          <w:szCs w:val="32"/>
        </w:rPr>
        <w:t>贷款存贷挂钩机制</w:t>
      </w:r>
      <w:r>
        <w:rPr>
          <w:rFonts w:hint="eastAsia" w:ascii="仿宋_GB2312" w:cs="仿宋_GB2312"/>
          <w:kern w:val="0"/>
          <w:sz w:val="32"/>
          <w:szCs w:val="32"/>
          <w:lang w:eastAsia="zh-CN"/>
        </w:rPr>
        <w:t>，</w:t>
      </w:r>
      <w:r>
        <w:rPr>
          <w:rFonts w:hint="eastAsia" w:ascii="仿宋_GB2312" w:eastAsia="仿宋_GB2312" w:cs="仿宋_GB2312"/>
          <w:kern w:val="0"/>
          <w:sz w:val="32"/>
          <w:szCs w:val="32"/>
        </w:rPr>
        <w:t>落实“职工实际贷款额度需考虑其住房公积金个人账户缴存余额，且不应高于借款人（含共同借款人）缴存余额的一定倍数”的要求</w:t>
      </w:r>
      <w:r>
        <w:rPr>
          <w:rFonts w:hint="eastAsia" w:ascii="仿宋_GB2312" w:cs="仿宋_GB2312"/>
          <w:kern w:val="0"/>
          <w:sz w:val="32"/>
          <w:szCs w:val="32"/>
          <w:lang w:eastAsia="zh-CN"/>
        </w:rPr>
        <w:t>，本次在贷款限额进一步提高的情况下同步</w:t>
      </w:r>
      <w:r>
        <w:rPr>
          <w:rFonts w:hint="eastAsia" w:ascii="仿宋_GB2312" w:eastAsia="仿宋_GB2312" w:cs="仿宋_GB2312"/>
          <w:kern w:val="0"/>
          <w:sz w:val="32"/>
          <w:szCs w:val="32"/>
        </w:rPr>
        <w:t>调整“存贷挂钩”</w:t>
      </w:r>
      <w:r>
        <w:rPr>
          <w:rFonts w:hint="eastAsia" w:ascii="仿宋_GB2312" w:cs="仿宋_GB2312"/>
          <w:kern w:val="0"/>
          <w:sz w:val="32"/>
          <w:szCs w:val="32"/>
          <w:lang w:eastAsia="zh-CN"/>
        </w:rPr>
        <w:t>倍数</w:t>
      </w:r>
      <w:r>
        <w:rPr>
          <w:rFonts w:hint="eastAsia" w:ascii="仿宋_GB2312" w:eastAsia="仿宋_GB2312" w:cs="仿宋_GB2312"/>
          <w:kern w:val="0"/>
          <w:sz w:val="32"/>
          <w:szCs w:val="32"/>
        </w:rPr>
        <w:t>，</w:t>
      </w:r>
      <w:r>
        <w:rPr>
          <w:rFonts w:hint="eastAsia" w:ascii="仿宋_GB2312" w:cs="仿宋_GB2312"/>
          <w:kern w:val="0"/>
          <w:sz w:val="32"/>
          <w:szCs w:val="32"/>
          <w:lang w:eastAsia="zh-CN"/>
        </w:rPr>
        <w:t>提升实际可贷额度，满足</w:t>
      </w:r>
      <w:r>
        <w:rPr>
          <w:rFonts w:hint="eastAsia"/>
          <w:b w:val="0"/>
          <w:bCs w:val="0"/>
          <w:lang w:val="en-US" w:eastAsia="zh-CN"/>
        </w:rPr>
        <w:t>新参加工作、建缴住房公积金时间不长的青年人购房贷款需求，切实支持我市</w:t>
      </w:r>
      <w:r>
        <w:rPr>
          <w:rFonts w:hint="eastAsia" w:ascii="仿宋_GB2312" w:hAnsi="仿宋_GB2312" w:eastAsia="仿宋_GB2312" w:cs="仿宋_GB2312"/>
          <w:color w:val="000000"/>
          <w:sz w:val="32"/>
          <w:szCs w:val="32"/>
          <w:shd w:val="clear" w:color="auto" w:fill="FFFFFF"/>
          <w:lang w:eastAsia="zh-CN"/>
        </w:rPr>
        <w:t>青年发展型城市建设</w:t>
      </w:r>
      <w:r>
        <w:rPr>
          <w:rFonts w:hint="eastAsia" w:ascii="仿宋_GB2312" w:hAnsi="仿宋_GB2312" w:cs="仿宋_GB2312"/>
          <w:color w:val="000000"/>
          <w:sz w:val="32"/>
          <w:szCs w:val="32"/>
          <w:shd w:val="clear" w:color="auto" w:fill="FFFFFF"/>
          <w:lang w:eastAsia="zh-CN"/>
        </w:rPr>
        <w:t>。</w:t>
      </w:r>
    </w:p>
    <w:p>
      <w:pPr>
        <w:pStyle w:val="2"/>
        <w:numPr>
          <w:ilvl w:val="0"/>
          <w:numId w:val="3"/>
        </w:numPr>
        <w:rPr>
          <w:rFonts w:hint="eastAsia"/>
          <w:lang w:eastAsia="zh-CN"/>
        </w:rPr>
      </w:pPr>
      <w:r>
        <w:rPr>
          <w:rFonts w:hint="eastAsia" w:ascii="仿宋_GB2312" w:hAnsi="仿宋_GB2312" w:cs="仿宋_GB2312"/>
          <w:b/>
          <w:bCs/>
          <w:color w:val="000000"/>
          <w:sz w:val="32"/>
          <w:szCs w:val="32"/>
          <w:shd w:val="clear" w:color="auto" w:fill="FFFFFF"/>
          <w:lang w:eastAsia="zh-CN"/>
        </w:rPr>
        <w:t>关于</w:t>
      </w:r>
      <w:r>
        <w:rPr>
          <w:rFonts w:hint="eastAsia"/>
          <w:b/>
          <w:bCs/>
          <w:lang w:eastAsia="zh-CN"/>
        </w:rPr>
        <w:t>上调住房公积金贷款保底额度</w:t>
      </w:r>
    </w:p>
    <w:p>
      <w:pPr>
        <w:pStyle w:val="2"/>
        <w:numPr>
          <w:ilvl w:val="0"/>
          <w:numId w:val="0"/>
        </w:numPr>
        <w:ind w:firstLine="612" w:firstLineChars="200"/>
        <w:rPr>
          <w:rFonts w:hint="eastAsia" w:ascii="仿宋_GB2312" w:hAnsi="仿宋_GB2312" w:cs="仿宋_GB2312"/>
          <w:sz w:val="32"/>
          <w:szCs w:val="32"/>
          <w:lang w:eastAsia="zh-CN"/>
        </w:rPr>
      </w:pPr>
      <w:r>
        <w:rPr>
          <w:rFonts w:hint="eastAsia"/>
          <w:b w:val="0"/>
          <w:bCs w:val="0"/>
          <w:lang w:val="en-US" w:eastAsia="zh-CN"/>
        </w:rPr>
        <w:t>当前，我市住房公积金贷款保底额度为单缴存职工5万元，双缴存职工10万，额度较低。本次政策优化调整</w:t>
      </w:r>
      <w:r>
        <w:rPr>
          <w:rFonts w:hint="eastAsia"/>
          <w:lang w:eastAsia="zh-CN"/>
        </w:rPr>
        <w:t>聚焦“共富提低”，将全市住房公积金贷款保底额度调整为每户（含</w:t>
      </w:r>
      <w:r>
        <w:rPr>
          <w:rFonts w:hint="eastAsia"/>
          <w:b w:val="0"/>
          <w:bCs w:val="0"/>
          <w:lang w:val="en-US" w:eastAsia="zh-CN"/>
        </w:rPr>
        <w:t>单、双缴存职工</w:t>
      </w:r>
      <w:r>
        <w:rPr>
          <w:rFonts w:hint="eastAsia"/>
          <w:lang w:eastAsia="zh-CN"/>
        </w:rPr>
        <w:t>）30万元，大力支持新落户、新就业的新市民、青年人贷款需求，助力我市创建</w:t>
      </w:r>
      <w:r>
        <w:rPr>
          <w:rFonts w:hint="eastAsia" w:ascii="仿宋_GB2312" w:hAnsi="仿宋_GB2312" w:eastAsia="仿宋_GB2312" w:cs="仿宋_GB2312"/>
          <w:sz w:val="32"/>
          <w:szCs w:val="32"/>
        </w:rPr>
        <w:t>革命老区共同富裕先行示范区</w:t>
      </w:r>
      <w:r>
        <w:rPr>
          <w:rFonts w:hint="eastAsia" w:ascii="仿宋_GB2312" w:hAnsi="仿宋_GB2312" w:cs="仿宋_GB2312"/>
          <w:sz w:val="32"/>
          <w:szCs w:val="32"/>
          <w:lang w:eastAsia="zh-CN"/>
        </w:rPr>
        <w:t>。</w:t>
      </w:r>
    </w:p>
    <w:p>
      <w:pPr>
        <w:pStyle w:val="2"/>
        <w:numPr>
          <w:ilvl w:val="0"/>
          <w:numId w:val="3"/>
        </w:numPr>
        <w:ind w:left="0" w:leftChars="0" w:firstLine="612" w:firstLineChars="200"/>
        <w:rPr>
          <w:rFonts w:hint="eastAsia"/>
          <w:b w:val="0"/>
          <w:bCs w:val="0"/>
          <w:lang w:eastAsia="zh-CN"/>
        </w:rPr>
      </w:pPr>
      <w:r>
        <w:rPr>
          <w:rFonts w:hint="eastAsia" w:ascii="仿宋_GB2312" w:hAnsi="仿宋_GB2312" w:cs="仿宋_GB2312"/>
          <w:b/>
          <w:bCs/>
          <w:sz w:val="32"/>
          <w:szCs w:val="32"/>
          <w:lang w:eastAsia="zh-CN"/>
        </w:rPr>
        <w:t>关于</w:t>
      </w:r>
      <w:r>
        <w:rPr>
          <w:rFonts w:hint="eastAsia"/>
          <w:b/>
          <w:bCs/>
          <w:lang w:eastAsia="zh-CN"/>
        </w:rPr>
        <w:t>支持按月提取住房公积金偿还商贷</w:t>
      </w:r>
    </w:p>
    <w:p>
      <w:pPr>
        <w:pStyle w:val="2"/>
        <w:numPr>
          <w:ilvl w:val="0"/>
          <w:numId w:val="0"/>
        </w:numPr>
        <w:ind w:leftChars="200"/>
        <w:rPr>
          <w:rFonts w:hint="eastAsia"/>
          <w:b w:val="0"/>
          <w:bCs w:val="0"/>
          <w:lang w:eastAsia="zh-CN"/>
        </w:rPr>
      </w:pPr>
      <w:r>
        <w:rPr>
          <w:rFonts w:hint="eastAsia"/>
          <w:b w:val="0"/>
          <w:bCs w:val="0"/>
          <w:lang w:eastAsia="zh-CN"/>
        </w:rPr>
        <w:t>近年来，缴存职工对我市开通按月提取住房公积金偿还</w:t>
      </w:r>
    </w:p>
    <w:p>
      <w:pPr>
        <w:pStyle w:val="2"/>
        <w:numPr>
          <w:ilvl w:val="0"/>
          <w:numId w:val="0"/>
        </w:numPr>
        <w:rPr>
          <w:rFonts w:hint="eastAsia"/>
          <w:b w:val="0"/>
          <w:bCs w:val="0"/>
          <w:lang w:eastAsia="zh-CN"/>
        </w:rPr>
      </w:pPr>
      <w:r>
        <w:rPr>
          <w:rFonts w:hint="eastAsia"/>
          <w:b w:val="0"/>
          <w:bCs w:val="0"/>
          <w:lang w:eastAsia="zh-CN"/>
        </w:rPr>
        <w:t>商贷签约业务的呼声一直较为强烈。但由于前些年我市住房公积金资金较为紧张，存贷比长期处于高位，不具备推行该业务的条件。截至</w:t>
      </w:r>
      <w:r>
        <w:rPr>
          <w:rFonts w:hint="eastAsia"/>
          <w:b w:val="0"/>
          <w:bCs w:val="0"/>
          <w:lang w:val="en-US" w:eastAsia="zh-CN"/>
        </w:rPr>
        <w:t>2023年1月底，全市住房公积金存贷比已降至90.8%，资金流动性风险已得到缓解，出台该政策的时机已经成熟。为践行以人民为中心的思想，推出</w:t>
      </w:r>
      <w:r>
        <w:rPr>
          <w:rFonts w:hint="eastAsia"/>
          <w:b w:val="0"/>
          <w:bCs w:val="0"/>
          <w:lang w:eastAsia="zh-CN"/>
        </w:rPr>
        <w:t>按月提取住房公积金偿还商贷签约业务，减轻商贷职工还贷压力，助力我市房地产市场平稳健康发展。</w:t>
      </w:r>
    </w:p>
    <w:p/>
    <w:sectPr>
      <w:pgSz w:w="11906" w:h="16838"/>
      <w:pgMar w:top="2098" w:right="1474" w:bottom="1984" w:left="1587" w:header="851" w:footer="992" w:gutter="0"/>
      <w:pgNumType w:fmt="decimal"/>
      <w:cols w:space="0" w:num="1"/>
      <w:rtlGutter w:val="0"/>
      <w:docGrid w:type="linesAndChars" w:linePitch="579" w:charSpace="-3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7C54A6"/>
    <w:multiLevelType w:val="singleLevel"/>
    <w:tmpl w:val="AD7C54A6"/>
    <w:lvl w:ilvl="0" w:tentative="0">
      <w:start w:val="1"/>
      <w:numFmt w:val="chineseCounting"/>
      <w:pStyle w:val="5"/>
      <w:suff w:val="nothing"/>
      <w:lvlText w:val="（%1）"/>
      <w:lvlJc w:val="left"/>
      <w:pPr>
        <w:ind w:left="0" w:firstLine="420"/>
      </w:pPr>
      <w:rPr>
        <w:rFonts w:hint="eastAsia"/>
      </w:rPr>
    </w:lvl>
  </w:abstractNum>
  <w:abstractNum w:abstractNumId="1">
    <w:nsid w:val="D79BD9F9"/>
    <w:multiLevelType w:val="singleLevel"/>
    <w:tmpl w:val="D79BD9F9"/>
    <w:lvl w:ilvl="0" w:tentative="0">
      <w:start w:val="1"/>
      <w:numFmt w:val="chineseCounting"/>
      <w:suff w:val="nothing"/>
      <w:lvlText w:val="%1、"/>
      <w:lvlJc w:val="left"/>
      <w:rPr>
        <w:rFonts w:hint="eastAsia"/>
      </w:rPr>
    </w:lvl>
  </w:abstractNum>
  <w:abstractNum w:abstractNumId="2">
    <w:nsid w:val="2558A10A"/>
    <w:multiLevelType w:val="singleLevel"/>
    <w:tmpl w:val="2558A10A"/>
    <w:lvl w:ilvl="0" w:tentative="0">
      <w:start w:val="4"/>
      <w:numFmt w:val="chineseCounting"/>
      <w:suff w:val="nothing"/>
      <w:lvlText w:val="%1、"/>
      <w:lvlJc w:val="left"/>
      <w:rPr>
        <w:rFonts w:hint="eastAsia"/>
        <w:b/>
        <w:bC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E3EEE"/>
    <w:rsid w:val="00A96BBB"/>
    <w:rsid w:val="00D5271D"/>
    <w:rsid w:val="0EF81E5E"/>
    <w:rsid w:val="199D43AE"/>
    <w:rsid w:val="1C6C2AE0"/>
    <w:rsid w:val="26F76F84"/>
    <w:rsid w:val="2BA26715"/>
    <w:rsid w:val="2DBA4086"/>
    <w:rsid w:val="3093655B"/>
    <w:rsid w:val="34BF471E"/>
    <w:rsid w:val="379F7B7A"/>
    <w:rsid w:val="37B80027"/>
    <w:rsid w:val="38157BA8"/>
    <w:rsid w:val="3A9B1BD9"/>
    <w:rsid w:val="3EB34314"/>
    <w:rsid w:val="437E3EEE"/>
    <w:rsid w:val="43D753CE"/>
    <w:rsid w:val="50986E15"/>
    <w:rsid w:val="526E4606"/>
    <w:rsid w:val="57AD41EA"/>
    <w:rsid w:val="5B185F0B"/>
    <w:rsid w:val="652238A4"/>
    <w:rsid w:val="668131A6"/>
    <w:rsid w:val="68293CF8"/>
    <w:rsid w:val="6E20647F"/>
    <w:rsid w:val="6F5B2C0C"/>
    <w:rsid w:val="774F172A"/>
    <w:rsid w:val="79C05063"/>
    <w:rsid w:val="7BB5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widowControl/>
      <w:spacing w:beforeAutospacing="0" w:afterAutospacing="0" w:line="600" w:lineRule="exact"/>
      <w:ind w:firstLine="0" w:firstLineChars="0"/>
      <w:jc w:val="center"/>
      <w:outlineLvl w:val="0"/>
    </w:pPr>
    <w:rPr>
      <w:rFonts w:ascii="宋体" w:hAnsi="宋体" w:eastAsia="小标宋" w:cs="宋体"/>
      <w:bCs/>
      <w:kern w:val="36"/>
      <w:sz w:val="44"/>
      <w:szCs w:val="48"/>
    </w:rPr>
  </w:style>
  <w:style w:type="paragraph" w:styleId="4">
    <w:name w:val="heading 2"/>
    <w:basedOn w:val="1"/>
    <w:next w:val="1"/>
    <w:semiHidden/>
    <w:unhideWhenUsed/>
    <w:qFormat/>
    <w:uiPriority w:val="0"/>
    <w:pPr>
      <w:spacing w:before="0" w:beforeAutospacing="0" w:after="0" w:afterAutospacing="0"/>
      <w:jc w:val="left"/>
      <w:outlineLvl w:val="1"/>
    </w:pPr>
    <w:rPr>
      <w:rFonts w:hint="eastAsia" w:ascii="宋体" w:hAnsi="宋体" w:eastAsia="黑体" w:cs="宋体"/>
      <w:kern w:val="0"/>
      <w:sz w:val="32"/>
      <w:szCs w:val="36"/>
      <w:lang w:bidi="ar"/>
    </w:rPr>
  </w:style>
  <w:style w:type="paragraph" w:styleId="5">
    <w:name w:val="heading 3"/>
    <w:basedOn w:val="1"/>
    <w:next w:val="1"/>
    <w:link w:val="8"/>
    <w:semiHidden/>
    <w:unhideWhenUsed/>
    <w:qFormat/>
    <w:uiPriority w:val="0"/>
    <w:pPr>
      <w:keepNext/>
      <w:keepLines/>
      <w:numPr>
        <w:ilvl w:val="0"/>
        <w:numId w:val="1"/>
      </w:numPr>
      <w:spacing w:beforeLines="0" w:beforeAutospacing="0" w:afterLines="0" w:afterAutospacing="0" w:line="600" w:lineRule="exact"/>
      <w:outlineLvl w:val="2"/>
    </w:pPr>
    <w:rPr>
      <w:rFonts w:eastAsia="楷体_GB231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character" w:customStyle="1" w:styleId="8">
    <w:name w:val="标题 3 Char"/>
    <w:link w:val="5"/>
    <w:qFormat/>
    <w:uiPriority w:val="0"/>
    <w:rPr>
      <w:rFonts w:eastAsia="楷体_GB2312"/>
    </w:rPr>
  </w:style>
  <w:style w:type="paragraph" w:customStyle="1" w:styleId="9">
    <w:name w:val="样式2"/>
    <w:basedOn w:val="1"/>
    <w:qFormat/>
    <w:uiPriority w:val="0"/>
    <w:pPr>
      <w:spacing w:line="600" w:lineRule="exact"/>
      <w:ind w:firstLine="640" w:firstLineChars="200"/>
    </w:pPr>
    <w:rPr>
      <w:rFonts w:hint="eastAsia" w:eastAsia="仿宋_GB2312" w:asciiTheme="minorAscii" w:hAnsiTheme="minorAscii" w:cstheme="minorBidi"/>
      <w:sz w:val="32"/>
      <w:szCs w:val="24"/>
    </w:rPr>
  </w:style>
  <w:style w:type="paragraph" w:customStyle="1" w:styleId="10">
    <w:name w:val="大标题"/>
    <w:basedOn w:val="1"/>
    <w:next w:val="1"/>
    <w:link w:val="11"/>
    <w:uiPriority w:val="0"/>
    <w:pPr>
      <w:keepNext/>
      <w:keepLines/>
      <w:tabs>
        <w:tab w:val="left" w:pos="1418"/>
      </w:tabs>
      <w:snapToGrid w:val="0"/>
      <w:spacing w:before="100" w:beforeLines="100" w:after="100" w:afterLines="100" w:line="1000" w:lineRule="exact"/>
      <w:ind w:firstLine="0" w:firstLineChars="0"/>
      <w:jc w:val="center"/>
      <w:outlineLvl w:val="0"/>
    </w:pPr>
    <w:rPr>
      <w:rFonts w:hint="eastAsia" w:ascii="Times New Roman" w:hAnsi="Times New Roman" w:eastAsia="小标宋"/>
      <w:bCs/>
      <w:color w:val="000000"/>
      <w:kern w:val="44"/>
      <w:sz w:val="44"/>
      <w:szCs w:val="36"/>
    </w:rPr>
  </w:style>
  <w:style w:type="character" w:customStyle="1" w:styleId="11">
    <w:name w:val="大标题 Char"/>
    <w:link w:val="10"/>
    <w:uiPriority w:val="0"/>
    <w:rPr>
      <w:rFonts w:hint="eastAsia" w:ascii="Times New Roman" w:hAnsi="Times New Roman" w:eastAsia="小标宋"/>
      <w:bCs/>
      <w:color w:val="000000"/>
      <w:kern w:val="44"/>
      <w:sz w:val="44"/>
      <w:szCs w:val="36"/>
    </w:rPr>
  </w:style>
  <w:style w:type="paragraph" w:customStyle="1" w:styleId="12">
    <w:name w:val="一级标题"/>
    <w:basedOn w:val="1"/>
    <w:next w:val="1"/>
    <w:qFormat/>
    <w:uiPriority w:val="0"/>
    <w:pPr>
      <w:keepNext/>
      <w:keepLines/>
      <w:spacing w:beforeLines="0" w:afterLines="0" w:line="600" w:lineRule="exact"/>
      <w:ind w:firstLine="600" w:firstLineChars="200"/>
      <w:outlineLvl w:val="3"/>
    </w:pPr>
    <w:rPr>
      <w:rFonts w:hint="eastAsia" w:ascii="Arial" w:hAnsi="Arial" w:eastAsia="黑体"/>
    </w:rPr>
  </w:style>
  <w:style w:type="paragraph" w:customStyle="1" w:styleId="13">
    <w:name w:val="文号"/>
    <w:basedOn w:val="1"/>
    <w:uiPriority w:val="0"/>
    <w:pPr>
      <w:spacing w:line="600" w:lineRule="exact"/>
      <w:ind w:firstLine="0" w:firstLineChars="0"/>
      <w:jc w:val="center"/>
    </w:pPr>
    <w:rPr>
      <w:rFonts w:hint="eastAsia" w:ascii="仿宋_GB2312" w:hAnsi="仿宋_GB2312" w:cs="Times New Roman"/>
      <w:sz w:val="32"/>
      <w:szCs w:val="34"/>
    </w:rPr>
  </w:style>
  <w:style w:type="paragraph" w:customStyle="1" w:styleId="14">
    <w:name w:val="红头"/>
    <w:basedOn w:val="1"/>
    <w:qFormat/>
    <w:uiPriority w:val="0"/>
    <w:pPr>
      <w:spacing w:line="1400" w:lineRule="exact"/>
      <w:ind w:firstLine="0" w:firstLineChars="0"/>
      <w:jc w:val="distribute"/>
    </w:pPr>
    <w:rPr>
      <w:rFonts w:hint="eastAsia" w:ascii="方正小标宋简体" w:hAnsi="方正小标宋简体" w:eastAsia="方正小标宋简体"/>
      <w:color w:val="FF0000"/>
      <w:spacing w:val="20"/>
      <w:w w:val="45"/>
      <w:sz w:val="124"/>
      <w:szCs w:val="124"/>
    </w:rPr>
  </w:style>
  <w:style w:type="paragraph" w:customStyle="1" w:styleId="15">
    <w:name w:val="大标题2"/>
    <w:basedOn w:val="1"/>
    <w:uiPriority w:val="0"/>
    <w:pPr>
      <w:spacing w:line="600" w:lineRule="exact"/>
      <w:ind w:firstLine="0" w:firstLineChars="0"/>
    </w:pPr>
    <w:rPr>
      <w:rFonts w:hint="eastAsia"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2023-03-20T07:23:00Z</dcterms:created>
  <dc:creator>sasa</dc:creator>
  <cp:lastModifiedBy>sasa</cp:lastModifiedBy>
  <dcterms:modified xsi:type="dcterms:W3CDTF">2023-03-20T07:24:21Z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