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94" w:firstLineChars="192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项目单位自评基本情况表</w:t>
      </w:r>
    </w:p>
    <w:p>
      <w:pPr>
        <w:spacing w:line="440" w:lineRule="exact"/>
        <w:ind w:firstLine="614" w:firstLineChars="192"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14" w:firstLineChars="19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项目名称：公积金管理经费、信息网络构建</w:t>
      </w:r>
    </w:p>
    <w:tbl>
      <w:tblPr>
        <w:tblStyle w:val="4"/>
        <w:tblW w:w="79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02"/>
        <w:gridCol w:w="905"/>
        <w:gridCol w:w="1075"/>
        <w:gridCol w:w="538"/>
        <w:gridCol w:w="171"/>
        <w:gridCol w:w="1079"/>
        <w:gridCol w:w="192"/>
        <w:gridCol w:w="168"/>
        <w:gridCol w:w="90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</w:tc>
        <w:tc>
          <w:tcPr>
            <w:tcW w:w="1784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季高平</w:t>
            </w:r>
          </w:p>
        </w:tc>
        <w:tc>
          <w:tcPr>
            <w:tcW w:w="1439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352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0578-2051603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    址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人民街607号商会大厦6层</w:t>
            </w:r>
          </w:p>
        </w:tc>
        <w:tc>
          <w:tcPr>
            <w:tcW w:w="907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445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345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项目起止时间</w:t>
            </w:r>
          </w:p>
        </w:tc>
        <w:tc>
          <w:tcPr>
            <w:tcW w:w="5575" w:type="dxa"/>
            <w:gridSpan w:val="8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2019年1月～2019年12月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预算金额</w:t>
            </w: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348.00</w:t>
            </w:r>
          </w:p>
        </w:tc>
        <w:tc>
          <w:tcPr>
            <w:tcW w:w="2346" w:type="dxa"/>
            <w:gridSpan w:val="4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实际支出金额</w:t>
            </w:r>
            <w:r>
              <w:rPr>
                <w:rFonts w:hint="eastAsia" w:ascii="仿宋_GB2312" w:eastAsia="仿宋_GB2312"/>
              </w:rPr>
              <w:t>（万元）</w:t>
            </w:r>
          </w:p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331.04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其中：中央财政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vAlign w:val="center"/>
          </w:tcPr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省财政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vAlign w:val="center"/>
          </w:tcPr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348.00</w:t>
            </w:r>
          </w:p>
        </w:tc>
        <w:tc>
          <w:tcPr>
            <w:tcW w:w="2346" w:type="dxa"/>
            <w:gridSpan w:val="4"/>
            <w:vMerge w:val="continue"/>
            <w:vAlign w:val="center"/>
          </w:tcPr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vAlign w:val="center"/>
          </w:tcPr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vAlign w:val="center"/>
          </w:tcPr>
          <w:p>
            <w:pPr>
              <w:ind w:firstLine="760" w:firstLineChars="317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支出内容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（经济科目）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预算支出数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档案及劳务专项支出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76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网络建设、运行费与外包服务支出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128.7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职工培训、会议支出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38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印刷及物业等支出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11.97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公积金宣传支出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40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办公设备采购及维修支出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14.30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扶贫及其他预算支出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39.03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支出合计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348.00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331.04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三、</w:t>
            </w:r>
            <w:r>
              <w:rPr>
                <w:rFonts w:hint="eastAsia" w:ascii="仿宋_GB2312" w:eastAsia="仿宋_GB2312"/>
                <w:b/>
                <w:sz w:val="28"/>
              </w:rPr>
              <w:t>项目绩效目标完成情况（简要）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项目绩效目标及实施计划</w:t>
            </w:r>
          </w:p>
        </w:tc>
        <w:tc>
          <w:tcPr>
            <w:tcW w:w="31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预期及调整情况</w:t>
            </w:r>
          </w:p>
        </w:tc>
        <w:tc>
          <w:tcPr>
            <w:tcW w:w="396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31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为确保公积金业务正常运行,支付维修、印刷、档案管理线路租用、监管系统接口软件开发及服务器、安全设备及新系统建设，并进行信息系统安全保护等硬件设备租用费及服务费用。共预计支出348万元。</w:t>
            </w:r>
          </w:p>
        </w:tc>
        <w:tc>
          <w:tcPr>
            <w:tcW w:w="3962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全面推广单位版住房公积金网上办事大厅，优化住房公积金业务系统，实现住房公积金业务系统与浙江政务网、浙里办深入融合，实现公积金业务网上办、掌上办，进一步推进住房公积金业务数字化进程；支持国家税务总局个税改革公积金中心数据上链，并归集业务数据到住建部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实现在部委级业务相关行业数据共享；完成住房公积金专网和住房公积金监管专网改造，实现住房公积金网络接入浙江省住建VPN3网络；打造信用浙江实现住房公积金系统与市发改信用平台对接；深化最多跑一次改革，实现各县分中心接入一窗受理系统；为提升住房公积金业务评价体系，接入住房公积金好差评系统；住房公积金档案系统实现虚拟化部署，可有效避免住房公积金答案硬件系统单点故障；住房公积金档案数据归档到丽水市档案馆，实现住房公积金档案异地备份；实现住房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公积金</w:t>
            </w:r>
            <w:r>
              <w:rPr>
                <w:rFonts w:hint="eastAsia" w:ascii="仿宋_GB2312" w:eastAsia="仿宋_GB2312"/>
                <w:sz w:val="24"/>
              </w:rPr>
              <w:t>系统与合作银行商业贷款还款数据接口对接工作，实现商贷还款数据及时返还，提高公积金提取业务办理效率。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黄金明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公积金中心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主任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2051601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李炳良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公积金中心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2051602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季高平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公积金中心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2051603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陈志和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公积金中心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经济师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2051607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任璐琪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公积金中心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高级工程师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2051606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胡耀平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公积金中心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会计师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2051608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五、项目单位（评价机构）意见：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（盖章）</w:t>
            </w:r>
          </w:p>
          <w:p>
            <w:pPr>
              <w:ind w:firstLine="4340" w:firstLineChars="15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六、主管部门审核意见：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（盖单）</w:t>
            </w:r>
          </w:p>
          <w:p>
            <w:pPr>
              <w:wordWrap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年   月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NTgxNjlhMjdhMjVhYjFhMzg5OWFiZDcwNDY3NDkifQ=="/>
  </w:docVars>
  <w:rsids>
    <w:rsidRoot w:val="00EB383B"/>
    <w:rsid w:val="0093026E"/>
    <w:rsid w:val="00BE02D9"/>
    <w:rsid w:val="00CE668F"/>
    <w:rsid w:val="00EB383B"/>
    <w:rsid w:val="00FC0E0B"/>
    <w:rsid w:val="013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3</Pages>
  <Words>887</Words>
  <Characters>1023</Characters>
  <Lines>9</Lines>
  <Paragraphs>2</Paragraphs>
  <TotalTime>1</TotalTime>
  <ScaleCrop>false</ScaleCrop>
  <LinksUpToDate>false</LinksUpToDate>
  <CharactersWithSpaces>1139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2020-08-27T09:01:00Z</dcterms:created>
  <dc:creator>jujumao</dc:creator>
  <cp:lastModifiedBy>Icarus</cp:lastModifiedBy>
  <dcterms:modified xsi:type="dcterms:W3CDTF">2022-09-01T01:45:38Z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608D9654E2DB4E5D9B02A492B0A07A20</vt:lpwstr>
  </property>
</Properties>
</file>