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67" w:rsidRPr="003304E8" w:rsidRDefault="00E36A67" w:rsidP="00DF32EF">
      <w:pPr>
        <w:overflowPunct w:val="0"/>
        <w:spacing w:line="700" w:lineRule="exact"/>
        <w:rPr>
          <w:rFonts w:ascii="仿宋_GB2312"/>
          <w:color w:val="000000"/>
        </w:rPr>
      </w:pPr>
    </w:p>
    <w:p w:rsidR="00E36A67" w:rsidRPr="003304E8" w:rsidRDefault="00E36A67" w:rsidP="00DF32EF">
      <w:pPr>
        <w:overflowPunct w:val="0"/>
        <w:spacing w:line="560" w:lineRule="exact"/>
        <w:rPr>
          <w:rFonts w:ascii="仿宋_GB2312"/>
          <w:color w:val="000000"/>
        </w:rPr>
      </w:pPr>
    </w:p>
    <w:p w:rsidR="00E36A67" w:rsidRPr="003304E8" w:rsidRDefault="00E36A67" w:rsidP="00DF32EF">
      <w:pPr>
        <w:overflowPunct w:val="0"/>
        <w:spacing w:line="520" w:lineRule="exact"/>
        <w:rPr>
          <w:rFonts w:ascii="仿宋_GB2312"/>
          <w:color w:val="000000"/>
        </w:rPr>
      </w:pPr>
    </w:p>
    <w:p w:rsidR="00E36A67" w:rsidRPr="003304E8" w:rsidRDefault="00E36A67" w:rsidP="00DF32EF">
      <w:pPr>
        <w:overflowPunct w:val="0"/>
        <w:spacing w:line="560" w:lineRule="exact"/>
        <w:rPr>
          <w:rFonts w:ascii="楷体_GB2312" w:eastAsia="楷体_GB2312"/>
          <w:color w:val="000000"/>
          <w:sz w:val="60"/>
          <w:szCs w:val="60"/>
        </w:rPr>
      </w:pPr>
      <w:r w:rsidRPr="003304E8">
        <w:rPr>
          <w:rFonts w:ascii="仿宋_GB2312" w:hint="eastAsia"/>
          <w:color w:val="000000"/>
        </w:rPr>
        <w:t xml:space="preserve">                                          </w:t>
      </w:r>
    </w:p>
    <w:p w:rsidR="00E36A67" w:rsidRPr="003304E8" w:rsidRDefault="00E36A67" w:rsidP="00DF32EF">
      <w:pPr>
        <w:overflowPunct w:val="0"/>
        <w:spacing w:line="560" w:lineRule="exact"/>
        <w:rPr>
          <w:rFonts w:ascii="仿宋_GB2312"/>
          <w:color w:val="000000"/>
        </w:rPr>
      </w:pPr>
    </w:p>
    <w:p w:rsidR="00E36A67" w:rsidRPr="003304E8" w:rsidRDefault="00E36A67" w:rsidP="00DF32EF">
      <w:pPr>
        <w:overflowPunct w:val="0"/>
        <w:spacing w:line="560" w:lineRule="exact"/>
        <w:rPr>
          <w:rFonts w:ascii="仿宋_GB2312"/>
          <w:color w:val="000000"/>
          <w:sz w:val="44"/>
          <w:szCs w:val="44"/>
        </w:rPr>
      </w:pPr>
    </w:p>
    <w:p w:rsidR="00E36A67" w:rsidRPr="003304E8" w:rsidRDefault="00E36A67" w:rsidP="00DF32EF">
      <w:pPr>
        <w:overflowPunct w:val="0"/>
        <w:spacing w:line="560" w:lineRule="exact"/>
        <w:rPr>
          <w:rFonts w:ascii="仿宋_GB2312"/>
          <w:color w:val="000000"/>
        </w:rPr>
      </w:pPr>
    </w:p>
    <w:p w:rsidR="00E36A67" w:rsidRPr="009F2E98" w:rsidRDefault="00E36A67" w:rsidP="00DF32EF">
      <w:pPr>
        <w:tabs>
          <w:tab w:val="left" w:pos="7560"/>
        </w:tabs>
        <w:overflowPunct w:val="0"/>
        <w:spacing w:line="500" w:lineRule="exact"/>
        <w:jc w:val="center"/>
        <w:rPr>
          <w:rFonts w:ascii="仿宋_GB2312" w:eastAsia="仿宋_GB2312"/>
          <w:color w:val="000000"/>
          <w:sz w:val="32"/>
          <w:szCs w:val="32"/>
        </w:rPr>
      </w:pPr>
      <w:r w:rsidRPr="009F2E98">
        <w:rPr>
          <w:rFonts w:ascii="仿宋_GB2312" w:eastAsia="仿宋_GB2312" w:hint="eastAsia"/>
          <w:color w:val="000000"/>
          <w:sz w:val="32"/>
          <w:szCs w:val="32"/>
        </w:rPr>
        <w:t>丽委办发〔2020〕</w:t>
      </w:r>
      <w:r w:rsidR="00DF32EF">
        <w:rPr>
          <w:rFonts w:ascii="仿宋_GB2312" w:eastAsia="仿宋_GB2312" w:hint="eastAsia"/>
          <w:color w:val="000000"/>
          <w:sz w:val="32"/>
          <w:szCs w:val="32"/>
        </w:rPr>
        <w:t>22</w:t>
      </w:r>
      <w:r w:rsidRPr="009F2E98">
        <w:rPr>
          <w:rFonts w:ascii="仿宋_GB2312" w:eastAsia="仿宋_GB2312" w:hint="eastAsia"/>
          <w:color w:val="000000"/>
          <w:sz w:val="32"/>
          <w:szCs w:val="32"/>
        </w:rPr>
        <w:t>号</w:t>
      </w:r>
    </w:p>
    <w:p w:rsidR="00E36A67" w:rsidRPr="003304E8" w:rsidRDefault="00E36A67" w:rsidP="00DF32EF">
      <w:pPr>
        <w:overflowPunct w:val="0"/>
        <w:spacing w:line="400" w:lineRule="exact"/>
        <w:rPr>
          <w:rFonts w:ascii="仿宋_GB2312"/>
          <w:color w:val="000000"/>
        </w:rPr>
      </w:pPr>
    </w:p>
    <w:p w:rsidR="00E36A67" w:rsidRPr="003304E8" w:rsidRDefault="00E36A67" w:rsidP="00DF32EF">
      <w:pPr>
        <w:overflowPunct w:val="0"/>
        <w:spacing w:line="400" w:lineRule="exact"/>
        <w:rPr>
          <w:rFonts w:ascii="仿宋_GB2312"/>
          <w:color w:val="000000"/>
        </w:rPr>
      </w:pPr>
    </w:p>
    <w:p w:rsidR="00E36A67" w:rsidRPr="003304E8" w:rsidRDefault="00E36A67" w:rsidP="00DF32EF">
      <w:pPr>
        <w:overflowPunct w:val="0"/>
        <w:spacing w:line="700" w:lineRule="exact"/>
        <w:rPr>
          <w:rFonts w:ascii="仿宋_GB2312"/>
          <w:color w:val="000000"/>
        </w:rPr>
      </w:pPr>
    </w:p>
    <w:p w:rsidR="002F05EC" w:rsidRDefault="002F05EC" w:rsidP="002F05EC">
      <w:pPr>
        <w:overflowPunct w:val="0"/>
        <w:spacing w:line="600" w:lineRule="exact"/>
        <w:jc w:val="center"/>
        <w:rPr>
          <w:rFonts w:ascii="方正小标宋简体" w:eastAsia="方正小标宋简体" w:hAnsi="方正小标宋简体"/>
          <w:spacing w:val="-6"/>
          <w:sz w:val="44"/>
          <w:szCs w:val="44"/>
        </w:rPr>
      </w:pPr>
      <w:r>
        <w:rPr>
          <w:rFonts w:ascii="方正小标宋简体" w:eastAsia="方正小标宋简体" w:hAnsi="方正小标宋简体" w:hint="eastAsia"/>
          <w:spacing w:val="-6"/>
          <w:sz w:val="44"/>
          <w:szCs w:val="44"/>
        </w:rPr>
        <w:t>中共丽水市委办公室  丽水市人民政府办公室</w:t>
      </w:r>
    </w:p>
    <w:p w:rsidR="002F05EC" w:rsidRDefault="002F05EC" w:rsidP="002F05EC">
      <w:pPr>
        <w:overflowPunct w:val="0"/>
        <w:spacing w:line="60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hint="eastAsia"/>
          <w:spacing w:val="-6"/>
          <w:sz w:val="44"/>
          <w:szCs w:val="44"/>
        </w:rPr>
        <w:t>关于印发《</w:t>
      </w:r>
      <w:r>
        <w:rPr>
          <w:rFonts w:ascii="方正小标宋简体" w:eastAsia="方正小标宋简体" w:hAnsi="方正小标宋简体" w:cs="方正小标宋简体" w:hint="eastAsia"/>
          <w:spacing w:val="-6"/>
          <w:sz w:val="44"/>
          <w:szCs w:val="44"/>
        </w:rPr>
        <w:t>丽水市本级人才公寓租住</w:t>
      </w:r>
    </w:p>
    <w:p w:rsidR="002F05EC" w:rsidRDefault="002F05EC" w:rsidP="002F05EC">
      <w:pPr>
        <w:overflowPunct w:val="0"/>
        <w:spacing w:line="600" w:lineRule="exact"/>
        <w:jc w:val="center"/>
        <w:rPr>
          <w:rFonts w:ascii="方正小标宋简体" w:eastAsia="方正小标宋简体" w:hAnsi="方正小标宋简体"/>
          <w:spacing w:val="-6"/>
          <w:sz w:val="44"/>
          <w:szCs w:val="44"/>
        </w:rPr>
      </w:pPr>
      <w:r>
        <w:rPr>
          <w:rFonts w:ascii="方正小标宋简体" w:eastAsia="方正小标宋简体" w:hAnsi="方正小标宋简体" w:cs="方正小标宋简体" w:hint="eastAsia"/>
          <w:spacing w:val="-6"/>
          <w:sz w:val="44"/>
          <w:szCs w:val="44"/>
        </w:rPr>
        <w:t>管理办法</w:t>
      </w:r>
      <w:r>
        <w:rPr>
          <w:rFonts w:ascii="方正小标宋简体" w:eastAsia="方正小标宋简体" w:hAnsi="方正小标宋简体" w:hint="eastAsia"/>
          <w:spacing w:val="-6"/>
          <w:sz w:val="44"/>
          <w:szCs w:val="44"/>
        </w:rPr>
        <w:t>》的通知</w:t>
      </w:r>
    </w:p>
    <w:p w:rsidR="002F05EC" w:rsidRDefault="002F05EC" w:rsidP="002F05EC">
      <w:pPr>
        <w:overflowPunct w:val="0"/>
        <w:spacing w:line="600" w:lineRule="exact"/>
        <w:rPr>
          <w:rFonts w:ascii="仿宋_GB2312" w:eastAsia="仿宋_GB2312" w:hAnsi="仿宋_GB2312" w:cs="仿宋_GB2312"/>
          <w:spacing w:val="-6"/>
          <w:sz w:val="32"/>
          <w:szCs w:val="32"/>
        </w:rPr>
      </w:pPr>
    </w:p>
    <w:p w:rsidR="002F05EC" w:rsidRDefault="002F05EC" w:rsidP="002F05EC">
      <w:pPr>
        <w:overflowPunct w:val="0"/>
        <w:spacing w:line="600" w:lineRule="exac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莲都区党委和人民政府，市直属各单位：</w:t>
      </w:r>
    </w:p>
    <w:p w:rsidR="002F05EC" w:rsidRDefault="002F05EC" w:rsidP="002F05EC">
      <w:pPr>
        <w:overflowPunct w:val="0"/>
        <w:spacing w:line="600" w:lineRule="exac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 xml:space="preserve">    《丽水市本级人才公寓租住管理办法》已经市委、市政府同意，现印发给你们，请遵照执行。</w:t>
      </w:r>
    </w:p>
    <w:p w:rsidR="002F05EC" w:rsidRDefault="002F05EC" w:rsidP="002F05EC">
      <w:pPr>
        <w:overflowPunct w:val="0"/>
        <w:spacing w:line="600" w:lineRule="exact"/>
        <w:rPr>
          <w:rFonts w:ascii="仿宋_GB2312" w:eastAsia="仿宋_GB2312" w:hAnsi="仿宋_GB2312" w:cs="仿宋_GB2312"/>
          <w:spacing w:val="-6"/>
          <w:sz w:val="32"/>
          <w:szCs w:val="32"/>
        </w:rPr>
      </w:pPr>
    </w:p>
    <w:p w:rsidR="002F05EC" w:rsidRDefault="002F05EC" w:rsidP="002F05EC">
      <w:pPr>
        <w:overflowPunct w:val="0"/>
        <w:spacing w:line="600" w:lineRule="exact"/>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 xml:space="preserve">                                   </w:t>
      </w:r>
      <w:r w:rsidRPr="002F05EC">
        <w:rPr>
          <w:rFonts w:ascii="仿宋_GB2312" w:eastAsia="仿宋_GB2312" w:hAnsi="仿宋_GB2312" w:cs="仿宋_GB2312" w:hint="eastAsia"/>
          <w:spacing w:val="20"/>
          <w:kern w:val="0"/>
          <w:sz w:val="32"/>
          <w:szCs w:val="32"/>
          <w:fitText w:val="3200" w:id="-1941285632"/>
        </w:rPr>
        <w:t>中共丽水市委办公</w:t>
      </w:r>
      <w:r w:rsidRPr="002F05EC">
        <w:rPr>
          <w:rFonts w:ascii="仿宋_GB2312" w:eastAsia="仿宋_GB2312" w:hAnsi="仿宋_GB2312" w:cs="仿宋_GB2312" w:hint="eastAsia"/>
          <w:kern w:val="0"/>
          <w:sz w:val="32"/>
          <w:szCs w:val="32"/>
          <w:fitText w:val="3200" w:id="-1941285632"/>
        </w:rPr>
        <w:t>室</w:t>
      </w:r>
    </w:p>
    <w:p w:rsidR="002F05EC" w:rsidRDefault="002F05EC" w:rsidP="002F05EC">
      <w:pPr>
        <w:overflowPunct w:val="0"/>
        <w:spacing w:line="60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丽水市人民政府办公室</w:t>
      </w:r>
    </w:p>
    <w:p w:rsidR="002F05EC" w:rsidRDefault="002F05EC" w:rsidP="002F05EC">
      <w:pPr>
        <w:overflowPunct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 xml:space="preserve">                                   2020年12月8日</w:t>
      </w:r>
    </w:p>
    <w:p w:rsidR="002F05EC" w:rsidRDefault="002F05EC" w:rsidP="002F05EC">
      <w:pPr>
        <w:overflowPunct w:val="0"/>
        <w:spacing w:line="600" w:lineRule="exact"/>
        <w:rPr>
          <w:rFonts w:ascii="方正小标宋简体" w:eastAsia="方正小标宋简体" w:hAnsi="方正小标宋简体" w:cs="方正小标宋简体"/>
          <w:sz w:val="44"/>
          <w:szCs w:val="44"/>
        </w:rPr>
      </w:pPr>
    </w:p>
    <w:p w:rsidR="002F05EC" w:rsidRDefault="002F05EC" w:rsidP="002F05EC">
      <w:pPr>
        <w:overflowPunct w:val="0"/>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丽水市本级人才公寓租住管理办法</w:t>
      </w:r>
    </w:p>
    <w:p w:rsidR="002F05EC" w:rsidRDefault="002F05EC" w:rsidP="002F05EC">
      <w:pPr>
        <w:overflowPunct w:val="0"/>
        <w:spacing w:line="620" w:lineRule="exact"/>
        <w:ind w:firstLineChars="200" w:firstLine="640"/>
        <w:rPr>
          <w:rFonts w:ascii="仿宋_GB2312" w:eastAsia="仿宋_GB2312" w:hAnsi="仿宋_GB2312"/>
          <w:sz w:val="32"/>
          <w:szCs w:val="32"/>
        </w:rPr>
      </w:pPr>
    </w:p>
    <w:p w:rsidR="002F05EC" w:rsidRDefault="002F05EC" w:rsidP="0017777D">
      <w:pPr>
        <w:pStyle w:val="ab"/>
        <w:numPr>
          <w:ilvl w:val="0"/>
          <w:numId w:val="1"/>
        </w:numPr>
        <w:overflowPunct w:val="0"/>
        <w:spacing w:after="0" w:line="620" w:lineRule="exact"/>
        <w:ind w:left="0" w:firstLineChars="0" w:firstLine="0"/>
        <w:jc w:val="center"/>
        <w:rPr>
          <w:rFonts w:ascii="黑体" w:eastAsia="黑体" w:hAnsi="黑体" w:cs="黑体"/>
          <w:sz w:val="32"/>
          <w:szCs w:val="32"/>
        </w:rPr>
      </w:pPr>
      <w:r>
        <w:rPr>
          <w:rFonts w:ascii="黑体" w:eastAsia="黑体" w:hAnsi="黑体" w:cs="黑体" w:hint="eastAsia"/>
          <w:sz w:val="32"/>
          <w:szCs w:val="32"/>
        </w:rPr>
        <w:t>总则</w:t>
      </w:r>
    </w:p>
    <w:p w:rsidR="002F05EC" w:rsidRDefault="002F05EC" w:rsidP="002F05EC">
      <w:pPr>
        <w:pStyle w:val="ab"/>
        <w:overflowPunct w:val="0"/>
        <w:spacing w:after="0" w:line="620" w:lineRule="exact"/>
        <w:ind w:firstLineChars="0" w:firstLine="0"/>
        <w:jc w:val="both"/>
        <w:rPr>
          <w:rFonts w:ascii="黑体" w:eastAsia="黑体" w:hAnsi="黑体" w:cs="黑体"/>
          <w:sz w:val="32"/>
          <w:szCs w:val="32"/>
        </w:rPr>
      </w:pPr>
    </w:p>
    <w:p w:rsidR="002F05EC" w:rsidRDefault="002F05EC" w:rsidP="002F05EC">
      <w:pPr>
        <w:overflowPunct w:val="0"/>
        <w:spacing w:line="62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规范丽水市人才公寓的管理和使用，充分发挥人才公寓周转服务作用，进一步改善人才居住环境，根据《丽水市区公共租赁住房管理办法》和《关于加快集聚高层次科技创新创业人才推动高质量绿色发展的意见》等文件，制定本办法。</w:t>
      </w:r>
    </w:p>
    <w:p w:rsidR="002F05EC" w:rsidRDefault="002F05EC" w:rsidP="002F05EC">
      <w:pPr>
        <w:overflowPunct w:val="0"/>
        <w:spacing w:line="62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人才公寓主要面向丽水市本级、莲都区机关及企事业单位、非市</w:t>
      </w:r>
      <w:r>
        <w:rPr>
          <w:rFonts w:ascii="仿宋_GB2312" w:eastAsia="仿宋_GB2312" w:cs="仿宋_GB2312" w:hint="eastAsia"/>
          <w:sz w:val="32"/>
          <w:szCs w:val="32"/>
        </w:rPr>
        <w:t>属在丽单位</w:t>
      </w:r>
      <w:r>
        <w:rPr>
          <w:rFonts w:ascii="仿宋_GB2312" w:eastAsia="仿宋_GB2312" w:hAnsi="仿宋_GB2312" w:cs="仿宋_GB2312" w:hint="eastAsia"/>
          <w:sz w:val="32"/>
          <w:szCs w:val="32"/>
        </w:rPr>
        <w:t>中在职的符合条件的无住房人才。</w:t>
      </w:r>
    </w:p>
    <w:p w:rsidR="002F05EC" w:rsidRDefault="002F05EC" w:rsidP="002F05EC">
      <w:pPr>
        <w:overflowPunct w:val="0"/>
        <w:spacing w:line="62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委人才办负责人才公寓租住管理的综合协调、政策指导等工作。市人力社保局负责申请受理及入住对象资格审核，牵头做好人才公寓相关举报投诉处理等工作。市城投公司负责人才公寓的配租、变更、退租、巡查，负责与住户沟通、物业公司考核、公寓文化建设等工作，落实维修申报、投诉受理，装修、水、电、燃气开户，家电家具等日常管理维护工作。市自然资源局和市建设局协助做好人才公寓申请对象的房产和房改情况审查工作。市财政局负责做好人才公寓管理的经费保障。市委宣传部负责做好人才住房保障方面的宣传工作。</w:t>
      </w:r>
    </w:p>
    <w:p w:rsidR="002F05EC" w:rsidRDefault="002F05EC" w:rsidP="002F05EC">
      <w:pPr>
        <w:overflowPunct w:val="0"/>
        <w:spacing w:line="600" w:lineRule="exact"/>
        <w:rPr>
          <w:rFonts w:ascii="黑体" w:eastAsia="黑体" w:hAnsi="黑体" w:cs="黑体"/>
          <w:sz w:val="32"/>
          <w:szCs w:val="32"/>
        </w:rPr>
      </w:pPr>
    </w:p>
    <w:p w:rsidR="002F05EC" w:rsidRDefault="002F05EC" w:rsidP="002F05EC">
      <w:p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第二章</w:t>
      </w:r>
      <w:r>
        <w:rPr>
          <w:rFonts w:ascii="黑体" w:eastAsia="黑体" w:hAnsi="黑体" w:cs="黑体"/>
          <w:sz w:val="32"/>
          <w:szCs w:val="32"/>
        </w:rPr>
        <w:t xml:space="preserve">  </w:t>
      </w:r>
      <w:r>
        <w:rPr>
          <w:rFonts w:ascii="黑体" w:eastAsia="黑体" w:hAnsi="黑体" w:cs="黑体" w:hint="eastAsia"/>
          <w:sz w:val="32"/>
          <w:szCs w:val="32"/>
        </w:rPr>
        <w:t>公寓安排</w:t>
      </w:r>
    </w:p>
    <w:p w:rsidR="002F05EC" w:rsidRDefault="002F05EC" w:rsidP="002F05EC">
      <w:pPr>
        <w:overflowPunct w:val="0"/>
        <w:spacing w:line="600" w:lineRule="exact"/>
        <w:rPr>
          <w:rFonts w:ascii="黑体" w:eastAsia="黑体" w:hAnsi="黑体"/>
          <w:sz w:val="32"/>
          <w:szCs w:val="32"/>
        </w:rPr>
      </w:pP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第四条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人才公寓房源主要为经济适用住房、公共租赁住房等按市政府规定调剂转换的房屋，以及符合条件的市场主体提供的房屋。户型建筑面积从</w:t>
      </w:r>
      <w:r>
        <w:rPr>
          <w:rFonts w:ascii="仿宋_GB2312" w:eastAsia="仿宋_GB2312" w:hAnsi="仿宋_GB2312" w:cs="仿宋_GB2312"/>
          <w:sz w:val="32"/>
          <w:szCs w:val="32"/>
        </w:rPr>
        <w:t>30</w:t>
      </w:r>
      <w:r>
        <w:rPr>
          <w:rFonts w:ascii="宋体" w:hAnsi="宋体" w:cs="宋体" w:hint="eastAsia"/>
          <w:sz w:val="32"/>
          <w:szCs w:val="32"/>
        </w:rPr>
        <w:t>㎡</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140</w:t>
      </w:r>
      <w:r>
        <w:rPr>
          <w:rFonts w:ascii="宋体" w:hAnsi="宋体" w:cs="宋体" w:hint="eastAsia"/>
          <w:sz w:val="32"/>
          <w:szCs w:val="32"/>
        </w:rPr>
        <w:t>㎡</w:t>
      </w:r>
      <w:r>
        <w:rPr>
          <w:rFonts w:ascii="仿宋_GB2312" w:eastAsia="仿宋_GB2312" w:hAnsi="仿宋_GB2312" w:cs="仿宋_GB2312" w:hint="eastAsia"/>
          <w:sz w:val="32"/>
          <w:szCs w:val="32"/>
        </w:rPr>
        <w:t>不等。</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第五条</w:t>
      </w:r>
      <w:r>
        <w:rPr>
          <w:rFonts w:ascii="黑体" w:eastAsia="黑体" w:hAnsi="黑体"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单身的对象原则上安排</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人租住一套公寓，具体根据房源套型面积确定。已婚对象可安排单独租住一套公寓。</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丽水开发区、绿谷信息产业园的人才在园区人才公寓统一安排，原则上不安排市区人才公寓。确需安排的，由用人单位向市人力社保局提出申请，经市委人才办工作例会审定后予以安排。</w:t>
      </w:r>
    </w:p>
    <w:p w:rsidR="002F05EC" w:rsidRDefault="002F05EC" w:rsidP="002F05EC">
      <w:pPr>
        <w:overflowPunct w:val="0"/>
        <w:spacing w:line="600" w:lineRule="exact"/>
        <w:ind w:firstLineChars="200" w:firstLine="640"/>
        <w:rPr>
          <w:rFonts w:ascii="仿宋_GB2312" w:eastAsia="仿宋_GB2312" w:hAnsi="仿宋_GB2312"/>
          <w:sz w:val="32"/>
          <w:szCs w:val="32"/>
        </w:rPr>
      </w:pPr>
    </w:p>
    <w:p w:rsidR="002F05EC" w:rsidRDefault="002F05EC" w:rsidP="002F05EC">
      <w:p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申请条件</w:t>
      </w:r>
    </w:p>
    <w:p w:rsidR="002F05EC" w:rsidRDefault="002F05EC" w:rsidP="002F05EC">
      <w:pPr>
        <w:overflowPunct w:val="0"/>
        <w:spacing w:line="600" w:lineRule="exact"/>
        <w:rPr>
          <w:rFonts w:ascii="黑体" w:eastAsia="黑体" w:hAnsi="黑体"/>
          <w:sz w:val="32"/>
          <w:szCs w:val="32"/>
        </w:rPr>
      </w:pP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申请租住人才公寓的对象必须具备以下条件之一：</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（一）《丽水市高层次人才分类目录》中所列</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E</w:t>
      </w:r>
      <w:r>
        <w:rPr>
          <w:rFonts w:ascii="仿宋_GB2312" w:eastAsia="仿宋_GB2312" w:hAnsi="仿宋_GB2312" w:cs="仿宋_GB2312" w:hint="eastAsia"/>
          <w:sz w:val="32"/>
          <w:szCs w:val="32"/>
        </w:rPr>
        <w:t>类高层次人才；</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（二）在聘的副高级专业技术职称的对象；</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（三）在聘的高级技师技能等级的对象；</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（四）具有硕士研究生及以上学历的对象；</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（五）符合重点产业紧缺人才目录的人才；</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（六）经市委人才办研究同意的其他人才。</w:t>
      </w:r>
    </w:p>
    <w:p w:rsidR="002F05EC" w:rsidRPr="002F05EC" w:rsidRDefault="002F05EC" w:rsidP="002F05EC">
      <w:pPr>
        <w:overflowPunct w:val="0"/>
        <w:spacing w:line="600" w:lineRule="exact"/>
        <w:ind w:firstLineChars="200" w:firstLine="640"/>
        <w:rPr>
          <w:rFonts w:ascii="仿宋_GB2312" w:eastAsia="仿宋_GB2312" w:hAnsi="仿宋_GB2312" w:cs="仿宋_GB2312"/>
          <w:spacing w:val="4"/>
          <w:sz w:val="32"/>
          <w:szCs w:val="32"/>
        </w:rPr>
      </w:pPr>
      <w:r>
        <w:rPr>
          <w:rFonts w:ascii="黑体" w:eastAsia="黑体" w:hAnsi="黑体" w:cs="仿宋_GB2312" w:hint="eastAsia"/>
          <w:bCs/>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申请人及配偶、未成年子女须在市区（万象、紫金、白云、岩泉、联城、南明山等六个街道所在城市规划区范围内）无自有房屋，在市区以外的莲都区范围内无自有商品房；未在市</w:t>
      </w:r>
      <w:r w:rsidRPr="002F05EC">
        <w:rPr>
          <w:rFonts w:ascii="仿宋_GB2312" w:eastAsia="仿宋_GB2312" w:hAnsi="仿宋_GB2312" w:cs="仿宋_GB2312" w:hint="eastAsia"/>
          <w:spacing w:val="4"/>
          <w:sz w:val="32"/>
          <w:szCs w:val="32"/>
        </w:rPr>
        <w:t>区承租保障性住房，未享受过政策性住房和经济适用住房价差补助。</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第九条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在市区范围内具有下列情形之一的，认定为有自有房屋：</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（一）有现房或期房（包括住宅和非住宅用房）；</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（二）申请保障之日起前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年内，因析产、赠予、出售、被征收等原因转移、注销房屋所有权的房屋；</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（三）有待入住的拆迁安置房或经济适用住房；</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（四）违章搭建，经有关部门处理后作保留使用的住房；</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（五）其他认定为有自有住房的情形。</w:t>
      </w:r>
    </w:p>
    <w:p w:rsidR="002F05EC" w:rsidRDefault="002F05EC" w:rsidP="002F05EC">
      <w:pPr>
        <w:overflowPunct w:val="0"/>
        <w:spacing w:line="600" w:lineRule="exact"/>
        <w:ind w:firstLineChars="200" w:firstLine="640"/>
        <w:rPr>
          <w:rFonts w:ascii="仿宋_GB2312" w:eastAsia="仿宋_GB2312" w:hAnsi="仿宋_GB2312"/>
          <w:sz w:val="32"/>
          <w:szCs w:val="32"/>
        </w:rPr>
      </w:pPr>
    </w:p>
    <w:p w:rsidR="002F05EC" w:rsidRDefault="002F05EC" w:rsidP="002F05EC">
      <w:p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申请和审核流程</w:t>
      </w:r>
    </w:p>
    <w:p w:rsidR="002F05EC" w:rsidRDefault="002F05EC" w:rsidP="002F05EC">
      <w:pPr>
        <w:overflowPunct w:val="0"/>
        <w:spacing w:line="600" w:lineRule="exact"/>
        <w:rPr>
          <w:rFonts w:ascii="黑体" w:eastAsia="黑体" w:hAnsi="黑体"/>
          <w:sz w:val="32"/>
          <w:szCs w:val="32"/>
        </w:rPr>
      </w:pP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申请租住人才公寓时，需提供以下材料：</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（一）《丽水市人才公寓租住申请表》；</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（二）申请人身份证明、结婚证（已婚对象提供）、聘用合同或劳动合同（服务期限自申请租住之日起超</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年以上）；</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（三）符合租住人才公寓的证明材料。</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以上材料的复印件注明“与原件相符”字样，由用人单位审核并加盖公章后提交。</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第十一条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申请人才公寓按以下程序办理：</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根据浙江省“一件事”改革要求，人才公寓租住实行“先入住后审核”，人才提出申请后即可安排入住人才公寓，审核工作由相关部门后期完成。</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（一）申请。符合条件的人才通过网络服务平台向所在单位提交申请，由用人单位或主管部门审核后提交至市人力社保局。</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申请人及配偶在申请之日前</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个月内曾放弃人才公寓租住资格的，市人力社保局不予受理。</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审核。市人力社保局收到报送材料后，通知相关部门进行审核。其中，市建设局负责审核申请人家庭房改、房产（预售）情况；市自然资源局负责审核申请人及家庭不动产登记情况；市人力社保局负责审核申请人的资格条件，如学历学位、专技资格、技能等级、人才荣誉等情况。</w:t>
      </w:r>
    </w:p>
    <w:p w:rsidR="002F05EC" w:rsidRDefault="002F05EC" w:rsidP="002F05EC">
      <w:pPr>
        <w:overflowPunct w:val="0"/>
        <w:spacing w:line="600" w:lineRule="exact"/>
        <w:ind w:firstLineChars="200" w:firstLine="640"/>
        <w:rPr>
          <w:rFonts w:ascii="仿宋_GB2312" w:eastAsia="仿宋_GB2312" w:hAnsi="仿宋_GB2312"/>
          <w:sz w:val="32"/>
          <w:szCs w:val="32"/>
        </w:rPr>
      </w:pPr>
    </w:p>
    <w:p w:rsidR="002F05EC" w:rsidRDefault="002F05EC" w:rsidP="002F05EC">
      <w:p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房源分配和租住管理</w:t>
      </w:r>
    </w:p>
    <w:p w:rsidR="002F05EC" w:rsidRDefault="002F05EC" w:rsidP="002F05EC">
      <w:pPr>
        <w:overflowPunct w:val="0"/>
        <w:spacing w:line="600" w:lineRule="exact"/>
        <w:rPr>
          <w:rFonts w:ascii="黑体" w:eastAsia="黑体" w:hAnsi="黑体"/>
          <w:sz w:val="32"/>
          <w:szCs w:val="32"/>
        </w:rPr>
      </w:pP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第十二条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市人力社保局对申请人资格条件审核后，将符合资格条件的人员名单报送至市城投公司。市城投公司根据申请人</w:t>
      </w:r>
      <w:r>
        <w:rPr>
          <w:rFonts w:ascii="仿宋_GB2312" w:eastAsia="仿宋_GB2312" w:hAnsi="仿宋_GB2312" w:cs="仿宋_GB2312" w:hint="eastAsia"/>
          <w:sz w:val="32"/>
          <w:szCs w:val="32"/>
        </w:rPr>
        <w:lastRenderedPageBreak/>
        <w:t>的申请先后顺序和人才类别，进行房源配租，市人力社保局定期集中公示，公示期满后，将公示情况反馈至市城投公司。若人才公寓房源不能满足需求时，根据申请先后顺序和人才类别抽签确定租住对象。</w:t>
      </w: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申请人选择房源后，应在规定时间内办理签订租赁合同、缴纳租金等手续。</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人才公寓租住以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年为周期。</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年期满，需继续租住的，由用人单位提出申请，经同意后办理续租手续。</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第十四条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人才公寓租赁期间，租金由承租人支付，每半年缴纳一次。</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承租人须按租赁合同及时缴纳水、电、物业管理等费用。人才公寓租金以当年租房市场价为基准价，承租期（第1至3年）的租金按当年基准价的30%缴纳。经批准延长承租期的，续租期（第4至6年）的租金按当年基准价的60%缴纳。6年续租期满后，在市区人才公寓房源充足的情况下，经市人力社保局审核同意后仍可租住人才公寓，租金按当年基准价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缴纳。《丽水市高层次人才分类目录》中所列</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D</w:t>
      </w:r>
      <w:r>
        <w:rPr>
          <w:rFonts w:ascii="仿宋_GB2312" w:eastAsia="仿宋_GB2312" w:hAnsi="仿宋_GB2312" w:cs="仿宋_GB2312" w:hint="eastAsia"/>
          <w:sz w:val="32"/>
          <w:szCs w:val="32"/>
        </w:rPr>
        <w:t>类高层次人才可以申请减免租金。</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第十五条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合租的承租人，租金按居住房间面积大小和人均分摊到的卫生间、厨房、客（餐）厅等共用面积之和计算。单独租住的承租人，租金按整套公寓面积计算。</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lastRenderedPageBreak/>
        <w:t>第十六条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市城投公司应在租赁合同中与承租人约定，市城投公司可以根据房源现状、租住人员等实际情况，对合租的人才公寓进行重新调配，承租人应予以配合。对不服从调配的承租人，租金调至市场租金基准价。</w:t>
      </w: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bCs/>
          <w:sz w:val="32"/>
          <w:szCs w:val="32"/>
        </w:rPr>
        <w:t>第十七条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租赁期满后，承租人应及时退房。在承租期内需提前退房的，应提前1个月向市城投公司提出。承租人办理退房手续前，应结清租金、水、电、物业管理等费用。</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 xml:space="preserve">第十八条 </w:t>
      </w:r>
      <w:r>
        <w:rPr>
          <w:rFonts w:ascii="仿宋_GB2312" w:eastAsia="仿宋_GB2312" w:hAnsi="仿宋_GB2312" w:cs="仿宋_GB2312" w:hint="eastAsia"/>
          <w:sz w:val="32"/>
          <w:szCs w:val="32"/>
        </w:rPr>
        <w:t xml:space="preserve"> 市城投公司不定期对人才公寓租住情况进行巡查，发现承租人有下列情形之一的，应根据约定解除租赁合同，要求承租人及时退出人才公寓，并会同市人力社保局通报承租人所在单位：</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（一）转借、转租或者擅自调换所承租人才公寓的；</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（二）改变所承租人才公寓用途的；</w:t>
      </w:r>
    </w:p>
    <w:p w:rsidR="002F05EC" w:rsidRDefault="002F05EC" w:rsidP="002F05EC">
      <w:pPr>
        <w:overflowPunct w:val="0"/>
        <w:spacing w:line="600" w:lineRule="exact"/>
        <w:ind w:firstLineChars="200" w:firstLine="640"/>
        <w:jc w:val="left"/>
        <w:rPr>
          <w:rFonts w:ascii="仿宋_GB2312" w:eastAsia="仿宋_GB2312" w:hAnsi="仿宋_GB2312"/>
          <w:sz w:val="32"/>
          <w:szCs w:val="32"/>
          <w:shd w:val="clear" w:color="FFFFFF" w:fill="D9D9D9"/>
        </w:rPr>
      </w:pPr>
      <w:r>
        <w:rPr>
          <w:rFonts w:ascii="仿宋_GB2312" w:eastAsia="仿宋_GB2312" w:hAnsi="仿宋_GB2312" w:cs="仿宋_GB2312" w:hint="eastAsia"/>
          <w:sz w:val="32"/>
          <w:szCs w:val="32"/>
        </w:rPr>
        <w:t>（三）破坏或者擅自装修所承租人才公寓，拒不恢复原状的；</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（四）在人才公寓内从事违法活动的；</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（五）无正当理由连续</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个月以上闲置人才公寓的；</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（六）累计</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个月以上拖欠租金，经催缴后无正当理由拒不缴纳的；</w:t>
      </w: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（七）严重违法违纪或被取消各类人才资格的；</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（八）其他需要退出的情况。</w:t>
      </w:r>
    </w:p>
    <w:p w:rsidR="002F05EC" w:rsidRPr="002F05EC" w:rsidRDefault="002F05EC" w:rsidP="002F05EC">
      <w:pPr>
        <w:overflowPunct w:val="0"/>
        <w:spacing w:line="600" w:lineRule="exact"/>
        <w:ind w:firstLineChars="200" w:firstLine="640"/>
        <w:rPr>
          <w:rFonts w:ascii="黑体" w:eastAsia="黑体" w:hAnsi="黑体" w:cs="仿宋_GB2312"/>
          <w:bCs/>
          <w:spacing w:val="-4"/>
          <w:sz w:val="32"/>
          <w:szCs w:val="32"/>
        </w:rPr>
      </w:pPr>
      <w:r>
        <w:rPr>
          <w:rFonts w:ascii="仿宋_GB2312" w:eastAsia="仿宋_GB2312" w:hAnsi="仿宋_GB2312" w:cs="仿宋_GB2312" w:hint="eastAsia"/>
          <w:sz w:val="32"/>
          <w:szCs w:val="32"/>
        </w:rPr>
        <w:t xml:space="preserve"> 在人才公寓分配调整中，承租人不服从安排的，未入住的</w:t>
      </w:r>
      <w:r>
        <w:rPr>
          <w:rFonts w:ascii="仿宋_GB2312" w:eastAsia="仿宋_GB2312" w:hAnsi="仿宋_GB2312" w:cs="仿宋_GB2312" w:hint="eastAsia"/>
          <w:sz w:val="32"/>
          <w:szCs w:val="32"/>
        </w:rPr>
        <w:lastRenderedPageBreak/>
        <w:t>作为自动放弃租住资格情形办理，已租住的与其解除租赁合同，</w:t>
      </w:r>
      <w:r w:rsidRPr="002F05EC">
        <w:rPr>
          <w:rFonts w:ascii="仿宋_GB2312" w:eastAsia="仿宋_GB2312" w:hAnsi="仿宋_GB2312" w:cs="仿宋_GB2312" w:hint="eastAsia"/>
          <w:spacing w:val="-4"/>
          <w:sz w:val="32"/>
          <w:szCs w:val="32"/>
        </w:rPr>
        <w:t>并要求承租人及时退出人才公寓，不再受理其人才公寓租住申请。</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第十九条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市城投公司每年至少对承租人的资格进行一次集中审查，市人力社保局、市自然资源局和市建设局协助做好审查工作。</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租赁期内，当承租人由单位或个人解决了住房（期房以承租人与房产公司签订合同条款中约定的交付时间为准，现房以承租人房产登记时间为准）、享受货币分房政策、调离市区单位或其他不再符合人才公寓租住条件的，应及时向市城投公司报告并退出人才公寓。</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承租人租住人才公寓协议期满，或因不符合租住条件的应及时退房，如确有困难，应提前</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个月提出。对暂时无法腾退的，可实行最长不超过</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个月的过渡期，其中与单位解除劳动关系的，最长不超过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个月的过渡期。过渡期内按照市场租金标准全额交纳租金。</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承租人按有关规定应退出人才公寓而不退出的，市城投公司可以依照有关法律法规和政策规定处理。承租人所在单位应配合做好退房有关工作。承租人办理离职手续的，需提供市城投公司出具的《退房证明》。</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第二十一条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承租人因违法或不当使用造成人才公寓住房或设备设施损坏的，应当依法承担赔偿责任。</w:t>
      </w:r>
    </w:p>
    <w:p w:rsidR="002F05EC" w:rsidRDefault="002F05EC" w:rsidP="002F05EC">
      <w:pPr>
        <w:numPr>
          <w:ilvl w:val="0"/>
          <w:numId w:val="2"/>
        </w:num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法律责任</w:t>
      </w:r>
    </w:p>
    <w:p w:rsidR="002F05EC" w:rsidRDefault="002F05EC" w:rsidP="002F05EC">
      <w:pPr>
        <w:overflowPunct w:val="0"/>
        <w:spacing w:line="600" w:lineRule="exact"/>
        <w:rPr>
          <w:rFonts w:ascii="黑体" w:eastAsia="黑体" w:hAnsi="黑体" w:cs="黑体"/>
          <w:sz w:val="32"/>
          <w:szCs w:val="32"/>
        </w:rPr>
      </w:pP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bCs/>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承租人以虚报、隐瞒、欺骗等不正当手段取得人才公寓保障的，根据约定解除租赁合同，并要求承租人及时退出人才公寓，不再受理其人才公寓租住申请。</w:t>
      </w: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bCs/>
          <w:sz w:val="32"/>
          <w:szCs w:val="32"/>
        </w:rPr>
        <w:t>第二十三条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有关部门在人才公寓管理工作中不履行本办法规定的职责，或者滥用职权、玩忽职守、徇私舞弊的，依法依纪追究相关责任人的责任。</w:t>
      </w:r>
    </w:p>
    <w:p w:rsidR="002F05EC" w:rsidRDefault="002F05EC" w:rsidP="002F05EC">
      <w:pPr>
        <w:overflowPunct w:val="0"/>
        <w:spacing w:line="600" w:lineRule="exact"/>
        <w:rPr>
          <w:rFonts w:ascii="仿宋_GB2312" w:eastAsia="仿宋_GB2312" w:hAnsi="仿宋_GB2312"/>
          <w:sz w:val="32"/>
          <w:szCs w:val="32"/>
        </w:rPr>
      </w:pPr>
    </w:p>
    <w:p w:rsidR="002F05EC" w:rsidRDefault="002F05EC" w:rsidP="002F05EC">
      <w:pPr>
        <w:overflowPunct w:val="0"/>
        <w:spacing w:line="60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sz w:val="32"/>
          <w:szCs w:val="32"/>
        </w:rPr>
        <w:t xml:space="preserve">  </w:t>
      </w:r>
      <w:r>
        <w:rPr>
          <w:rFonts w:ascii="黑体" w:eastAsia="黑体" w:hAnsi="黑体" w:cs="黑体" w:hint="eastAsia"/>
          <w:sz w:val="32"/>
          <w:szCs w:val="32"/>
        </w:rPr>
        <w:t>附则</w:t>
      </w:r>
    </w:p>
    <w:p w:rsidR="002F05EC" w:rsidRDefault="002F05EC" w:rsidP="002F05EC">
      <w:pPr>
        <w:overflowPunct w:val="0"/>
        <w:spacing w:line="600" w:lineRule="exact"/>
        <w:rPr>
          <w:rFonts w:ascii="黑体" w:eastAsia="黑体" w:hAnsi="黑体"/>
          <w:sz w:val="32"/>
          <w:szCs w:val="32"/>
        </w:rPr>
      </w:pP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市人力社保局和市城投公司定期对人才公寓的管理使用情况进行检查。</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本办法未尽事宜，参照《丽水市区公共租赁住房管理办法》有关规定执行。</w:t>
      </w:r>
    </w:p>
    <w:p w:rsidR="002F05EC" w:rsidRDefault="002F05EC" w:rsidP="002F05EC">
      <w:pPr>
        <w:overflowPunct w:val="0"/>
        <w:spacing w:line="600" w:lineRule="exact"/>
        <w:ind w:firstLineChars="200" w:firstLine="640"/>
        <w:rPr>
          <w:rFonts w:ascii="仿宋_GB2312" w:eastAsia="仿宋_GB2312" w:hAnsi="仿宋_GB2312"/>
          <w:sz w:val="32"/>
          <w:szCs w:val="32"/>
        </w:rPr>
      </w:pPr>
      <w:r>
        <w:rPr>
          <w:rFonts w:ascii="黑体" w:eastAsia="黑体" w:hAnsi="黑体" w:cs="仿宋_GB2312" w:hint="eastAsia"/>
          <w:bCs/>
          <w:sz w:val="32"/>
          <w:szCs w:val="32"/>
        </w:rPr>
        <w:t>第二十六条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本办法由市委、市政府负责解释，具体工作由市委人才办和市人力社保局承担。</w:t>
      </w:r>
    </w:p>
    <w:p w:rsidR="002F05EC" w:rsidRDefault="002F05EC" w:rsidP="002F05EC">
      <w:pPr>
        <w:overflowPunct w:val="0"/>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bCs/>
          <w:sz w:val="32"/>
          <w:szCs w:val="32"/>
        </w:rPr>
        <w:t>第二十七条</w:t>
      </w:r>
      <w:r>
        <w:rPr>
          <w:rFonts w:ascii="楷体_GB2312" w:eastAsia="楷体_GB2312" w:hAnsi="仿宋_GB2312" w:cs="仿宋_GB2312"/>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本办法自发布之日起实施。</w:t>
      </w:r>
    </w:p>
    <w:p w:rsidR="002F05EC" w:rsidRDefault="002F05EC" w:rsidP="002F05EC">
      <w:pPr>
        <w:overflowPunct w:val="0"/>
        <w:spacing w:line="600" w:lineRule="exact"/>
        <w:ind w:firstLineChars="200" w:firstLine="624"/>
        <w:rPr>
          <w:rFonts w:ascii="仿宋_GB2312" w:eastAsia="仿宋_GB2312" w:hAnsi="仿宋_GB2312"/>
          <w:color w:val="000000"/>
          <w:spacing w:val="-4"/>
          <w:sz w:val="32"/>
          <w:szCs w:val="32"/>
        </w:rPr>
      </w:pPr>
    </w:p>
    <w:p w:rsidR="002F05EC" w:rsidRDefault="002F05EC" w:rsidP="002F05EC">
      <w:pPr>
        <w:widowControl/>
        <w:spacing w:line="600" w:lineRule="exact"/>
        <w:rPr>
          <w:rFonts w:ascii="仿宋_GB2312" w:eastAsia="仿宋_GB2312"/>
          <w:color w:val="000000"/>
          <w:sz w:val="28"/>
          <w:szCs w:val="28"/>
        </w:rPr>
      </w:pPr>
    </w:p>
    <w:p w:rsidR="002F05EC" w:rsidRDefault="002F05EC">
      <w:pPr>
        <w:widowControl/>
        <w:jc w:val="left"/>
        <w:rPr>
          <w:spacing w:val="-4"/>
        </w:rPr>
      </w:pPr>
      <w:r>
        <w:rPr>
          <w:spacing w:val="-4"/>
        </w:rPr>
        <w:br w:type="page"/>
      </w:r>
    </w:p>
    <w:p w:rsidR="00DF32EF" w:rsidRDefault="00DF32EF"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2F05EC" w:rsidRDefault="002F05EC" w:rsidP="00DF32EF">
      <w:pPr>
        <w:overflowPunct w:val="0"/>
        <w:spacing w:line="600" w:lineRule="exact"/>
        <w:rPr>
          <w:spacing w:val="-4"/>
        </w:rPr>
      </w:pPr>
    </w:p>
    <w:p w:rsidR="00DF32EF" w:rsidRDefault="00DF32EF" w:rsidP="00DF32EF">
      <w:pPr>
        <w:overflowPunct w:val="0"/>
        <w:spacing w:line="600" w:lineRule="exact"/>
        <w:rPr>
          <w:spacing w:val="-4"/>
        </w:rPr>
      </w:pPr>
    </w:p>
    <w:p w:rsidR="00DF32EF" w:rsidRPr="00DF32EF" w:rsidRDefault="00DF32EF" w:rsidP="00DF32EF">
      <w:pPr>
        <w:overflowPunct w:val="0"/>
        <w:spacing w:line="600" w:lineRule="exact"/>
        <w:rPr>
          <w:spacing w:val="-4"/>
        </w:rPr>
      </w:pPr>
    </w:p>
    <w:p w:rsidR="00DF32EF" w:rsidRDefault="00DF32EF" w:rsidP="00DF32EF">
      <w:pPr>
        <w:overflowPunct w:val="0"/>
        <w:jc w:val="left"/>
      </w:pPr>
    </w:p>
    <w:p w:rsidR="00664963" w:rsidRDefault="00664963" w:rsidP="00DF32EF">
      <w:pPr>
        <w:overflowPunct w:val="0"/>
        <w:jc w:val="left"/>
      </w:pPr>
    </w:p>
    <w:p w:rsidR="009F2E98" w:rsidRPr="009F2E98" w:rsidRDefault="00E4447D" w:rsidP="00DF32EF">
      <w:pPr>
        <w:overflowPunct w:val="0"/>
        <w:spacing w:line="600" w:lineRule="exact"/>
        <w:ind w:firstLineChars="100" w:firstLine="280"/>
        <w:rPr>
          <w:rFonts w:ascii="仿宋_GB2312" w:eastAsia="仿宋_GB2312"/>
          <w:color w:val="000000"/>
          <w:sz w:val="28"/>
          <w:szCs w:val="28"/>
        </w:rPr>
      </w:pPr>
      <w:r w:rsidRPr="00E4447D">
        <w:rPr>
          <w:rFonts w:ascii="仿宋_GB2312" w:eastAsia="仿宋_GB2312"/>
          <w:noProof/>
          <w:sz w:val="28"/>
          <w:szCs w:val="28"/>
        </w:rPr>
        <w:pict>
          <v:line id="_x0000_s1027" style="position:absolute;left:0;text-align:left;z-index:251661312" from="0,2.25pt" to="449pt,2.25pt" strokeweight="1.25pt"/>
        </w:pict>
      </w:r>
      <w:r w:rsidRPr="00E4447D">
        <w:rPr>
          <w:rFonts w:ascii="仿宋_GB2312" w:eastAsia="仿宋_GB2312"/>
          <w:noProof/>
          <w:sz w:val="28"/>
          <w:szCs w:val="28"/>
        </w:rPr>
        <w:pict>
          <v:line id="_x0000_s1026" style="position:absolute;left:0;text-align:left;z-index:251660288" from="-.75pt,36.9pt" to="448.25pt,36.9pt" strokeweight="1.25pt"/>
        </w:pict>
      </w:r>
      <w:r w:rsidR="009F2E98" w:rsidRPr="009F2E98">
        <w:rPr>
          <w:rFonts w:ascii="仿宋_GB2312" w:eastAsia="仿宋_GB2312" w:hint="eastAsia"/>
          <w:spacing w:val="17"/>
          <w:kern w:val="0"/>
          <w:sz w:val="28"/>
          <w:szCs w:val="28"/>
          <w:fitText w:val="2800" w:id="-2036601856"/>
        </w:rPr>
        <w:t>中共丽水市委办公</w:t>
      </w:r>
      <w:r w:rsidR="009F2E98" w:rsidRPr="009F2E98">
        <w:rPr>
          <w:rFonts w:ascii="仿宋_GB2312" w:eastAsia="仿宋_GB2312" w:hint="eastAsia"/>
          <w:spacing w:val="4"/>
          <w:kern w:val="0"/>
          <w:sz w:val="28"/>
          <w:szCs w:val="28"/>
          <w:fitText w:val="2800" w:id="-2036601856"/>
        </w:rPr>
        <w:t>室</w:t>
      </w:r>
      <w:r w:rsidR="009F2E98" w:rsidRPr="009F2E98">
        <w:rPr>
          <w:rFonts w:ascii="仿宋_GB2312" w:eastAsia="仿宋_GB2312" w:hint="eastAsia"/>
          <w:kern w:val="0"/>
          <w:sz w:val="28"/>
          <w:szCs w:val="28"/>
        </w:rPr>
        <w:t xml:space="preserve"> </w:t>
      </w:r>
      <w:r w:rsidR="009F2E98" w:rsidRPr="009F2E98">
        <w:rPr>
          <w:rFonts w:ascii="仿宋_GB2312" w:eastAsia="仿宋_GB2312" w:hint="eastAsia"/>
          <w:sz w:val="28"/>
          <w:szCs w:val="28"/>
        </w:rPr>
        <w:t xml:space="preserve">             </w:t>
      </w:r>
      <w:r w:rsidR="00F71DB8">
        <w:rPr>
          <w:rFonts w:ascii="仿宋_GB2312" w:eastAsia="仿宋_GB2312" w:hint="eastAsia"/>
          <w:sz w:val="28"/>
          <w:szCs w:val="28"/>
        </w:rPr>
        <w:t xml:space="preserve"> </w:t>
      </w:r>
      <w:r w:rsidR="009F2E98" w:rsidRPr="009F2E98">
        <w:rPr>
          <w:rFonts w:ascii="仿宋_GB2312" w:eastAsia="仿宋_GB2312" w:hint="eastAsia"/>
          <w:sz w:val="28"/>
          <w:szCs w:val="28"/>
        </w:rPr>
        <w:t xml:space="preserve">     2020年</w:t>
      </w:r>
      <w:r w:rsidR="002F05EC">
        <w:rPr>
          <w:rFonts w:ascii="仿宋_GB2312" w:eastAsia="仿宋_GB2312" w:hint="eastAsia"/>
          <w:sz w:val="28"/>
          <w:szCs w:val="28"/>
        </w:rPr>
        <w:t>12</w:t>
      </w:r>
      <w:r w:rsidR="009F2E98" w:rsidRPr="009F2E98">
        <w:rPr>
          <w:rFonts w:ascii="仿宋_GB2312" w:eastAsia="仿宋_GB2312" w:hint="eastAsia"/>
          <w:sz w:val="28"/>
          <w:szCs w:val="28"/>
        </w:rPr>
        <w:t>月</w:t>
      </w:r>
      <w:r w:rsidR="002F05EC">
        <w:rPr>
          <w:rFonts w:ascii="仿宋_GB2312" w:eastAsia="仿宋_GB2312" w:hint="eastAsia"/>
          <w:sz w:val="28"/>
          <w:szCs w:val="28"/>
        </w:rPr>
        <w:t>9</w:t>
      </w:r>
      <w:r w:rsidR="009F2E98" w:rsidRPr="009F2E98">
        <w:rPr>
          <w:rFonts w:ascii="仿宋_GB2312" w:eastAsia="仿宋_GB2312" w:hint="eastAsia"/>
          <w:sz w:val="28"/>
          <w:szCs w:val="28"/>
        </w:rPr>
        <w:t>日印发</w:t>
      </w:r>
    </w:p>
    <w:sectPr w:rsidR="009F2E98" w:rsidRPr="009F2E98" w:rsidSect="009F2E98">
      <w:footerReference w:type="even" r:id="rId8"/>
      <w:footerReference w:type="default" r:id="rId9"/>
      <w:pgSz w:w="11906" w:h="16838" w:code="9"/>
      <w:pgMar w:top="1871" w:right="1531" w:bottom="1701" w:left="1531"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D2" w:rsidRDefault="009641D2" w:rsidP="006F15DE">
      <w:r>
        <w:separator/>
      </w:r>
    </w:p>
  </w:endnote>
  <w:endnote w:type="continuationSeparator" w:id="1">
    <w:p w:rsidR="009641D2" w:rsidRDefault="009641D2" w:rsidP="006F1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98" w:rsidRDefault="00E4447D" w:rsidP="000706AF">
    <w:pPr>
      <w:pStyle w:val="a3"/>
      <w:framePr w:wrap="around" w:vAnchor="text" w:hAnchor="margin" w:xAlign="outside" w:y="1"/>
      <w:rPr>
        <w:rStyle w:val="a6"/>
      </w:rPr>
    </w:pPr>
    <w:r>
      <w:rPr>
        <w:rStyle w:val="a6"/>
      </w:rPr>
      <w:fldChar w:fldCharType="begin"/>
    </w:r>
    <w:r w:rsidR="009F2E98">
      <w:rPr>
        <w:rStyle w:val="a6"/>
      </w:rPr>
      <w:instrText xml:space="preserve">PAGE  </w:instrText>
    </w:r>
    <w:r>
      <w:rPr>
        <w:rStyle w:val="a6"/>
      </w:rPr>
      <w:fldChar w:fldCharType="end"/>
    </w:r>
  </w:p>
  <w:p w:rsidR="009F2E98" w:rsidRDefault="009F2E98" w:rsidP="009F2E9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98" w:rsidRPr="009F2E98" w:rsidRDefault="009F2E98" w:rsidP="000706AF">
    <w:pPr>
      <w:pStyle w:val="a3"/>
      <w:framePr w:wrap="around" w:vAnchor="text" w:hAnchor="margin" w:xAlign="outside" w:y="1"/>
      <w:rPr>
        <w:rStyle w:val="a6"/>
        <w:rFonts w:ascii="楷体_GB2312" w:eastAsia="楷体_GB2312"/>
        <w:sz w:val="28"/>
        <w:szCs w:val="28"/>
      </w:rPr>
    </w:pPr>
    <w:r w:rsidRPr="009F2E98">
      <w:rPr>
        <w:rStyle w:val="a6"/>
        <w:rFonts w:ascii="楷体_GB2312" w:eastAsia="楷体_GB2312" w:hint="eastAsia"/>
        <w:sz w:val="28"/>
        <w:szCs w:val="28"/>
      </w:rPr>
      <w:t>—</w:t>
    </w:r>
    <w:r w:rsidRPr="009F2E98">
      <w:rPr>
        <w:rStyle w:val="a6"/>
        <w:rFonts w:ascii="仿宋_GB2312" w:eastAsia="仿宋_GB2312" w:hint="eastAsia"/>
        <w:sz w:val="28"/>
        <w:szCs w:val="28"/>
      </w:rPr>
      <w:t xml:space="preserve"> </w:t>
    </w:r>
    <w:r w:rsidR="00E4447D" w:rsidRPr="009F2E98">
      <w:rPr>
        <w:rStyle w:val="a6"/>
        <w:rFonts w:eastAsia="仿宋_GB2312"/>
        <w:sz w:val="28"/>
        <w:szCs w:val="28"/>
      </w:rPr>
      <w:fldChar w:fldCharType="begin"/>
    </w:r>
    <w:r w:rsidRPr="009F2E98">
      <w:rPr>
        <w:rStyle w:val="a6"/>
        <w:rFonts w:eastAsia="仿宋_GB2312"/>
        <w:sz w:val="28"/>
        <w:szCs w:val="28"/>
      </w:rPr>
      <w:instrText xml:space="preserve">PAGE  </w:instrText>
    </w:r>
    <w:r w:rsidR="00E4447D" w:rsidRPr="009F2E98">
      <w:rPr>
        <w:rStyle w:val="a6"/>
        <w:rFonts w:eastAsia="仿宋_GB2312"/>
        <w:sz w:val="28"/>
        <w:szCs w:val="28"/>
      </w:rPr>
      <w:fldChar w:fldCharType="separate"/>
    </w:r>
    <w:r w:rsidR="0017777D">
      <w:rPr>
        <w:rStyle w:val="a6"/>
        <w:rFonts w:eastAsia="仿宋_GB2312"/>
        <w:noProof/>
        <w:sz w:val="28"/>
        <w:szCs w:val="28"/>
      </w:rPr>
      <w:t>3</w:t>
    </w:r>
    <w:r w:rsidR="00E4447D" w:rsidRPr="009F2E98">
      <w:rPr>
        <w:rStyle w:val="a6"/>
        <w:rFonts w:eastAsia="仿宋_GB2312"/>
        <w:sz w:val="28"/>
        <w:szCs w:val="28"/>
      </w:rPr>
      <w:fldChar w:fldCharType="end"/>
    </w:r>
    <w:r w:rsidRPr="009F2E98">
      <w:rPr>
        <w:rStyle w:val="a6"/>
        <w:rFonts w:ascii="仿宋_GB2312" w:eastAsia="仿宋_GB2312" w:hint="eastAsia"/>
        <w:sz w:val="28"/>
        <w:szCs w:val="28"/>
      </w:rPr>
      <w:t xml:space="preserve"> </w:t>
    </w:r>
    <w:r w:rsidRPr="009F2E98">
      <w:rPr>
        <w:rStyle w:val="a6"/>
        <w:rFonts w:ascii="楷体_GB2312" w:eastAsia="楷体_GB2312" w:hint="eastAsia"/>
        <w:sz w:val="28"/>
        <w:szCs w:val="28"/>
      </w:rPr>
      <w:t>—</w:t>
    </w:r>
  </w:p>
  <w:p w:rsidR="00CF47B9" w:rsidRDefault="009641D2" w:rsidP="009F2E98">
    <w:pPr>
      <w:pStyle w:val="a3"/>
      <w:ind w:right="360" w:firstLine="360"/>
      <w:jc w:val="center"/>
    </w:pPr>
  </w:p>
  <w:p w:rsidR="00CF47B9" w:rsidRDefault="009641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D2" w:rsidRDefault="009641D2" w:rsidP="006F15DE">
      <w:r>
        <w:separator/>
      </w:r>
    </w:p>
  </w:footnote>
  <w:footnote w:type="continuationSeparator" w:id="1">
    <w:p w:rsidR="009641D2" w:rsidRDefault="009641D2" w:rsidP="006F1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0C97C"/>
    <w:multiLevelType w:val="singleLevel"/>
    <w:tmpl w:val="BF80C97C"/>
    <w:lvl w:ilvl="0">
      <w:start w:val="6"/>
      <w:numFmt w:val="chineseCounting"/>
      <w:suff w:val="space"/>
      <w:lvlText w:val="第%1章"/>
      <w:lvlJc w:val="left"/>
      <w:rPr>
        <w:rFonts w:hint="eastAsia"/>
      </w:rPr>
    </w:lvl>
  </w:abstractNum>
  <w:abstractNum w:abstractNumId="1">
    <w:nsid w:val="12E22438"/>
    <w:multiLevelType w:val="hybridMultilevel"/>
    <w:tmpl w:val="63B45040"/>
    <w:lvl w:ilvl="0" w:tplc="15720252">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0A4"/>
    <w:rsid w:val="00007EA8"/>
    <w:rsid w:val="0006359F"/>
    <w:rsid w:val="0006490F"/>
    <w:rsid w:val="00080BC8"/>
    <w:rsid w:val="000878EB"/>
    <w:rsid w:val="000D5D77"/>
    <w:rsid w:val="000E2023"/>
    <w:rsid w:val="000F2405"/>
    <w:rsid w:val="000F7A9D"/>
    <w:rsid w:val="00105225"/>
    <w:rsid w:val="00115FDD"/>
    <w:rsid w:val="00120938"/>
    <w:rsid w:val="0014106C"/>
    <w:rsid w:val="001644A9"/>
    <w:rsid w:val="00165221"/>
    <w:rsid w:val="0017777D"/>
    <w:rsid w:val="00187CC2"/>
    <w:rsid w:val="001B327D"/>
    <w:rsid w:val="001B5EEE"/>
    <w:rsid w:val="001D0E98"/>
    <w:rsid w:val="00214910"/>
    <w:rsid w:val="002256E2"/>
    <w:rsid w:val="00243543"/>
    <w:rsid w:val="00265569"/>
    <w:rsid w:val="0027229D"/>
    <w:rsid w:val="00282084"/>
    <w:rsid w:val="00286296"/>
    <w:rsid w:val="002A6331"/>
    <w:rsid w:val="002B45DB"/>
    <w:rsid w:val="002F05EC"/>
    <w:rsid w:val="002F2787"/>
    <w:rsid w:val="003377AC"/>
    <w:rsid w:val="003C46EE"/>
    <w:rsid w:val="00401D81"/>
    <w:rsid w:val="004559A9"/>
    <w:rsid w:val="00457662"/>
    <w:rsid w:val="004649F0"/>
    <w:rsid w:val="004C028D"/>
    <w:rsid w:val="00517B2C"/>
    <w:rsid w:val="00535100"/>
    <w:rsid w:val="00543897"/>
    <w:rsid w:val="00544A0B"/>
    <w:rsid w:val="00581E61"/>
    <w:rsid w:val="005C050E"/>
    <w:rsid w:val="005E30A4"/>
    <w:rsid w:val="005E65F2"/>
    <w:rsid w:val="00600388"/>
    <w:rsid w:val="0065117C"/>
    <w:rsid w:val="00664963"/>
    <w:rsid w:val="00683CDB"/>
    <w:rsid w:val="006F15DE"/>
    <w:rsid w:val="00702255"/>
    <w:rsid w:val="007307C3"/>
    <w:rsid w:val="007376A6"/>
    <w:rsid w:val="00763B02"/>
    <w:rsid w:val="00774CC9"/>
    <w:rsid w:val="007778F8"/>
    <w:rsid w:val="007C1889"/>
    <w:rsid w:val="007C5B31"/>
    <w:rsid w:val="00863C19"/>
    <w:rsid w:val="008A5815"/>
    <w:rsid w:val="008D425C"/>
    <w:rsid w:val="008D48D9"/>
    <w:rsid w:val="008E15C2"/>
    <w:rsid w:val="008E4EA4"/>
    <w:rsid w:val="00913EB4"/>
    <w:rsid w:val="009641D2"/>
    <w:rsid w:val="00980BC7"/>
    <w:rsid w:val="00990FF4"/>
    <w:rsid w:val="009B7468"/>
    <w:rsid w:val="009F2E98"/>
    <w:rsid w:val="00A20572"/>
    <w:rsid w:val="00A63421"/>
    <w:rsid w:val="00A65A6F"/>
    <w:rsid w:val="00A73F6E"/>
    <w:rsid w:val="00A94B91"/>
    <w:rsid w:val="00AA3DE9"/>
    <w:rsid w:val="00AD728E"/>
    <w:rsid w:val="00AE0C66"/>
    <w:rsid w:val="00AE46C3"/>
    <w:rsid w:val="00AE66D3"/>
    <w:rsid w:val="00AF4037"/>
    <w:rsid w:val="00B1053F"/>
    <w:rsid w:val="00B16FF3"/>
    <w:rsid w:val="00B25288"/>
    <w:rsid w:val="00B319D0"/>
    <w:rsid w:val="00B51D56"/>
    <w:rsid w:val="00BB20B6"/>
    <w:rsid w:val="00BE3874"/>
    <w:rsid w:val="00C302FA"/>
    <w:rsid w:val="00C30869"/>
    <w:rsid w:val="00C34B12"/>
    <w:rsid w:val="00C434D1"/>
    <w:rsid w:val="00C66894"/>
    <w:rsid w:val="00CD446C"/>
    <w:rsid w:val="00CE4BFC"/>
    <w:rsid w:val="00CE55EF"/>
    <w:rsid w:val="00D04194"/>
    <w:rsid w:val="00D7789A"/>
    <w:rsid w:val="00D951E0"/>
    <w:rsid w:val="00DB2866"/>
    <w:rsid w:val="00DE7893"/>
    <w:rsid w:val="00DF32EF"/>
    <w:rsid w:val="00E057CD"/>
    <w:rsid w:val="00E120F7"/>
    <w:rsid w:val="00E36A67"/>
    <w:rsid w:val="00E4447D"/>
    <w:rsid w:val="00E454FC"/>
    <w:rsid w:val="00E83978"/>
    <w:rsid w:val="00ED39B6"/>
    <w:rsid w:val="00F02F0A"/>
    <w:rsid w:val="00F34AF2"/>
    <w:rsid w:val="00F376D9"/>
    <w:rsid w:val="00F55794"/>
    <w:rsid w:val="00F6522E"/>
    <w:rsid w:val="00F71DB8"/>
    <w:rsid w:val="00F720AC"/>
    <w:rsid w:val="00F958C7"/>
    <w:rsid w:val="00FC2B59"/>
    <w:rsid w:val="00FC4FE6"/>
    <w:rsid w:val="00FF5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30A4"/>
    <w:pPr>
      <w:tabs>
        <w:tab w:val="center" w:pos="4153"/>
        <w:tab w:val="right" w:pos="8306"/>
      </w:tabs>
      <w:snapToGrid w:val="0"/>
      <w:jc w:val="left"/>
    </w:pPr>
    <w:rPr>
      <w:sz w:val="18"/>
      <w:szCs w:val="18"/>
    </w:rPr>
  </w:style>
  <w:style w:type="character" w:customStyle="1" w:styleId="Char">
    <w:name w:val="页脚 Char"/>
    <w:basedOn w:val="a0"/>
    <w:link w:val="a3"/>
    <w:uiPriority w:val="99"/>
    <w:rsid w:val="005E30A4"/>
    <w:rPr>
      <w:rFonts w:ascii="Times New Roman" w:eastAsia="宋体" w:hAnsi="Times New Roman" w:cs="Times New Roman"/>
      <w:sz w:val="18"/>
      <w:szCs w:val="18"/>
    </w:rPr>
  </w:style>
  <w:style w:type="paragraph" w:styleId="a4">
    <w:name w:val="header"/>
    <w:basedOn w:val="a"/>
    <w:link w:val="Char0"/>
    <w:uiPriority w:val="99"/>
    <w:semiHidden/>
    <w:unhideWhenUsed/>
    <w:rsid w:val="000F24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F2405"/>
    <w:rPr>
      <w:rFonts w:ascii="Times New Roman" w:eastAsia="宋体" w:hAnsi="Times New Roman" w:cs="Times New Roman"/>
      <w:sz w:val="18"/>
      <w:szCs w:val="18"/>
    </w:rPr>
  </w:style>
  <w:style w:type="paragraph" w:styleId="a5">
    <w:name w:val="Balloon Text"/>
    <w:basedOn w:val="a"/>
    <w:link w:val="Char1"/>
    <w:uiPriority w:val="99"/>
    <w:semiHidden/>
    <w:unhideWhenUsed/>
    <w:rsid w:val="00990FF4"/>
    <w:rPr>
      <w:sz w:val="18"/>
      <w:szCs w:val="18"/>
    </w:rPr>
  </w:style>
  <w:style w:type="character" w:customStyle="1" w:styleId="Char1">
    <w:name w:val="批注框文本 Char"/>
    <w:basedOn w:val="a0"/>
    <w:link w:val="a5"/>
    <w:uiPriority w:val="99"/>
    <w:semiHidden/>
    <w:rsid w:val="00990FF4"/>
    <w:rPr>
      <w:rFonts w:ascii="Times New Roman" w:eastAsia="宋体" w:hAnsi="Times New Roman" w:cs="Times New Roman"/>
      <w:sz w:val="18"/>
      <w:szCs w:val="18"/>
    </w:rPr>
  </w:style>
  <w:style w:type="character" w:styleId="a6">
    <w:name w:val="page number"/>
    <w:basedOn w:val="a0"/>
    <w:uiPriority w:val="99"/>
    <w:semiHidden/>
    <w:unhideWhenUsed/>
    <w:rsid w:val="009F2E98"/>
  </w:style>
  <w:style w:type="paragraph" w:styleId="a7">
    <w:name w:val="Normal (Web)"/>
    <w:basedOn w:val="a"/>
    <w:rsid w:val="009F2E98"/>
    <w:pPr>
      <w:widowControl/>
      <w:spacing w:before="100" w:beforeAutospacing="1" w:after="100" w:afterAutospacing="1"/>
      <w:jc w:val="left"/>
    </w:pPr>
    <w:rPr>
      <w:rFonts w:ascii="宋体" w:hAnsi="宋体"/>
      <w:kern w:val="0"/>
      <w:sz w:val="24"/>
    </w:rPr>
  </w:style>
  <w:style w:type="table" w:styleId="a8">
    <w:name w:val="Table Grid"/>
    <w:basedOn w:val="a1"/>
    <w:uiPriority w:val="59"/>
    <w:rsid w:val="001652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2"/>
    <w:uiPriority w:val="99"/>
    <w:semiHidden/>
    <w:unhideWhenUsed/>
    <w:rsid w:val="00165221"/>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9"/>
    <w:uiPriority w:val="99"/>
    <w:semiHidden/>
    <w:rsid w:val="00165221"/>
    <w:rPr>
      <w:sz w:val="18"/>
      <w:szCs w:val="18"/>
    </w:rPr>
  </w:style>
  <w:style w:type="character" w:styleId="aa">
    <w:name w:val="footnote reference"/>
    <w:basedOn w:val="a0"/>
    <w:uiPriority w:val="99"/>
    <w:semiHidden/>
    <w:unhideWhenUsed/>
    <w:rsid w:val="00165221"/>
    <w:rPr>
      <w:vertAlign w:val="superscript"/>
    </w:rPr>
  </w:style>
  <w:style w:type="paragraph" w:styleId="ab">
    <w:name w:val="List Paragraph"/>
    <w:basedOn w:val="a"/>
    <w:uiPriority w:val="34"/>
    <w:qFormat/>
    <w:rsid w:val="004559A9"/>
    <w:pPr>
      <w:widowControl/>
      <w:adjustRightInd w:val="0"/>
      <w:snapToGrid w:val="0"/>
      <w:spacing w:after="200"/>
      <w:ind w:firstLineChars="200" w:firstLine="420"/>
      <w:jc w:val="left"/>
    </w:pPr>
    <w:rPr>
      <w:rFonts w:ascii="Tahoma" w:eastAsia="微软雅黑" w:hAnsi="Tahoma" w:cs="Tahoma"/>
      <w:kern w:val="0"/>
      <w:sz w:val="22"/>
      <w:szCs w:val="22"/>
    </w:rPr>
  </w:style>
</w:styles>
</file>

<file path=word/webSettings.xml><?xml version="1.0" encoding="utf-8"?>
<w:webSettings xmlns:r="http://schemas.openxmlformats.org/officeDocument/2006/relationships" xmlns:w="http://schemas.openxmlformats.org/wordprocessingml/2006/main">
  <w:divs>
    <w:div w:id="1002513266">
      <w:bodyDiv w:val="1"/>
      <w:marLeft w:val="0"/>
      <w:marRight w:val="0"/>
      <w:marTop w:val="0"/>
      <w:marBottom w:val="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685327516">
              <w:marLeft w:val="0"/>
              <w:marRight w:val="0"/>
              <w:marTop w:val="0"/>
              <w:marBottom w:val="0"/>
              <w:divBdr>
                <w:top w:val="none" w:sz="0" w:space="0" w:color="auto"/>
                <w:left w:val="none" w:sz="0" w:space="0" w:color="auto"/>
                <w:bottom w:val="none" w:sz="0" w:space="0" w:color="auto"/>
                <w:right w:val="none" w:sz="0" w:space="0" w:color="auto"/>
              </w:divBdr>
              <w:divsChild>
                <w:div w:id="1371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654">
          <w:marLeft w:val="0"/>
          <w:marRight w:val="0"/>
          <w:marTop w:val="0"/>
          <w:marBottom w:val="0"/>
          <w:divBdr>
            <w:top w:val="none" w:sz="0" w:space="0" w:color="auto"/>
            <w:left w:val="none" w:sz="0" w:space="0" w:color="auto"/>
            <w:bottom w:val="none" w:sz="0" w:space="0" w:color="auto"/>
            <w:right w:val="none" w:sz="0" w:space="0" w:color="auto"/>
          </w:divBdr>
          <w:divsChild>
            <w:div w:id="1416584259">
              <w:marLeft w:val="0"/>
              <w:marRight w:val="0"/>
              <w:marTop w:val="0"/>
              <w:marBottom w:val="0"/>
              <w:divBdr>
                <w:top w:val="none" w:sz="0" w:space="0" w:color="auto"/>
                <w:left w:val="none" w:sz="0" w:space="0" w:color="auto"/>
                <w:bottom w:val="none" w:sz="0" w:space="0" w:color="auto"/>
                <w:right w:val="none" w:sz="0" w:space="0" w:color="auto"/>
              </w:divBdr>
              <w:divsChild>
                <w:div w:id="2028217776">
                  <w:marLeft w:val="0"/>
                  <w:marRight w:val="0"/>
                  <w:marTop w:val="0"/>
                  <w:marBottom w:val="0"/>
                  <w:divBdr>
                    <w:top w:val="none" w:sz="0" w:space="0" w:color="auto"/>
                    <w:left w:val="none" w:sz="0" w:space="0" w:color="auto"/>
                    <w:bottom w:val="none" w:sz="0" w:space="0" w:color="auto"/>
                    <w:right w:val="none" w:sz="0" w:space="0" w:color="auto"/>
                  </w:divBdr>
                  <w:divsChild>
                    <w:div w:id="16394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1D8D-EBD7-4646-8D9D-3D212404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566</Words>
  <Characters>3230</Characters>
  <Application>Microsoft Office Word</Application>
  <DocSecurity>0</DocSecurity>
  <Lines>26</Lines>
  <Paragraphs>7</Paragraphs>
  <ScaleCrop>false</ScaleCrop>
  <Company>www.jujumao.org</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巫灵芳</dc:creator>
  <cp:lastModifiedBy>jujumao</cp:lastModifiedBy>
  <cp:revision>6</cp:revision>
  <cp:lastPrinted>2020-12-10T07:40:00Z</cp:lastPrinted>
  <dcterms:created xsi:type="dcterms:W3CDTF">2020-07-24T02:52:00Z</dcterms:created>
  <dcterms:modified xsi:type="dcterms:W3CDTF">2020-12-10T07:41:00Z</dcterms:modified>
</cp:coreProperties>
</file>