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-15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-15"/>
          <w:sz w:val="44"/>
          <w:szCs w:val="44"/>
          <w:shd w:val="clear" w:fill="FFFFFF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-15"/>
          <w:sz w:val="44"/>
          <w:szCs w:val="44"/>
          <w:shd w:val="clear" w:fill="FFFFFF"/>
          <w:lang w:eastAsia="zh-CN"/>
        </w:rPr>
        <w:t>丽水市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-15"/>
          <w:sz w:val="44"/>
          <w:szCs w:val="44"/>
          <w:shd w:val="clear" w:fill="FFFFFF"/>
        </w:rPr>
        <w:t>国土空间总体规划（2021-2035年）》的草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-15"/>
          <w:sz w:val="44"/>
          <w:szCs w:val="44"/>
          <w:shd w:val="clear" w:fill="FFFFFF"/>
        </w:rPr>
        <w:t>案解读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贯彻落实贯彻习近平总书记对浙江工作、丽水工作的重要指示精神，忠实践行“八八战略”，坚决做到“两个维护”，奋力推进“两个先行”“八个高地”，贯彻落实浙江高质量发展建设共同富裕示范区、浙西南革命老区振兴发展、浙江省山区26县跨越式高质量发展等要求和部署，积极践行“绿水青山就是金山银山”理念，推进丽水实现高水平保护、营造高品质生活、提升高效能治理、促进高质量发展，形成可持续发展的美丽国土空间，我市组织编制了《丽水市国土空间总体规划（2021-2035年）》，以下简称《规划》。现将《规划》编制相关情况说明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一、起草背景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十八大以来，“多规合一”改革逐步纳入生态文明体制改革范畴。2018年2月，《中共中央关于深化党和国家机构改革的决定》赋予新组建的自然资源部“建立空间规划体系并监督实施”的重要职责。同年12月，中共中央、国务院发布《关于统一规划体系更好发挥国</w:t>
      </w:r>
      <w:r>
        <w:rPr>
          <w:rFonts w:hint="eastAsia" w:ascii="Times New Roman" w:hAnsi="Times New Roman" w:eastAsia="仿宋_GB2312"/>
          <w:sz w:val="32"/>
          <w:szCs w:val="32"/>
        </w:rPr>
        <w:t>家发展规划战略导向作用的意见》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立了国土空间规划在国家规划体系中的基础性地位。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5月，《中共中央、国务院关于建立国土空间规划体系并监督实施的若干意见》明确了“多规合一”的具体方法和实现路径，将主体功能区规划、土地利用规划、城乡规划等空间规划融合为统一的国土空间规划。新的空间规划体系更加注重新发展理念，更加注重以人民为中心，更加致力于提高空间治理体系和治理能力现代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jc w:val="both"/>
        <w:textAlignment w:val="auto"/>
        <w:outlineLvl w:val="0"/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bookmarkStart w:id="0" w:name="_GoBack"/>
      <w:bookmarkEnd w:id="0"/>
      <w:r>
        <w:rPr>
          <w:rFonts w:hint="eastAsia" w:asci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是丽水市空间可持续发展的指南、落实重大战略部署的空间蓝图，是市域国土空间保护、开发、利用、修复和指导各类建设的行动纲领，分为市域和中心城区两个层次，规划期限为2021年至2035年。规划编制坚持目标导向、问题导向、实施导向相结合，突出保护优先、绿色发展的逻辑主线，围绕国土空间资源配置优化，构建功能清晰的国土开发保护利用新格局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  <w:t>一是把握空间特征</w:t>
      </w: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，全面研判空间问题与风险</w:t>
      </w: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丽水三山出千峰、六江润秀城的自然地理格局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，呈现“九山半水半分田 ”的国土空间利用特征。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通过资源环境承载能力评价和国土空间开发适宜性评价，总结出开发利用现状存在空间布局分散、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中心城市首位度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偏</w:t>
      </w:r>
      <w:r>
        <w:rPr>
          <w:rFonts w:hint="eastAsia" w:ascii="仿宋_GB2312" w:hAnsi="仿宋_GB2312" w:eastAsia="仿宋_GB2312" w:cs="仿宋_GB2312"/>
          <w:sz w:val="32"/>
          <w:szCs w:val="32"/>
        </w:rPr>
        <w:t>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高快速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联系较弱、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资源尚未充分转化等问题。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  <w:lang w:eastAsia="zh-CN"/>
        </w:rPr>
        <w:t>二</w:t>
      </w: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</w:rPr>
        <w:t>是找准发展定位</w:t>
      </w: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  <w:lang w:eastAsia="zh-CN"/>
        </w:rPr>
        <w:t>，全面贯彻落实国家、省、市战略部署</w:t>
      </w: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落实长三角一体化国家重大战略、全省四大战略，充分对接我市“十四五”规划目标和“一带三区”发展规划，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确立</w:t>
      </w:r>
      <w:r>
        <w:rPr>
          <w:rFonts w:hint="eastAsia" w:ascii="仿宋_GB2312" w:hAnsi="仿宋" w:eastAsia="仿宋_GB2312"/>
          <w:sz w:val="32"/>
          <w:szCs w:val="32"/>
        </w:rPr>
        <w:t>“世界山地休闲旅游目的地、长三角创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新生态经济活力</w:t>
      </w:r>
      <w:r>
        <w:rPr>
          <w:rFonts w:hint="eastAsia" w:ascii="仿宋_GB2312" w:hAnsi="仿宋" w:eastAsia="仿宋_GB2312"/>
          <w:sz w:val="32"/>
          <w:szCs w:val="32"/>
        </w:rPr>
        <w:t>城市、浙江大花园最美核心区、浙西南中心城市”城市发展新定位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  <w:lang w:eastAsia="zh-CN"/>
        </w:rPr>
        <w:t>三</w:t>
      </w: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</w:rPr>
        <w:t>是</w:t>
      </w: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  <w:lang w:eastAsia="zh-CN"/>
        </w:rPr>
        <w:t>坚持开放共享，</w:t>
      </w: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</w:rPr>
        <w:t>促进区域</w:t>
      </w: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  <w:lang w:eastAsia="zh-CN"/>
        </w:rPr>
        <w:t>协同发展</w:t>
      </w:r>
      <w:r>
        <w:rPr>
          <w:rStyle w:val="11"/>
          <w:rFonts w:hint="eastAsia" w:ascii="仿宋_GB2312" w:hAnsi="仿宋_GB2312" w:eastAsia="仿宋_GB2312" w:cs="仿宋_GB2312"/>
          <w:b/>
          <w:sz w:val="31"/>
          <w:szCs w:val="31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以更加开放的视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角，将丽水放在长三角与珠三角两个城市群链接点</w:t>
      </w:r>
      <w:r>
        <w:rPr>
          <w:rFonts w:hint="eastAsia" w:ascii="仿宋_GB2312" w:hAnsi="仿宋_GB2312" w:eastAsia="仿宋_GB2312" w:cs="仿宋_GB2312"/>
          <w:sz w:val="32"/>
          <w:szCs w:val="32"/>
        </w:rPr>
        <w:t>来谋划丽水未来的发展，更加注重融入区域战略协作，承担区域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职能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在更大时空范围内统筹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平台项目、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设施配套、资源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利用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，统筹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源要素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增强丽水发展的动力和竞争力。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四是坚持系统观念</w:t>
      </w: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  <w:t>，</w:t>
      </w: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构建功能清晰的</w:t>
      </w: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  <w:t>国土</w:t>
      </w: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开发利用保护</w:t>
      </w: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  <w:t>格局。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定永久基本农田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150.22万亩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生态保护红线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786.32万亩、城镇开发边界49.99万亩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有序统筹布局农业、生态、城镇三个功能空间，做靓底色，优化底盘，凸显丽水“山水融城”的特色，构建“一脉统领、双核带动、两轴集聚、四片统筹”的国土空间保护利用总体格局。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五</w:t>
      </w: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打造乡村振兴新示范</w:t>
      </w: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</w:rPr>
        <w:t>，保障</w:t>
      </w: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绿色</w:t>
      </w: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</w:rPr>
        <w:t>高效的农业农村空间。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科学划定农田保护区和乡村发展区，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分类保护和发展特色农业空间，培育“</w:t>
      </w:r>
      <w:r>
        <w:rPr>
          <w:rFonts w:hint="eastAsia" w:ascii="仿宋_GB2312" w:hAnsi="仿宋_GB2312" w:eastAsia="仿宋_GB2312" w:cs="仿宋_GB2312"/>
          <w:sz w:val="32"/>
          <w:szCs w:val="40"/>
        </w:rPr>
        <w:t>一核、三区、多园多点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”的现代化农业空间，并加强村庄建设指导，分类引导乡村发展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加快乡村振兴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</w:rPr>
        <w:t>六是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打造美丽中国新标杆</w:t>
      </w: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</w:rPr>
        <w:t>，锚固蓝绿交融的生态空间</w:t>
      </w:r>
      <w:r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生态安全责任，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锚固“一江一园三山”的生态空间格局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加强山水林田湖草等重要生态系统保护，维育水源涵养和生物多样性功能，</w:t>
      </w:r>
      <w:r>
        <w:rPr>
          <w:rFonts w:hint="eastAsia" w:ascii="仿宋_GB2312" w:hAnsi="仿宋_GB2312" w:eastAsia="仿宋_GB2312" w:cs="仿宋_GB2312"/>
          <w:sz w:val="32"/>
          <w:szCs w:val="32"/>
        </w:rPr>
        <w:t>筑牢浙南中山生态屏障。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七</w:t>
      </w: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打造发展新引擎</w:t>
      </w: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</w:rPr>
        <w:t>，塑造集约高效的城镇空间。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规划持续实施以人为核心、高质量为导向、面向中国式现代化需求的新型城镇化战略，构建“一心一带、两轴三区”的市域城镇空间结构。规划提出，中心城市从“一江双城”转变为“一脉三城”，将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“三江口”协同发展区作为三城融合发展的主阵地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增强高端要素、高端产业、高端功能集聚能力和人口承载能力，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全力推动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中心城市强心提质。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八是打造自然与人文融合新家园，营造高品质美丽空间。</w:t>
      </w:r>
      <w:r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以自然为基底、人文为脉络，以世界遗产、国家公园、传统村落等重要资源为节点，加快自然与人文融合。以“世界山地休闲旅游目的地”为指引，围绕浙江省瓯江山水诗路与大花园核心区的建设，形成“一心、一轴、四区、四级”的全域旅游空间总体布局。保护浙西南传统村镇聚落体系、世界灌溉及农业文化遗产、抗战时期浙西南革命斗争的重要阵地等历史文化资源，将丽水建设与“浙江省大花园最美核心区”相匹配的重要历史文化传承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九是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打造自然资源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可持续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利用新样本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，</w:t>
      </w: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提升空间综合价值。</w:t>
      </w:r>
      <w:r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森林资源保护利用结构逐步优化，持续提高森林质量，提升碳汇能力，科学引导森林资源利用。强化重要河湖水系和湿地的保护与管理，统筹推进河湖综合整治、水利文化建设、空间综合利用，打造高品质水旅融合集聚区，推进干流、城区河道生态化改造与综合利用。统筹协调矿产资源的开发与保护，进一步提高矿产资源合理开发利用水平，优化矿山布局结构，调控开发强度，强化生态环境全过程修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十是完善立体交通骨架网络，打造浙西南综合交通枢纽。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重点构建能力充分、结构合理、高效便捷、技术先进、绿色安全的现代化综合交通运输体系，打造“311”交通圈，建成接沪融杭连闽通粤的区域综合交通枢纽、浙西南江海联运中心港、浙闽赣三省边际航空枢纽。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十一是完善基础设施体系，打造安全健康韧性城市。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全面梳理已有的各类专项规划，明确防灾设施用地布局，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进一步健全综合防灾减灾与安全保障体系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；统筹传统和新型基础设施布局，明确重要设施廊道走向，提高城市综合承载能力和城市韧性。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十二是强化国土综合整治与修复，提升资源节约集约利用水平。</w:t>
      </w:r>
      <w:r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积极推进瓯江源头区域山水林田湖草沙一体化保护和修复工程，提高生态系统碳汇能力。有序推进农业农村空间综合整治，促进现代农业和精品农业发展，推进农村产业融合发展和生态宜居环境建设。加强城镇空间整治，以低效改造提升和环境综合整治为重点，深入推进城镇低效用地再开发与城市有机更新，提高建设用地效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十三是提升人民生活品质，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推进中心城市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能级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用地集约化，提升活力北城，建设智创南城，开发碧湖新城，规划构建“一脉一轴三城”的空间结构。统筹布局教育、医疗、养老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公共服务设施，合理布局公共服务和活动空间，打造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15分钟生活圈，以生活圈为单位补齐公共服务短板，增进民生福祉。加强对城市景观风貌的控制引导，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注重保护延续城市历史文脉，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营造美丽宜居环境，彰显丽水城市特色。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十四是建立整体智治新体系，推动国土空间高效能治理。</w:t>
      </w:r>
      <w:r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构建“市级—县级—乡镇级”纵向传导及“总体规划—专项规划—详细规划”横向协同体系，加强市级国土空间总体规划的传导与落地。</w:t>
      </w:r>
      <w:r>
        <w:rPr>
          <w:rStyle w:val="11"/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以市县级国土空间规划“一张图”实施监督信息系统为支撑，建立健全“一年一体检，五年一评估”的规划定期评估制度和“公开、透明、制度化”的动态调整完善机制，并</w:t>
      </w:r>
      <w:r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持续丰富数字化场景应用，</w:t>
      </w:r>
      <w:r>
        <w:rPr>
          <w:rFonts w:ascii="仿宋_GB2312" w:hAnsi="仿宋" w:eastAsia="仿宋_GB2312"/>
          <w:sz w:val="32"/>
          <w:szCs w:val="32"/>
        </w:rPr>
        <w:t>全面提升国土空间布局、资源要素配置、</w:t>
      </w:r>
      <w:r>
        <w:rPr>
          <w:rFonts w:hint="eastAsia" w:ascii="仿宋_GB2312" w:hAnsi="仿宋" w:eastAsia="仿宋_GB2312"/>
          <w:sz w:val="32"/>
          <w:szCs w:val="32"/>
        </w:rPr>
        <w:t>重大</w:t>
      </w:r>
      <w:r>
        <w:rPr>
          <w:rFonts w:ascii="仿宋_GB2312" w:hAnsi="仿宋" w:eastAsia="仿宋_GB2312"/>
          <w:sz w:val="32"/>
          <w:szCs w:val="32"/>
        </w:rPr>
        <w:t>项目落地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ascii="仿宋_GB2312" w:hAnsi="仿宋" w:eastAsia="仿宋_GB2312"/>
          <w:sz w:val="32"/>
          <w:szCs w:val="32"/>
        </w:rPr>
        <w:t>精细化和智能化水平</w:t>
      </w:r>
      <w:r>
        <w:rPr>
          <w:rFonts w:hint="eastAsia" w:ascii="仿宋_GB2312" w:hAnsi="Times New Roman" w:eastAsia="仿宋_GB2312"/>
          <w:bCs/>
          <w:sz w:val="32"/>
          <w:szCs w:val="32"/>
        </w:rPr>
        <w:t>推进市域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治理体系和治理能力现代化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both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-15"/>
          <w:sz w:val="36"/>
          <w:szCs w:val="36"/>
          <w:shd w:val="clear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TgxNjlhMjdhMjVhYjFhMzg5OWFiZDcwNDY3NDkifQ=="/>
  </w:docVars>
  <w:rsids>
    <w:rsidRoot w:val="00172A27"/>
    <w:rsid w:val="00AE51CF"/>
    <w:rsid w:val="01E21FD4"/>
    <w:rsid w:val="0E4B1C7F"/>
    <w:rsid w:val="12E20B34"/>
    <w:rsid w:val="19624E5F"/>
    <w:rsid w:val="26C377D1"/>
    <w:rsid w:val="2EDA71C9"/>
    <w:rsid w:val="319732BD"/>
    <w:rsid w:val="32E3507F"/>
    <w:rsid w:val="384A6343"/>
    <w:rsid w:val="396C401C"/>
    <w:rsid w:val="3F680392"/>
    <w:rsid w:val="53316CBB"/>
    <w:rsid w:val="54D54B21"/>
    <w:rsid w:val="55D0368B"/>
    <w:rsid w:val="592171B0"/>
    <w:rsid w:val="65D50A8B"/>
    <w:rsid w:val="73412802"/>
    <w:rsid w:val="751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spacing w:line="560" w:lineRule="exact"/>
      <w:ind w:left="1680" w:leftChars="800"/>
    </w:pPr>
    <w:rPr>
      <w:rFonts w:ascii="Times New Roman" w:hAnsi="Times New Roman" w:eastAsia="宋体" w:cs="Times New Roman"/>
      <w:sz w:val="32"/>
      <w:szCs w:val="32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3617</Words>
  <Characters>3682</Characters>
  <Lines>0</Lines>
  <Paragraphs>0</Paragraphs>
  <TotalTime>15</TotalTime>
  <ScaleCrop>false</ScaleCrop>
  <LinksUpToDate>false</LinksUpToDate>
  <CharactersWithSpaces>3684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2023-03-22T06:19:00Z</dcterms:created>
  <dc:creator>DDD</dc:creator>
  <cp:lastModifiedBy>44200</cp:lastModifiedBy>
  <dcterms:modified xsi:type="dcterms:W3CDTF">2023-12-07T06:06:38Z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AF8CFD5C2F55451CBA0A06D88B1BCEFD_12</vt:lpwstr>
  </property>
</Properties>
</file>