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/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市场监管专项补助资金绩效自评报告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市场监管专项补助资金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市场监管和知识产权专项资金预算共计为20万元，均由省级补助，项目研究时间周期为2年，从2021年1月开始至2022年12月截止。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项目目标为：完成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常见食品生产保存工艺对食源性致病菌的VBNC状态诱导及其应对策略研究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课题，构建一种有效的食品常见致病菌VBNC检测技术。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申请专利1项，发表项目相关论文2篇。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二、绩效目标完成情况分析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项目经费于2021年3月一次性到账。截止2021年12月30日，共执行经费14.52万元。其中包括材料费8.47万，知识产权出版费1.7万，测试加工费1.41万，劳务费2.94万。预算执行率为72.6%。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产出指标完成情况：资金使用合理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效益指标完成情况：已经构建一种食品常见致病菌VBNC检测技术，检测方法有待验证；正在申请一项相关专利，已发表论文3篇。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三、偏离绩效目标的原因分析和下一步的改进措施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项目正在研究中，2021年度的研究计划均按时完成，下一步将按2022年度的研究计划开展研究，确保在2022年12月底前完成该项目的研究并通过验收。</w:t>
      </w:r>
    </w:p>
    <w:p>
      <w:pPr>
        <w:spacing w:line="440" w:lineRule="exact"/>
        <w:ind w:firstLine="694" w:firstLineChars="192"/>
        <w:jc w:val="center"/>
        <w:rPr>
          <w:rFonts w:hint="eastAsia" w:ascii="宋体" w:hAnsi="宋体"/>
          <w:b/>
          <w:sz w:val="36"/>
        </w:rPr>
      </w:pPr>
    </w:p>
    <w:p>
      <w:pPr>
        <w:spacing w:line="440" w:lineRule="exact"/>
        <w:ind w:firstLine="694" w:firstLineChars="192"/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t>项目单位自评基本情况表</w:t>
      </w:r>
    </w:p>
    <w:p>
      <w:pPr>
        <w:spacing w:line="440" w:lineRule="exact"/>
        <w:ind w:firstLine="614" w:firstLineChars="192"/>
        <w:jc w:val="left"/>
        <w:rPr>
          <w:rFonts w:hint="eastAsia" w:ascii="仿宋_GB2312" w:eastAsia="仿宋_GB2312"/>
          <w:sz w:val="32"/>
        </w:rPr>
      </w:pPr>
    </w:p>
    <w:p>
      <w:pPr>
        <w:spacing w:line="440" w:lineRule="exact"/>
        <w:ind w:firstLine="614" w:firstLineChars="192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" w:hAnsi="仿宋" w:eastAsia="仿宋"/>
          <w:color w:val="000000"/>
          <w:sz w:val="32"/>
          <w:highlight w:val="white"/>
          <w:lang w:val="en-US" w:eastAsia="zh-CN"/>
        </w:rPr>
        <w:t>市场监管专项补助资金</w:t>
      </w:r>
    </w:p>
    <w:tbl>
      <w:tblPr>
        <w:tblStyle w:val="3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667"/>
        <w:gridCol w:w="42"/>
        <w:gridCol w:w="1079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邹小龙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0578-26610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 址</w:t>
            </w:r>
          </w:p>
        </w:tc>
        <w:tc>
          <w:tcPr>
            <w:tcW w:w="3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中山街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395号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2021.1</w:t>
            </w:r>
            <w:r>
              <w:rPr>
                <w:rFonts w:hint="eastAsia" w:ascii="仿宋_GB2312" w:eastAsia="仿宋_GB2312"/>
                <w:sz w:val="32"/>
              </w:rPr>
              <w:t>～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4"/>
              </w:rPr>
              <w:t>预算金额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23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实际支出金额</w:t>
            </w:r>
            <w:r>
              <w:rPr>
                <w:rFonts w:hint="eastAsia" w:ascii="仿宋_GB2312" w:eastAsia="仿宋_GB2312"/>
                <w:sz w:val="21"/>
              </w:rPr>
              <w:t>（万元）</w:t>
            </w:r>
          </w:p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其中：中央财政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支出内容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委托业务费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1.8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专用材料费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11.4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劳务费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4.8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其他商品和服务支出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1.8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差旅费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0.2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三、项目绩效目标完成情况（简要）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项目绩效目标及实施计划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预期及调整情况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 w:ascii="仿宋_GB2312" w:eastAsia="仿宋_GB2312"/>
                <w:sz w:val="21"/>
                <w:lang w:val="en-US" w:eastAsia="zh-CN"/>
              </w:rPr>
              <w:t>完成常见食品生产保存工艺对食源性致病菌的VBNC状态诱导及其应对策略研究课题，构建一种有效的食品常见致病菌VBNC检测技术。申请专利1项，发表项目相关论文2篇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lang w:val="en-US" w:eastAsia="zh-CN"/>
              </w:rPr>
              <w:t>已经构建一种食品常见致病菌VBNC检测技术，检测方法有待验证；正在申请一项相关专利，已发表论文3篇。</w:t>
            </w:r>
          </w:p>
          <w:p>
            <w:pPr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自评结论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范蕾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检验检测研究院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副院长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13567626738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章小洪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检验检测研究院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食品质量检测中心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13757800132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卢海宁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left="-45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市检验检测院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会计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15268775916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五、项目单位（评价机构）意见：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优秀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（盖章）</w:t>
            </w:r>
          </w:p>
          <w:p>
            <w:pPr>
              <w:ind w:firstLine="4340" w:firstLineChars="155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六、主管部门审核意见：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0C4F"/>
    <w:rsid w:val="0782344A"/>
    <w:rsid w:val="0CBA6C87"/>
    <w:rsid w:val="18FE4A7E"/>
    <w:rsid w:val="30DC0C4F"/>
    <w:rsid w:val="400B6A6D"/>
    <w:rsid w:val="47727E31"/>
    <w:rsid w:val="51554AAA"/>
    <w:rsid w:val="59EC37E2"/>
    <w:rsid w:val="65DD4C8B"/>
    <w:rsid w:val="6FA26AFE"/>
    <w:rsid w:val="748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2020-12-31T06:21:00Z</dcterms:created>
  <dc:creator>朱海莺</dc:creator>
  <cp:lastModifiedBy>admin</cp:lastModifiedBy>
  <cp:lastPrinted>2021-01-05T06:11:00Z</cp:lastPrinted>
  <dcterms:modified xsi:type="dcterms:W3CDTF">2022-09-01T09:37:41Z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