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ind w:firstLine="0" w:firstLineChars="0"/>
        <w:rPr>
          <w:rFonts w:hint="eastAsia" w:ascii="Times New Roman" w:hAnsi="Times New Roman" w:eastAsia="仿宋_GB2312" w:cs="Times New Roman"/>
          <w:sz w:val="32"/>
          <w:szCs w:val="32"/>
          <w:lang w:val="en-US" w:eastAsia="zh-CN"/>
        </w:rPr>
      </w:pPr>
    </w:p>
    <w:p>
      <w:pPr>
        <w:pStyle w:val="2"/>
        <w:ind w:left="0" w:leftChars="0" w:firstLine="0" w:firstLineChars="0"/>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口腔种植医疗服务价格项目及试行价格表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14010" w:type="dxa"/>
            <w:noWrap w:val="0"/>
            <w:vAlign w:val="top"/>
          </w:tcPr>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说明：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1．植入体为种植体、基台等植入牙床、包裹在牙龈内的医用耗材，置入体是指种植牙冠、义齿等安置在口腔内、暴露在牙龈之外，不与人体组织直接结合的医用耗材。</w:t>
            </w:r>
          </w:p>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项目内涵中“价格构成”指制定项目价格应涵盖的各类资源消耗,医疗机构实际提供服务时,“价格构成”的个别要素因患者个体差异可以不发生的,除另有政策规定外,允许医疗机构收费适用相应的项目和价格政策。此外，“价格构成”用于确定计价单元的边界，不应作为临床技术标准理解，不是医疗服务实际操作方式、路径、步骤、程序的强制性要求。</w:t>
            </w:r>
          </w:p>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项目内涵中“基本物资消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资消耗成本计入项目价格，不另行收费。除基本物资消耗以外的其他耗材，按照实际采购价格零差率销售。</w:t>
            </w:r>
          </w:p>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4．备注中即刻种植指拔牙或牙体缺失当日完成种植体植入的情况；即刻修复指种植体植入后 1 周以内完成牙冠置入的情形。</w:t>
            </w:r>
          </w:p>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5．口腔内简单植骨指通过骨替代材料引导骨再生或填充牙槽嵴骨量；口腔内复杂植骨包括上颌窦外提升植骨、牙槽嵴块状自体骨移植；口腔内一般植骨指简单植骨与复杂植骨以外各类形式的植骨技术。</w:t>
            </w:r>
          </w:p>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6．医疗机构应对本院施治的口腔内牙齿缺失植入体、置入体进行保质保修，保修范围内出现损坏，医疗机构应免费进行修理、再制作，不得向患者收取费用。</w:t>
            </w:r>
          </w:p>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7．口腔医学 3D 项目，是指为口腔种植手术方案设计、导航定位等提供辅助的服务。医疗机构自行制作牙冠所进行的 3D 扫描设计、打印切削，以及翻模精修、烧结上釉、上色调改等具体操作、作为成本要素计入种植牙牙冠价格，不再将上述牙冠加工制作的具体操作步骤作为医疗服务价格项目向患者收费。</w:t>
            </w:r>
          </w:p>
        </w:tc>
      </w:tr>
    </w:tbl>
    <w:tbl>
      <w:tblPr>
        <w:tblStyle w:val="4"/>
        <w:tblW w:w="0" w:type="auto"/>
        <w:tblInd w:w="-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1948"/>
        <w:gridCol w:w="2070"/>
        <w:gridCol w:w="3160"/>
        <w:gridCol w:w="660"/>
        <w:gridCol w:w="652"/>
        <w:gridCol w:w="938"/>
        <w:gridCol w:w="945"/>
        <w:gridCol w:w="935"/>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60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序号</w:t>
            </w:r>
          </w:p>
        </w:tc>
        <w:tc>
          <w:tcPr>
            <w:tcW w:w="1948"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项目编码</w:t>
            </w:r>
          </w:p>
        </w:tc>
        <w:tc>
          <w:tcPr>
            <w:tcW w:w="207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项目名称</w:t>
            </w:r>
          </w:p>
        </w:tc>
        <w:tc>
          <w:tcPr>
            <w:tcW w:w="316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项目内涵</w:t>
            </w:r>
          </w:p>
        </w:tc>
        <w:tc>
          <w:tcPr>
            <w:tcW w:w="660"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20"/>
                <w:szCs w:val="20"/>
                <w:u w:val="none"/>
                <w:lang w:val="en-US" w:eastAsia="zh-CN" w:bidi="ar"/>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除外</w:t>
            </w:r>
          </w:p>
        </w:tc>
        <w:tc>
          <w:tcPr>
            <w:tcW w:w="652"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计价</w:t>
            </w:r>
          </w:p>
        </w:tc>
        <w:tc>
          <w:tcPr>
            <w:tcW w:w="938"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三甲</w:t>
            </w:r>
          </w:p>
        </w:tc>
        <w:tc>
          <w:tcPr>
            <w:tcW w:w="945"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20"/>
                <w:szCs w:val="20"/>
                <w:u w:val="none"/>
                <w:lang w:val="en-US" w:eastAsia="zh-CN" w:bidi="ar"/>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三乙</w:t>
            </w:r>
          </w:p>
        </w:tc>
        <w:tc>
          <w:tcPr>
            <w:tcW w:w="93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二级及以下（元）</w:t>
            </w:r>
          </w:p>
        </w:tc>
        <w:tc>
          <w:tcPr>
            <w:tcW w:w="226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0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小标宋简体" w:hAnsi="方正小标宋简体" w:eastAsia="方正小标宋简体" w:cs="方正小标宋简体"/>
                <w:i w:val="0"/>
                <w:iCs w:val="0"/>
                <w:color w:val="000000"/>
                <w:sz w:val="20"/>
                <w:szCs w:val="20"/>
                <w:u w:val="none"/>
              </w:rPr>
            </w:pPr>
          </w:p>
        </w:tc>
        <w:tc>
          <w:tcPr>
            <w:tcW w:w="1948"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小标宋简体" w:hAnsi="方正小标宋简体" w:eastAsia="方正小标宋简体" w:cs="方正小标宋简体"/>
                <w:i w:val="0"/>
                <w:iCs w:val="0"/>
                <w:color w:val="000000"/>
                <w:sz w:val="20"/>
                <w:szCs w:val="20"/>
                <w:u w:val="none"/>
              </w:rPr>
            </w:pPr>
          </w:p>
        </w:tc>
        <w:tc>
          <w:tcPr>
            <w:tcW w:w="207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小标宋简体" w:hAnsi="方正小标宋简体" w:eastAsia="方正小标宋简体" w:cs="方正小标宋简体"/>
                <w:i w:val="0"/>
                <w:iCs w:val="0"/>
                <w:color w:val="000000"/>
                <w:sz w:val="20"/>
                <w:szCs w:val="20"/>
                <w:u w:val="none"/>
              </w:rPr>
            </w:pPr>
          </w:p>
        </w:tc>
        <w:tc>
          <w:tcPr>
            <w:tcW w:w="3160" w:type="dxa"/>
            <w:vMerge w:val="continue"/>
            <w:tcBorders>
              <w:top w:val="single" w:color="000000" w:sz="8" w:space="0"/>
              <w:left w:val="nil"/>
              <w:bottom w:val="single" w:color="000000" w:sz="8" w:space="0"/>
              <w:right w:val="single" w:color="000000" w:sz="8" w:space="0"/>
            </w:tcBorders>
            <w:noWrap w:val="0"/>
            <w:vAlign w:val="center"/>
          </w:tcPr>
          <w:p>
            <w:pPr>
              <w:jc w:val="left"/>
              <w:rPr>
                <w:rFonts w:hint="eastAsia" w:ascii="方正小标宋简体" w:hAnsi="方正小标宋简体" w:eastAsia="方正小标宋简体" w:cs="方正小标宋简体"/>
                <w:i w:val="0"/>
                <w:iCs w:val="0"/>
                <w:color w:val="000000"/>
                <w:sz w:val="20"/>
                <w:szCs w:val="20"/>
                <w:u w:val="none"/>
              </w:rPr>
            </w:pPr>
          </w:p>
        </w:tc>
        <w:tc>
          <w:tcPr>
            <w:tcW w:w="66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20"/>
                <w:szCs w:val="20"/>
                <w:u w:val="none"/>
                <w:lang w:val="en-US" w:eastAsia="zh-CN" w:bidi="ar"/>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内容</w:t>
            </w:r>
          </w:p>
        </w:tc>
        <w:tc>
          <w:tcPr>
            <w:tcW w:w="6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单位</w:t>
            </w:r>
          </w:p>
        </w:tc>
        <w:tc>
          <w:tcPr>
            <w:tcW w:w="9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（元）</w:t>
            </w:r>
          </w:p>
        </w:tc>
        <w:tc>
          <w:tcPr>
            <w:tcW w:w="94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20"/>
                <w:szCs w:val="20"/>
                <w:u w:val="none"/>
                <w:lang w:val="en-US" w:eastAsia="zh-CN" w:bidi="ar"/>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（元）</w:t>
            </w:r>
          </w:p>
        </w:tc>
        <w:tc>
          <w:tcPr>
            <w:tcW w:w="93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小标宋简体" w:hAnsi="方正小标宋简体" w:eastAsia="方正小标宋简体" w:cs="方正小标宋简体"/>
                <w:i w:val="0"/>
                <w:iCs w:val="0"/>
                <w:color w:val="000000"/>
                <w:sz w:val="20"/>
                <w:szCs w:val="20"/>
                <w:u w:val="none"/>
              </w:rPr>
            </w:pPr>
          </w:p>
        </w:tc>
        <w:tc>
          <w:tcPr>
            <w:tcW w:w="226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小标宋简体" w:hAnsi="方正小标宋简体" w:eastAsia="方正小标宋简体" w:cs="方正小标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94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3306090010000</w:t>
            </w:r>
          </w:p>
        </w:tc>
        <w:tc>
          <w:tcPr>
            <w:tcW w:w="2070"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种植体植入费（单颗）</w:t>
            </w:r>
          </w:p>
        </w:tc>
        <w:tc>
          <w:tcPr>
            <w:tcW w:w="3160"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实现口腔单颗种植体植 入。价格构成涵盖方案 设计、术前准备，备洞， 种植体植入，二期手术， 术后处理，手术复查等 步骤人力资源和基本物资消耗</w:t>
            </w:r>
          </w:p>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p>
        </w:tc>
        <w:tc>
          <w:tcPr>
            <w:tcW w:w="660" w:type="dxa"/>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6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4"/>
                <w:szCs w:val="24"/>
                <w:highlight w:val="none"/>
                <w:u w:val="none"/>
                <w:lang w:val="en-US"/>
              </w:rPr>
            </w:pPr>
            <w:r>
              <w:rPr>
                <w:rFonts w:hint="eastAsia" w:ascii="仿宋_GB2312" w:hAnsi="宋体" w:eastAsia="仿宋_GB2312" w:cs="仿宋_GB2312"/>
                <w:i w:val="0"/>
                <w:iCs w:val="0"/>
                <w:color w:val="auto"/>
                <w:kern w:val="0"/>
                <w:sz w:val="24"/>
                <w:szCs w:val="24"/>
                <w:highlight w:val="none"/>
                <w:u w:val="none"/>
                <w:lang w:val="en-US" w:eastAsia="zh-CN" w:bidi="ar"/>
              </w:rPr>
              <w:t>1700</w:t>
            </w:r>
          </w:p>
        </w:tc>
        <w:tc>
          <w:tcPr>
            <w:tcW w:w="94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4"/>
                <w:szCs w:val="24"/>
                <w:highlight w:val="none"/>
                <w:u w:val="none"/>
                <w:lang w:val="en-US" w:eastAsia="zh-CN"/>
              </w:rPr>
            </w:pPr>
            <w:r>
              <w:rPr>
                <w:rFonts w:hint="eastAsia" w:ascii="仿宋_GB2312" w:hAnsi="宋体" w:eastAsia="仿宋_GB2312" w:cs="仿宋_GB2312"/>
                <w:i w:val="0"/>
                <w:iCs w:val="0"/>
                <w:color w:val="auto"/>
                <w:sz w:val="24"/>
                <w:szCs w:val="24"/>
                <w:highlight w:val="none"/>
                <w:u w:val="none"/>
                <w:lang w:val="en-US" w:eastAsia="zh-CN"/>
              </w:rPr>
              <w:t>1530</w:t>
            </w:r>
          </w:p>
        </w:tc>
        <w:tc>
          <w:tcPr>
            <w:tcW w:w="93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4"/>
                <w:szCs w:val="24"/>
                <w:highlight w:val="none"/>
                <w:u w:val="none"/>
                <w:lang w:val="en-US" w:eastAsia="zh-CN"/>
              </w:rPr>
            </w:pPr>
            <w:r>
              <w:rPr>
                <w:rFonts w:hint="eastAsia" w:ascii="仿宋_GB2312" w:hAnsi="宋体" w:eastAsia="仿宋_GB2312" w:cs="仿宋_GB2312"/>
                <w:i w:val="0"/>
                <w:iCs w:val="0"/>
                <w:color w:val="auto"/>
                <w:sz w:val="24"/>
                <w:szCs w:val="24"/>
                <w:highlight w:val="none"/>
                <w:u w:val="none"/>
                <w:lang w:val="en-US" w:eastAsia="zh-CN"/>
              </w:rPr>
              <w:t>1360</w:t>
            </w:r>
          </w:p>
        </w:tc>
        <w:tc>
          <w:tcPr>
            <w:tcW w:w="226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1．种植体即刻种植加收30%，编码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013306090010001；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2．颅颌面种植体植入加收60%，编码</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013306090010002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0" w:type="dxa"/>
            <w:tcBorders>
              <w:top w:val="nil"/>
              <w:left w:val="single" w:color="000000" w:sz="8" w:space="0"/>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2</w:t>
            </w:r>
          </w:p>
        </w:tc>
        <w:tc>
          <w:tcPr>
            <w:tcW w:w="1948"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3306090020000</w:t>
            </w:r>
          </w:p>
        </w:tc>
        <w:tc>
          <w:tcPr>
            <w:tcW w:w="2070"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种植体植入费（全牙弓）</w:t>
            </w:r>
          </w:p>
        </w:tc>
        <w:tc>
          <w:tcPr>
            <w:tcW w:w="3160"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pPr>
            <w:r>
              <w:rPr>
                <w:rFonts w:hint="eastAsia" w:ascii="宋体" w:hAnsi="宋体" w:eastAsia="宋体" w:cs="宋体"/>
                <w:color w:val="000000"/>
                <w:kern w:val="0"/>
                <w:sz w:val="20"/>
                <w:szCs w:val="20"/>
                <w:lang w:val="en-US" w:eastAsia="zh-CN" w:bidi="ar"/>
              </w:rPr>
              <w:t>对范围超过一个象限以 上的连续牙齿缺失进行 种植体的植入以实现桥式修复。价格构成涵盖方案设计、术前准备，备洞，种植体植入，二期手术，术后处理，手术复查等步骤人力资源和基本物资消耗</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eastAsia" w:ascii="宋体" w:hAnsi="宋体" w:eastAsia="宋体" w:cs="宋体"/>
                <w:i w:val="0"/>
                <w:iCs w:val="0"/>
                <w:color w:val="000000"/>
                <w:sz w:val="20"/>
                <w:szCs w:val="20"/>
                <w:u w:val="none"/>
              </w:rPr>
            </w:pPr>
          </w:p>
        </w:tc>
        <w:tc>
          <w:tcPr>
            <w:tcW w:w="660" w:type="dxa"/>
            <w:tcBorders>
              <w:top w:val="nil"/>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宋体" w:cs="Times New Roman"/>
                <w:i w:val="0"/>
                <w:iCs w:val="0"/>
                <w:color w:val="000000"/>
                <w:sz w:val="21"/>
                <w:szCs w:val="21"/>
                <w:u w:val="none"/>
              </w:rPr>
            </w:pPr>
          </w:p>
        </w:tc>
        <w:tc>
          <w:tcPr>
            <w:tcW w:w="652"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例</w:t>
            </w:r>
          </w:p>
        </w:tc>
        <w:tc>
          <w:tcPr>
            <w:tcW w:w="938"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8790</w:t>
            </w:r>
          </w:p>
        </w:tc>
        <w:tc>
          <w:tcPr>
            <w:tcW w:w="945"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7991</w:t>
            </w:r>
          </w:p>
        </w:tc>
        <w:tc>
          <w:tcPr>
            <w:tcW w:w="935"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 xml:space="preserve">7192 </w:t>
            </w:r>
          </w:p>
        </w:tc>
        <w:tc>
          <w:tcPr>
            <w:tcW w:w="2263" w:type="dxa"/>
            <w:tcBorders>
              <w:top w:val="nil"/>
              <w:left w:val="nil"/>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上下颌分别进行桥式修复的，分别计价收费。1．种植体即</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刻种植加收30%，编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码013306090020001；</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2．颅颌面种植体植入加收60%，编码013306090020002；</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3．种植体倾斜植入加收40%，编码013306090020003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3</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3105170010000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种植牙冠修复置入费（单颗）</w:t>
            </w:r>
          </w:p>
        </w:tc>
        <w:tc>
          <w:tcPr>
            <w:tcW w:w="3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实现种植体上部固定义齿的修复置入。价格构成涵盖方案设计、印模制取、颌位确定、位置转移、模型制作、试排牙、戴入、调改、宣教等人力资源和基本物资消耗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宋体" w:cs="Times New Roman"/>
                <w:i w:val="0"/>
                <w:iCs w:val="0"/>
                <w:color w:val="000000"/>
                <w:sz w:val="21"/>
                <w:szCs w:val="21"/>
                <w:u w:val="none"/>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1350</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 xml:space="preserve">1350 </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pP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．即刻修复置入加收 </w:t>
            </w:r>
            <w:r>
              <w:rPr>
                <w:rFonts w:hint="default" w:ascii="Times New Roman" w:hAnsi="Times New Roman" w:eastAsia="宋体" w:cs="Times New Roman"/>
                <w:color w:val="000000"/>
                <w:kern w:val="0"/>
                <w:sz w:val="20"/>
                <w:szCs w:val="20"/>
                <w:lang w:val="en-US" w:eastAsia="zh-CN" w:bidi="ar"/>
              </w:rPr>
              <w:t>30%</w:t>
            </w:r>
            <w:r>
              <w:rPr>
                <w:rFonts w:hint="eastAsia" w:ascii="宋体" w:hAnsi="宋体" w:eastAsia="宋体" w:cs="宋体"/>
                <w:color w:val="000000"/>
                <w:kern w:val="0"/>
                <w:sz w:val="20"/>
                <w:szCs w:val="20"/>
                <w:lang w:val="en-US" w:eastAsia="zh-CN" w:bidi="ar"/>
              </w:rPr>
              <w:t xml:space="preserve">，编码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pPr>
            <w:r>
              <w:rPr>
                <w:rFonts w:hint="default" w:ascii="Times New Roman" w:hAnsi="Times New Roman" w:eastAsia="宋体" w:cs="Times New Roman"/>
                <w:color w:val="000000"/>
                <w:kern w:val="0"/>
                <w:sz w:val="20"/>
                <w:szCs w:val="20"/>
                <w:lang w:val="en-US" w:eastAsia="zh-CN" w:bidi="ar"/>
              </w:rPr>
              <w:t>013105170010001</w:t>
            </w:r>
            <w:r>
              <w:rPr>
                <w:rFonts w:hint="eastAsia" w:ascii="宋体" w:hAnsi="宋体" w:eastAsia="宋体" w:cs="宋体"/>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pP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．临时冠修复置入减收</w:t>
            </w:r>
            <w:r>
              <w:rPr>
                <w:rFonts w:hint="default" w:ascii="Times New Roman" w:hAnsi="Times New Roman" w:eastAsia="宋体" w:cs="Times New Roman"/>
                <w:color w:val="000000"/>
                <w:kern w:val="0"/>
                <w:sz w:val="20"/>
                <w:szCs w:val="20"/>
                <w:lang w:val="en-US" w:eastAsia="zh-CN" w:bidi="ar"/>
              </w:rPr>
              <w:t>30%</w:t>
            </w:r>
            <w:r>
              <w:rPr>
                <w:rFonts w:hint="eastAsia" w:ascii="宋体" w:hAnsi="宋体" w:eastAsia="宋体" w:cs="宋体"/>
                <w:color w:val="000000"/>
                <w:kern w:val="0"/>
                <w:sz w:val="20"/>
                <w:szCs w:val="20"/>
                <w:lang w:val="en-US" w:eastAsia="zh-CN" w:bidi="ar"/>
              </w:rPr>
              <w:t xml:space="preserve">，编码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pPr>
            <w:r>
              <w:rPr>
                <w:rFonts w:hint="default" w:ascii="Times New Roman" w:hAnsi="Times New Roman" w:eastAsia="宋体" w:cs="Times New Roman"/>
                <w:color w:val="000000"/>
                <w:kern w:val="0"/>
                <w:sz w:val="20"/>
                <w:szCs w:val="20"/>
                <w:lang w:val="en-US" w:eastAsia="zh-CN" w:bidi="ar"/>
              </w:rPr>
              <w:t>013105170010002</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4</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3105170020000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种植牙冠修复置入费（连续冠桥修复）</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实现种植体上部不超过一个象限的连续固定义齿的修复置入。价格构成涵盖方案设计、印模制取、颌位确定、位置转移、模型制作、试排牙、戴入、调改、宣教等人力资源和基本物资消耗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i w:val="0"/>
                <w:iCs w:val="0"/>
                <w:color w:val="000000"/>
                <w:sz w:val="21"/>
                <w:szCs w:val="21"/>
                <w:u w:val="none"/>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1400</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1400 </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1．即刻修复置入加收30%，编码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013105170020001；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2．临时冠修复置入减收30%，编码</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013105170020002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600"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5</w:t>
            </w:r>
          </w:p>
        </w:tc>
        <w:tc>
          <w:tcPr>
            <w:tcW w:w="194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3105170030000</w:t>
            </w:r>
          </w:p>
        </w:tc>
        <w:tc>
          <w:tcPr>
            <w:tcW w:w="2070"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种植牙冠修复置入费（固定咬合重建）</w:t>
            </w:r>
          </w:p>
        </w:tc>
        <w:tc>
          <w:tcPr>
            <w:tcW w:w="3160" w:type="dxa"/>
            <w:tcBorders>
              <w:top w:val="nil"/>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660" w:type="dxa"/>
            <w:tcBorders>
              <w:top w:val="nil"/>
              <w:left w:val="nil"/>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p>
        </w:tc>
        <w:tc>
          <w:tcPr>
            <w:tcW w:w="6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9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9775</w:t>
            </w:r>
          </w:p>
        </w:tc>
        <w:tc>
          <w:tcPr>
            <w:tcW w:w="94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9775</w:t>
            </w:r>
          </w:p>
        </w:tc>
        <w:tc>
          <w:tcPr>
            <w:tcW w:w="93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9775 </w:t>
            </w:r>
          </w:p>
        </w:tc>
        <w:tc>
          <w:tcPr>
            <w:tcW w:w="226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即刻修复置入加30%，编码013105170030001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6</w:t>
            </w:r>
          </w:p>
        </w:tc>
        <w:tc>
          <w:tcPr>
            <w:tcW w:w="1948"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3105230010000</w:t>
            </w:r>
          </w:p>
        </w:tc>
        <w:tc>
          <w:tcPr>
            <w:tcW w:w="2070" w:type="dxa"/>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种植可摘修复置入费</w:t>
            </w:r>
          </w:p>
        </w:tc>
        <w:tc>
          <w:tcPr>
            <w:tcW w:w="3160" w:type="dxa"/>
            <w:tcBorders>
              <w:top w:val="nil"/>
              <w:left w:val="nil"/>
              <w:bottom w:val="single" w:color="auto" w:sz="4"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实现种植体上部可摘修复体的置入。价格构成涵盖方案设计、印模制取、颌位确定、位置转移、试排牙、模型制作、戴入、调改、宣教等人力资源和基本物资消耗</w:t>
            </w:r>
          </w:p>
        </w:tc>
        <w:tc>
          <w:tcPr>
            <w:tcW w:w="660" w:type="dxa"/>
            <w:tcBorders>
              <w:top w:val="nil"/>
              <w:left w:val="nil"/>
              <w:bottom w:val="single" w:color="auto" w:sz="4"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652"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938"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8000</w:t>
            </w:r>
          </w:p>
        </w:tc>
        <w:tc>
          <w:tcPr>
            <w:tcW w:w="94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8000</w:t>
            </w:r>
          </w:p>
        </w:tc>
        <w:tc>
          <w:tcPr>
            <w:tcW w:w="93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8000 </w:t>
            </w:r>
          </w:p>
        </w:tc>
        <w:tc>
          <w:tcPr>
            <w:tcW w:w="2263" w:type="dxa"/>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即刻修复置入加收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30%，编码</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013105230010001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7</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3306090030000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口腔内植骨费（简单）</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通过手术方式，对轻度牙槽嵴萎缩骨量增加，达到可种植条件。价格构成涵盖方案设计</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术前准备、手术入路，组织切开，植骨，关闭缝合受植区等手术步骤及术后复查处置等人力资源和基本物资消耗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i w:val="0"/>
                <w:iCs w:val="0"/>
                <w:color w:val="000000"/>
                <w:sz w:val="21"/>
                <w:szCs w:val="21"/>
                <w:u w:val="none"/>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牙位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auto"/>
                <w:kern w:val="0"/>
                <w:sz w:val="24"/>
                <w:szCs w:val="24"/>
                <w:highlight w:val="none"/>
                <w:u w:val="none"/>
                <w:lang w:val="en-US" w:eastAsia="zh-CN" w:bidi="ar"/>
              </w:rPr>
              <w:t>600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auto"/>
                <w:kern w:val="0"/>
                <w:sz w:val="24"/>
                <w:szCs w:val="24"/>
                <w:highlight w:val="none"/>
                <w:u w:val="none"/>
                <w:lang w:val="en-US" w:eastAsia="zh-CN" w:bidi="ar"/>
              </w:rPr>
              <w:t>545</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auto"/>
                <w:kern w:val="0"/>
                <w:sz w:val="24"/>
                <w:szCs w:val="24"/>
                <w:u w:val="none"/>
                <w:lang w:val="en-US" w:eastAsia="zh-CN" w:bidi="ar"/>
              </w:rPr>
              <w:t>491</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600" w:type="dxa"/>
            <w:tcBorders>
              <w:top w:val="nil"/>
              <w:left w:val="single" w:color="000000"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8</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3306090040000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口腔内植骨费（一般）</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i w:val="0"/>
                <w:iCs w:val="0"/>
                <w:color w:val="000000"/>
                <w:sz w:val="21"/>
                <w:szCs w:val="21"/>
                <w:u w:val="none"/>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auto"/>
                <w:kern w:val="0"/>
                <w:sz w:val="24"/>
                <w:szCs w:val="24"/>
                <w:u w:val="none"/>
                <w:lang w:val="en-US" w:eastAsia="zh-CN" w:bidi="ar"/>
              </w:rPr>
              <w:t>1600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auto"/>
                <w:kern w:val="0"/>
                <w:sz w:val="24"/>
                <w:szCs w:val="24"/>
                <w:u w:val="none"/>
                <w:lang w:val="en-US" w:eastAsia="zh-CN" w:bidi="ar"/>
              </w:rPr>
              <w:t>1455</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auto"/>
                <w:kern w:val="0"/>
                <w:sz w:val="24"/>
                <w:szCs w:val="24"/>
                <w:u w:val="none"/>
                <w:lang w:val="en-US" w:eastAsia="zh-CN" w:bidi="ar"/>
              </w:rPr>
              <w:t>1310</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9</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3306090050000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口腔内植骨费（复杂）</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i w:val="0"/>
                <w:iCs w:val="0"/>
                <w:color w:val="000000"/>
                <w:sz w:val="20"/>
                <w:szCs w:val="20"/>
                <w:u w:val="none"/>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2273</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2046 </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1．上颌窦囊肿摘除加收 20%，编码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013306090050001；</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2．口腔以外其他部位取骨按具体部位取骨术计价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0" w:type="dxa"/>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cs="Times New Roman"/>
                <w:i w:val="0"/>
                <w:iCs w:val="0"/>
                <w:color w:val="000000"/>
                <w:kern w:val="0"/>
                <w:sz w:val="21"/>
                <w:szCs w:val="21"/>
                <w:u w:val="none"/>
                <w:lang w:val="en-US" w:eastAsia="zh-CN" w:bidi="ar"/>
              </w:rPr>
              <w:t>10</w:t>
            </w:r>
          </w:p>
        </w:tc>
        <w:tc>
          <w:tcPr>
            <w:tcW w:w="1948"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3306090060000</w:t>
            </w:r>
          </w:p>
        </w:tc>
        <w:tc>
          <w:tcPr>
            <w:tcW w:w="207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种植体周软组织移植费</w:t>
            </w:r>
          </w:p>
        </w:tc>
        <w:tc>
          <w:tcPr>
            <w:tcW w:w="3160" w:type="dxa"/>
            <w:tcBorders>
              <w:top w:val="single" w:color="auto" w:sz="4" w:space="0"/>
              <w:left w:val="nil"/>
              <w:bottom w:val="single" w:color="000000" w:sz="8"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660"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生物膜</w:t>
            </w:r>
          </w:p>
        </w:tc>
        <w:tc>
          <w:tcPr>
            <w:tcW w:w="652"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1000</w:t>
            </w:r>
          </w:p>
        </w:tc>
        <w:tc>
          <w:tcPr>
            <w:tcW w:w="94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909</w:t>
            </w:r>
          </w:p>
        </w:tc>
        <w:tc>
          <w:tcPr>
            <w:tcW w:w="93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818 </w:t>
            </w:r>
          </w:p>
        </w:tc>
        <w:tc>
          <w:tcPr>
            <w:tcW w:w="2263" w:type="dxa"/>
            <w:tcBorders>
              <w:top w:val="single" w:color="auto" w:sz="4" w:space="0"/>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cs="Times New Roman"/>
                <w:i w:val="0"/>
                <w:iCs w:val="0"/>
                <w:color w:val="000000"/>
                <w:kern w:val="0"/>
                <w:sz w:val="21"/>
                <w:szCs w:val="21"/>
                <w:u w:val="none"/>
                <w:lang w:val="en-US" w:eastAsia="zh-CN" w:bidi="ar"/>
              </w:rPr>
              <w:t>11</w:t>
            </w:r>
          </w:p>
        </w:tc>
        <w:tc>
          <w:tcPr>
            <w:tcW w:w="1948"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3306090070000</w:t>
            </w:r>
          </w:p>
        </w:tc>
        <w:tc>
          <w:tcPr>
            <w:tcW w:w="2070" w:type="dxa"/>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种植体取出费</w:t>
            </w:r>
          </w:p>
        </w:tc>
        <w:tc>
          <w:tcPr>
            <w:tcW w:w="3160" w:type="dxa"/>
            <w:tcBorders>
              <w:top w:val="nil"/>
              <w:left w:val="nil"/>
              <w:bottom w:val="single" w:color="auto" w:sz="4" w:space="0"/>
              <w:right w:val="single" w:color="000000" w:sz="8"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拆除患者口腔内已植入且无法继续使用的种植体。价格构成涵盖种植体拆除操作步骤的人力资源和基本物资消耗</w:t>
            </w:r>
          </w:p>
        </w:tc>
        <w:tc>
          <w:tcPr>
            <w:tcW w:w="660" w:type="dxa"/>
            <w:tcBorders>
              <w:top w:val="nil"/>
              <w:left w:val="nil"/>
              <w:bottom w:val="single" w:color="auto" w:sz="4"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652"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1170</w:t>
            </w:r>
          </w:p>
        </w:tc>
        <w:tc>
          <w:tcPr>
            <w:tcW w:w="94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1063</w:t>
            </w:r>
          </w:p>
        </w:tc>
        <w:tc>
          <w:tcPr>
            <w:tcW w:w="93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957 </w:t>
            </w:r>
          </w:p>
        </w:tc>
        <w:tc>
          <w:tcPr>
            <w:tcW w:w="2263" w:type="dxa"/>
            <w:tcBorders>
              <w:top w:val="nil"/>
              <w:left w:val="nil"/>
              <w:bottom w:val="single" w:color="auto" w:sz="4"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cs="Times New Roman"/>
                <w:i w:val="0"/>
                <w:iCs w:val="0"/>
                <w:color w:val="000000"/>
                <w:kern w:val="0"/>
                <w:sz w:val="21"/>
                <w:szCs w:val="21"/>
                <w:u w:val="none"/>
                <w:lang w:val="en-US" w:eastAsia="zh-CN" w:bidi="ar"/>
              </w:rPr>
              <w:t>12</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3105190010000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种植牙冠修理费</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对产品保质保修条件外，种植牙冠脱落、崩瓷、嵌食、断裂等机械性或器质性损坏进行修理，恢复正常使用。价格构成涵盖种植修复置入体的检查、拆卸、修补、置入等人力资源和基本物资消耗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eastAsia="宋体" w:cs="宋体"/>
                <w:i w:val="0"/>
                <w:iCs w:val="0"/>
                <w:color w:val="000000"/>
                <w:kern w:val="2"/>
                <w:sz w:val="20"/>
                <w:szCs w:val="20"/>
                <w:u w:val="none"/>
                <w:lang w:val="en-US" w:eastAsia="zh-CN" w:bidi="ar-SA"/>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牙位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4"/>
                <w:szCs w:val="24"/>
                <w:highlight w:val="none"/>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800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4"/>
                <w:szCs w:val="24"/>
                <w:highlight w:val="none"/>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800</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800 </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cs="Times New Roman"/>
                <w:i w:val="0"/>
                <w:iCs w:val="0"/>
                <w:color w:val="000000"/>
                <w:kern w:val="0"/>
                <w:sz w:val="21"/>
                <w:szCs w:val="21"/>
                <w:u w:val="none"/>
                <w:lang w:val="en-US" w:eastAsia="zh-CN" w:bidi="ar"/>
              </w:rPr>
              <w:t>13</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3105170040000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医学</w:t>
            </w:r>
            <w:r>
              <w:rPr>
                <w:rStyle w:val="7"/>
                <w:lang w:val="en-US" w:eastAsia="zh-CN" w:bidi="ar"/>
              </w:rPr>
              <w:t>3D</w:t>
            </w:r>
            <w:r>
              <w:rPr>
                <w:rStyle w:val="8"/>
                <w:lang w:val="en-US" w:eastAsia="zh-CN" w:bidi="ar"/>
              </w:rPr>
              <w:t>建模（口腔）</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利用医学影像检查等手段获得患者特定部位的真实信息。通过数字技术构建的虚拟</w:t>
            </w:r>
            <w:r>
              <w:rPr>
                <w:rStyle w:val="7"/>
                <w:lang w:val="en-US" w:eastAsia="zh-CN" w:bidi="ar"/>
              </w:rPr>
              <w:t>3D</w:t>
            </w:r>
            <w:r>
              <w:rPr>
                <w:rStyle w:val="8"/>
                <w:lang w:val="en-US" w:eastAsia="zh-CN" w:bidi="ar"/>
              </w:rPr>
              <w:t>模型、真实再现口腔及颌面特定部位的形态，能够满足疾病诊断、手术规划、治疗及导板设计的需要。价格构成涵盖数字化扫描、建模、存储、传输，装置设计等步骤的人力资源和基本物资消耗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宋体" w:hAnsi="宋体" w:eastAsia="宋体" w:cs="宋体"/>
                <w:i w:val="0"/>
                <w:iCs w:val="0"/>
                <w:color w:val="FF0000"/>
                <w:kern w:val="2"/>
                <w:sz w:val="20"/>
                <w:szCs w:val="20"/>
                <w:u w:val="none"/>
                <w:lang w:val="en-US" w:eastAsia="zh-CN" w:bidi="ar-SA"/>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例</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225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225</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225 </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单颗常规种植应用医学3D建模按</w:t>
            </w:r>
            <w:r>
              <w:rPr>
                <w:rStyle w:val="7"/>
                <w:lang w:val="en-US" w:eastAsia="zh-CN" w:bidi="ar"/>
              </w:rPr>
              <w:t>5%</w:t>
            </w:r>
            <w:r>
              <w:rPr>
                <w:rStyle w:val="8"/>
                <w:lang w:val="en-US" w:eastAsia="zh-CN" w:bidi="ar"/>
              </w:rPr>
              <w:t>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cs="Times New Roman"/>
                <w:i w:val="0"/>
                <w:iCs w:val="0"/>
                <w:color w:val="000000"/>
                <w:kern w:val="0"/>
                <w:sz w:val="21"/>
                <w:szCs w:val="21"/>
                <w:u w:val="none"/>
                <w:lang w:val="en-US" w:eastAsia="zh-CN" w:bidi="ar"/>
              </w:rPr>
              <w:t>14</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3105230020000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w:t>
            </w:r>
            <w:r>
              <w:rPr>
                <w:rStyle w:val="7"/>
                <w:lang w:val="en-US" w:eastAsia="zh-CN" w:bidi="ar"/>
              </w:rPr>
              <w:t>3D</w:t>
            </w:r>
            <w:r>
              <w:rPr>
                <w:rStyle w:val="8"/>
                <w:lang w:val="en-US" w:eastAsia="zh-CN" w:bidi="ar"/>
              </w:rPr>
              <w:t>模型打印（口腔）</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将虚拟</w:t>
            </w:r>
            <w:r>
              <w:rPr>
                <w:rStyle w:val="7"/>
                <w:lang w:val="en-US" w:eastAsia="zh-CN" w:bidi="ar"/>
              </w:rPr>
              <w:t>3D</w:t>
            </w:r>
            <w:r>
              <w:rPr>
                <w:rStyle w:val="8"/>
                <w:lang w:val="en-US" w:eastAsia="zh-CN" w:bidi="ar"/>
              </w:rPr>
              <w:t>模型打印或切削制作成仅用于口腔疾病诊断、手术规划、治疗及导板设计的实体模型。价格构成涵盖3D打印或切削制作的人力资源和基本物资消耗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i w:val="0"/>
                <w:iCs w:val="0"/>
                <w:color w:val="000000"/>
                <w:sz w:val="20"/>
                <w:szCs w:val="20"/>
                <w:u w:val="none"/>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320</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320</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单颗常规种植应用医学3D模型打印按5%计价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cs="Times New Roman"/>
                <w:i w:val="0"/>
                <w:iCs w:val="0"/>
                <w:color w:val="000000"/>
                <w:sz w:val="21"/>
                <w:szCs w:val="21"/>
                <w:u w:val="none"/>
                <w:lang w:val="en-US" w:eastAsia="zh-CN"/>
              </w:rPr>
              <w:t>15</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01</w:t>
            </w:r>
            <w:r>
              <w:rPr>
                <w:rFonts w:hint="default" w:ascii="Times New Roman" w:hAnsi="Times New Roman" w:eastAsia="宋体" w:cs="Times New Roman"/>
                <w:i w:val="0"/>
                <w:iCs w:val="0"/>
                <w:color w:val="000000"/>
                <w:kern w:val="0"/>
                <w:sz w:val="21"/>
                <w:szCs w:val="21"/>
                <w:u w:val="none"/>
                <w:lang w:val="en-US" w:eastAsia="zh-CN" w:bidi="ar"/>
              </w:rPr>
              <w:t>3105230030000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w:t>
            </w:r>
            <w:r>
              <w:rPr>
                <w:rStyle w:val="7"/>
                <w:lang w:val="en-US" w:eastAsia="zh-CN" w:bidi="ar"/>
              </w:rPr>
              <w:t>3D</w:t>
            </w:r>
            <w:r>
              <w:rPr>
                <w:rStyle w:val="8"/>
                <w:lang w:val="en-US" w:eastAsia="zh-CN" w:bidi="ar"/>
              </w:rPr>
              <w:t>导板打印（口腔）</w:t>
            </w:r>
          </w:p>
        </w:tc>
        <w:tc>
          <w:tcPr>
            <w:tcW w:w="3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i w:val="0"/>
                <w:iCs w:val="0"/>
                <w:color w:val="000000"/>
                <w:sz w:val="21"/>
                <w:szCs w:val="21"/>
                <w:u w:val="none"/>
              </w:rPr>
            </w:pP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1800</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1800</w:t>
            </w:r>
          </w:p>
        </w:tc>
        <w:tc>
          <w:tcPr>
            <w:tcW w:w="2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单颗常规种植应用医学3D导板打印按5%计价</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OTVmZjEzYTA4MGY5MGIxZDg0ZDVjNGNhOGI5YjAifQ=="/>
  </w:docVars>
  <w:rsids>
    <w:rsidRoot w:val="313519AB"/>
    <w:rsid w:val="31351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pPr>
    <w:rPr>
      <w:sz w:val="28"/>
    </w:rPr>
  </w:style>
  <w:style w:type="paragraph" w:styleId="3">
    <w:name w:val="Body Text"/>
    <w:basedOn w:val="1"/>
    <w:next w:val="2"/>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81"/>
    <w:basedOn w:val="6"/>
    <w:qFormat/>
    <w:uiPriority w:val="0"/>
    <w:rPr>
      <w:rFonts w:hint="default" w:ascii="Cambria" w:hAnsi="Cambria" w:eastAsia="Cambria" w:cs="Cambria"/>
      <w:color w:val="000000"/>
      <w:sz w:val="20"/>
      <w:szCs w:val="20"/>
      <w:u w:val="none"/>
    </w:rPr>
  </w:style>
  <w:style w:type="character" w:customStyle="1" w:styleId="8">
    <w:name w:val="font4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2748</Words>
  <Characters>3292</Characters>
  <Lines>0</Lines>
  <Paragraphs>0</Paragraphs>
  <TotalTime>1</TotalTime>
  <ScaleCrop>false</ScaleCrop>
  <LinksUpToDate>false</LinksUpToDate>
  <CharactersWithSpaces>3322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2023-03-30T00:45:00Z</dcterms:created>
  <dc:creator>ོ</dc:creator>
  <cp:lastModifiedBy>ོ</cp:lastModifiedBy>
  <dcterms:modified xsi:type="dcterms:W3CDTF">2023-03-30T00:47:24Z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5B307B45B9D54AA19452A0B66832AC4E_11</vt:lpwstr>
  </property>
</Properties>
</file>