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方正小标宋简体" w:hAnsi="宋体" w:eastAsia="方正小标宋简体" w:cs="宋体"/>
          <w:bCs/>
          <w:color w:val="333333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</w:rPr>
        <w:t>020</w:t>
      </w:r>
      <w:r>
        <w:rPr>
          <w:rFonts w:ascii="方正小标宋简体" w:hAnsi="宋体" w:eastAsia="方正小标宋简体" w:cs="宋体"/>
          <w:bCs/>
          <w:color w:val="333333"/>
          <w:sz w:val="44"/>
          <w:szCs w:val="44"/>
        </w:rPr>
        <w:t>年丽水经济技术开发区管委会政务公开工作年度报告</w:t>
      </w:r>
    </w:p>
    <w:p>
      <w:pPr>
        <w:shd w:val="clear" w:color="auto" w:fill="FFFFFF"/>
        <w:spacing w:line="500" w:lineRule="exact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今年以来，在市委、市政府的正确领导下，丽水开发区严格按照《2020年丽水市政务公开工作要点》的要求，坚持“以公开为常态，不公开为例外”的原则，深化重点领域信息公开，按时按质按量完成了政务信息公开有关编制、上报、发布等工作，充分发挥公开促落实、促规范、促服务的作用，现将今年以来开发区管委会政务公开工作总结如下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（一）推进政务公开的广度和深度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公开工作要点》任务清单，及时更新政府信息公开指南，进一步规范发布内容，调整信息公开目录及门户网站信息发布栏目设置，不断扩大主动公开范围。2020年，开发区在各政务公开平台发布信息总数3810条，其中：在丽水市政府网主动公开了政府信息6大类、17条目录，共451条信息；在丽水生态产业集聚区（经济开发区）政府网站中发布园区动态和公示公告累计1686条；在丽水经济技术开发区微信公众号发布信息约1332条；开发播报324条；《开发区深一度》栏目公布17期、17条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（二）加强政策解读与群众回应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eastAsia="仿宋_GB2312" w:cs="方正仿宋_GBK"/>
          <w:sz w:val="32"/>
          <w:szCs w:val="32"/>
        </w:rPr>
        <w:t>围绕“六稳”“六保”任务要求，着力做好稳企业稳增长的相关政策宣传解读，在全市率先推出“政策计算器”系统，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方便企业“一键直达”各项优惠政策，变“企业找政策”为“政策找企业”，实现“政策享受一键通</w:t>
      </w:r>
      <w:r>
        <w:rPr>
          <w:rFonts w:hint="eastAsia" w:eastAsia="仿宋_GB2312" w:cs="方正仿宋_GBK" w:asciiTheme="minorHAnsi" w:hAnsiTheme="minorHAnsi"/>
          <w:sz w:val="32"/>
          <w:szCs w:val="32"/>
        </w:rPr>
        <w:t>。</w:t>
      </w:r>
      <w:r>
        <w:rPr>
          <w:rFonts w:hint="eastAsia" w:eastAsia="仿宋_GB2312" w:cs="方正仿宋_GBK"/>
          <w:sz w:val="32"/>
          <w:szCs w:val="32"/>
        </w:rPr>
        <w:t>2020年共</w:t>
      </w:r>
      <w:r>
        <w:rPr>
          <w:rFonts w:hint="eastAsia" w:ascii="仿宋_GB2312" w:hAnsi="仿宋" w:eastAsia="仿宋_GB2312"/>
          <w:sz w:val="32"/>
          <w:szCs w:val="32"/>
        </w:rPr>
        <w:t>发布政策图解稿件17篇，其中政务网发布3篇，微信公众号发布14篇。对2件人大代表建议和1件政协委员提案均按规定办理答复，相关建议也得到了有效落实，办理结果及时公开，</w:t>
      </w:r>
      <w:r>
        <w:rPr>
          <w:rFonts w:hint="eastAsia" w:ascii="仿宋_GB2312" w:eastAsia="仿宋_GB2312"/>
          <w:sz w:val="32"/>
          <w:szCs w:val="32"/>
        </w:rPr>
        <w:t>接受代表委员和市民的监督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bCs/>
          <w:color w:val="000000"/>
          <w:spacing w:val="14"/>
          <w:sz w:val="32"/>
          <w:szCs w:val="32"/>
        </w:rPr>
        <w:t>“问政直通车”处置网络舆情</w:t>
      </w:r>
      <w:r>
        <w:rPr>
          <w:rFonts w:hint="eastAsia" w:ascii="仿宋_GB2312" w:eastAsia="仿宋_GB2312"/>
          <w:bCs/>
          <w:color w:val="000000"/>
          <w:spacing w:val="14"/>
          <w:sz w:val="32"/>
          <w:szCs w:val="32"/>
        </w:rPr>
        <w:t>217</w:t>
      </w:r>
      <w:r>
        <w:rPr>
          <w:rFonts w:hint="eastAsia" w:ascii="仿宋_GB2312" w:hAnsi="Calibri" w:eastAsia="仿宋_GB2312" w:cs="Times New Roman"/>
          <w:bCs/>
          <w:color w:val="000000"/>
          <w:spacing w:val="14"/>
          <w:sz w:val="32"/>
          <w:szCs w:val="32"/>
        </w:rPr>
        <w:t>条，答复率100%。</w:t>
      </w:r>
    </w:p>
    <w:p>
      <w:pPr>
        <w:spacing w:line="600" w:lineRule="exact"/>
        <w:ind w:firstLine="699" w:firstLineChars="200"/>
        <w:rPr>
          <w:rFonts w:ascii="仿宋_GB2312" w:eastAsia="仿宋_GB2312"/>
          <w:b/>
          <w:spacing w:val="14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color w:val="000000"/>
          <w:spacing w:val="14"/>
          <w:sz w:val="32"/>
          <w:szCs w:val="32"/>
        </w:rPr>
        <w:t>（三）提升依申请公开工作质量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按照《丽水市政府信息依申请公开办理制度》执行，按照谁办理，谁回复的原则，明确开发区依申请公开回复流程，形成以党政办牵头，各部门相互配合的统筹协调机制。完善事前引入法律顾问流程，对依申请公开内容进行相关法律风险评估，降低或者消除法律风险，依法及时回复依申请公开件。2020年，共收到依申请公开6件（其中当面收到1件，邮寄收到3件，网络申请2件），予以公开3件，不予公开3件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（四）深化执法信息公开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面运用“双随机”及浙政钉掌上执法系统，推广部门联合监管，完善公开透明的监管规则和标准体系，2020年，开发区市场监管局、环保局、建设局等7个单位实现掌上执法开通率和激活率100%，共开展执法检查1004次，事件处置62起，处置率100%。“</w:t>
      </w:r>
      <w:r>
        <w:rPr>
          <w:rFonts w:hint="eastAsia" w:ascii="仿宋_GB2312" w:eastAsia="仿宋_GB2312"/>
          <w:sz w:val="32"/>
          <w:szCs w:val="32"/>
          <w:lang w:eastAsia="zh-CN"/>
        </w:rPr>
        <w:t>双随机、一公开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pacing w:val="6"/>
          <w:sz w:val="32"/>
          <w:szCs w:val="32"/>
        </w:rPr>
        <w:t xml:space="preserve"> 任务完成率、事件处置率、投诉举报处置率和综治事件处置率均达到</w:t>
      </w:r>
      <w:r>
        <w:rPr>
          <w:rFonts w:ascii="仿宋_GB2312" w:eastAsia="仿宋_GB2312"/>
          <w:spacing w:val="6"/>
          <w:sz w:val="32"/>
          <w:szCs w:val="32"/>
        </w:rPr>
        <w:t>100%</w:t>
      </w:r>
      <w:r>
        <w:rPr>
          <w:rFonts w:hint="eastAsia" w:ascii="仿宋_GB2312" w:eastAsia="仿宋_GB2312"/>
          <w:sz w:val="32"/>
          <w:szCs w:val="32"/>
        </w:rPr>
        <w:t>，开展跨部门监管32次，监管率23.7%。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</w:p>
    <w:p>
      <w:pPr>
        <w:shd w:val="clear" w:color="auto" w:fill="FFFFFF"/>
        <w:spacing w:after="240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二、主动公开政府信息情况</w:t>
      </w:r>
    </w:p>
    <w:tbl>
      <w:tblPr>
        <w:tblStyle w:val="5"/>
        <w:tblW w:w="88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4"/>
        <w:gridCol w:w="1875"/>
        <w:gridCol w:w="6"/>
        <w:gridCol w:w="1265"/>
        <w:gridCol w:w="23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88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公开数量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7"/>
        <w:gridCol w:w="813"/>
        <w:gridCol w:w="755"/>
        <w:gridCol w:w="755"/>
        <w:gridCol w:w="813"/>
        <w:gridCol w:w="974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8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</w:rPr>
              <w:t>3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</w:rPr>
              <w:t>6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</w:rPr>
              <w:t>2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>2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>1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>3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>3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>6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627" w:firstLineChars="196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四、政府信息公开行政复议、行政诉讼情况</w:t>
      </w:r>
    </w:p>
    <w:p>
      <w:pPr>
        <w:shd w:val="clear" w:color="auto" w:fill="FFFFFF"/>
        <w:ind w:firstLine="480"/>
        <w:jc w:val="both"/>
        <w:rPr>
          <w:rFonts w:ascii="黑体" w:hAnsi="黑体" w:eastAsia="黑体" w:cs="宋体"/>
          <w:color w:val="333333"/>
          <w:sz w:val="32"/>
          <w:szCs w:val="32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>1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hd w:val="clear" w:color="auto" w:fill="FFFFFF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spacing w:line="560" w:lineRule="exact"/>
        <w:ind w:firstLine="643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sz w:val="32"/>
          <w:szCs w:val="32"/>
        </w:rPr>
        <w:t>五、存在的主要问题及改进情况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8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今年以来开发区政务公开取得一定成绩，但对标先进存在一定差距，主要表现在：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主动公开的意识还需进一步提升；</w:t>
      </w:r>
      <w:r>
        <w:rPr>
          <w:rFonts w:hint="eastAsia" w:ascii="仿宋_GB2312" w:hAnsi="仿宋" w:eastAsia="仿宋_GB2312"/>
          <w:b/>
          <w:sz w:val="32"/>
          <w:szCs w:val="32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是主动公开的广度和深度有待进一步拓展；三</w:t>
      </w:r>
      <w:r>
        <w:rPr>
          <w:rFonts w:hint="eastAsia" w:ascii="仿宋_GB2312" w:hAnsi="仿宋" w:eastAsia="仿宋_GB2312"/>
          <w:b/>
          <w:sz w:val="32"/>
          <w:szCs w:val="32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政策解读方式不够多样化，精准解读效果需进一步提高。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8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下一步工作中，开发区将认真落实国务院、省、市的有关工作部署要求，扎实有序地推进政务公开工作。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ascii="仿宋_GB2312" w:hAnsi="仿宋" w:eastAsia="仿宋_GB2312"/>
          <w:b/>
          <w:sz w:val="32"/>
          <w:szCs w:val="32"/>
        </w:rPr>
        <w:t>强化政府信息公开意识</w:t>
      </w:r>
      <w:r>
        <w:rPr>
          <w:rFonts w:hint="eastAsia" w:ascii="Times New Roman" w:hAnsi="华文仿宋" w:eastAsia="华文仿宋" w:cs="Times New Roman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完善服务措施，把公开意识从被动向主动转变</w:t>
      </w:r>
      <w:r>
        <w:rPr>
          <w:rFonts w:hint="eastAsia" w:ascii="仿宋_GB2312" w:hAnsi="仿宋" w:eastAsia="仿宋_GB2312"/>
          <w:sz w:val="32"/>
          <w:szCs w:val="32"/>
        </w:rPr>
        <w:t>，加强政府信息公开队伍建设，强化服务意识，提升业务水平。</w:t>
      </w:r>
      <w:r>
        <w:rPr>
          <w:rFonts w:hint="eastAsia" w:ascii="仿宋_GB2312" w:hAnsi="仿宋" w:eastAsia="仿宋_GB2312"/>
          <w:b/>
          <w:sz w:val="32"/>
          <w:szCs w:val="32"/>
        </w:rPr>
        <w:t>二是突出重点领域信息公开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夯实公开基础，</w:t>
      </w:r>
      <w:r>
        <w:rPr>
          <w:rFonts w:hint="eastAsia" w:ascii="仿宋_GB2312" w:hAnsi="仿宋" w:eastAsia="仿宋_GB2312"/>
          <w:sz w:val="32"/>
          <w:szCs w:val="32"/>
        </w:rPr>
        <w:t>加强政务公开平台的建设，细化政务信息公开目录，围绕中心工作，加强在营商环境、“最多跑一次”改革等方面信息公开力度，</w:t>
      </w:r>
      <w:r>
        <w:rPr>
          <w:rFonts w:ascii="Times New Roman" w:hAnsi="Times New Roman" w:eastAsia="仿宋_GB2312" w:cs="Times New Roman"/>
          <w:sz w:val="32"/>
          <w:szCs w:val="32"/>
        </w:rPr>
        <w:t>不断将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开发区</w:t>
      </w:r>
      <w:r>
        <w:rPr>
          <w:rFonts w:ascii="Times New Roman" w:hAnsi="Times New Roman" w:eastAsia="仿宋_GB2312" w:cs="Times New Roman"/>
          <w:sz w:val="32"/>
          <w:szCs w:val="32"/>
        </w:rPr>
        <w:t>信息公开工作向纵深推进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sz w:val="32"/>
          <w:szCs w:val="32"/>
        </w:rPr>
        <w:t>三是丰富政务信息公开形式和渠道</w:t>
      </w:r>
      <w:r>
        <w:rPr>
          <w:rFonts w:hint="eastAsia" w:ascii="仿宋_GB2312" w:hAnsi="仿宋" w:eastAsia="仿宋_GB2312"/>
          <w:sz w:val="32"/>
          <w:szCs w:val="32"/>
        </w:rPr>
        <w:t>，更多采用政策简明问答和事例、数据、图表图解、音频视频等方式解读，在利用好政务网和开发区微信公众号公开基础上，延伸公开渠道，加强对基层群众和企业政策宣传解读。</w:t>
      </w:r>
    </w:p>
    <w:p>
      <w:pPr>
        <w:shd w:val="clear" w:color="auto" w:fill="FFFFFF"/>
        <w:spacing w:line="560" w:lineRule="exact"/>
        <w:ind w:firstLine="643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sz w:val="32"/>
          <w:szCs w:val="32"/>
        </w:rPr>
        <w:t>六、其他需要报告的事项</w:t>
      </w:r>
    </w:p>
    <w:p>
      <w:pPr>
        <w:shd w:val="clear" w:color="auto" w:fill="FFFFFF"/>
        <w:spacing w:line="560" w:lineRule="exact"/>
        <w:ind w:firstLine="640" w:firstLineChars="20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无</w:t>
      </w:r>
    </w:p>
    <w:p>
      <w:pPr>
        <w:snapToGrid w:val="0"/>
        <w:spacing w:line="360" w:lineRule="auto"/>
        <w:ind w:firstLine="809" w:firstLineChars="253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0" w:h="16838"/>
      <w:pgMar w:top="1440" w:right="1440" w:bottom="1106" w:left="1440" w:header="851" w:footer="992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D50328-D299-46F6-A6D3-583BBC7321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74C7AF4-9300-4097-92CA-7B52954DAE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B20A452-FC07-4E31-89D0-BD59A91835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3CF955E-BDAF-449E-9B9E-5B861F2900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235F3B2-84BB-4631-93D0-7E61CDB7B601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0D5CA636-7B94-453A-AA79-3FAE4879352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466BA0DF-3E65-4733-880A-6E90797DD93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3F0611C2-29BE-4B28-AD9F-5EF0FB6FC0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4995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TgxNjlhMjdhMjVhYjFhMzg5OWFiZDcwNDY3NDkifQ=="/>
  </w:docVars>
  <w:rsids>
    <w:rsidRoot w:val="00A6346F"/>
    <w:rsid w:val="00015005"/>
    <w:rsid w:val="00027A76"/>
    <w:rsid w:val="000C3033"/>
    <w:rsid w:val="000D2B66"/>
    <w:rsid w:val="00113E44"/>
    <w:rsid w:val="00236671"/>
    <w:rsid w:val="002B564F"/>
    <w:rsid w:val="00315CC4"/>
    <w:rsid w:val="00347558"/>
    <w:rsid w:val="00372A6B"/>
    <w:rsid w:val="00397E70"/>
    <w:rsid w:val="003D2332"/>
    <w:rsid w:val="00430D60"/>
    <w:rsid w:val="004A4946"/>
    <w:rsid w:val="004D4963"/>
    <w:rsid w:val="00522BE3"/>
    <w:rsid w:val="005619D6"/>
    <w:rsid w:val="00582620"/>
    <w:rsid w:val="005B0987"/>
    <w:rsid w:val="005C7F8F"/>
    <w:rsid w:val="005F1B38"/>
    <w:rsid w:val="006815FC"/>
    <w:rsid w:val="0068184B"/>
    <w:rsid w:val="00686F69"/>
    <w:rsid w:val="006B0398"/>
    <w:rsid w:val="0073270B"/>
    <w:rsid w:val="00760027"/>
    <w:rsid w:val="00786EAE"/>
    <w:rsid w:val="007B2A52"/>
    <w:rsid w:val="007C43CA"/>
    <w:rsid w:val="007C6E33"/>
    <w:rsid w:val="007D5EA4"/>
    <w:rsid w:val="00855D80"/>
    <w:rsid w:val="0089538F"/>
    <w:rsid w:val="008B02A3"/>
    <w:rsid w:val="00904A24"/>
    <w:rsid w:val="009159AD"/>
    <w:rsid w:val="009B06AF"/>
    <w:rsid w:val="00A25846"/>
    <w:rsid w:val="00A26B11"/>
    <w:rsid w:val="00A6346F"/>
    <w:rsid w:val="00A64D65"/>
    <w:rsid w:val="00A837F6"/>
    <w:rsid w:val="00A86800"/>
    <w:rsid w:val="00AE3930"/>
    <w:rsid w:val="00AF700F"/>
    <w:rsid w:val="00B135C6"/>
    <w:rsid w:val="00B52C56"/>
    <w:rsid w:val="00BC71BE"/>
    <w:rsid w:val="00C075BE"/>
    <w:rsid w:val="00CA28DB"/>
    <w:rsid w:val="00CD1CE6"/>
    <w:rsid w:val="00DD5E86"/>
    <w:rsid w:val="00DF4090"/>
    <w:rsid w:val="00E049A1"/>
    <w:rsid w:val="00E148AA"/>
    <w:rsid w:val="00E30EE6"/>
    <w:rsid w:val="00E6171C"/>
    <w:rsid w:val="00E6711A"/>
    <w:rsid w:val="00EA51F9"/>
    <w:rsid w:val="00EB7DE4"/>
    <w:rsid w:val="00ED3B92"/>
    <w:rsid w:val="00F06B25"/>
    <w:rsid w:val="00F123F7"/>
    <w:rsid w:val="00F353EF"/>
    <w:rsid w:val="00FA1023"/>
    <w:rsid w:val="00FF6864"/>
    <w:rsid w:val="2AC558D0"/>
    <w:rsid w:val="4F3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2147</Words>
  <Characters>2222</Characters>
  <Lines>19</Lines>
  <Paragraphs>5</Paragraphs>
  <TotalTime>92</TotalTime>
  <ScaleCrop>false</ScaleCrop>
  <LinksUpToDate>false</LinksUpToDate>
  <CharactersWithSpaces>2396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2021-01-18T01:42:00Z</dcterms:created>
  <dc:creator>文印室</dc:creator>
  <cp:lastModifiedBy>Icarus</cp:lastModifiedBy>
  <cp:lastPrinted>2020-12-31T02:06:00Z</cp:lastPrinted>
  <dcterms:modified xsi:type="dcterms:W3CDTF">2022-09-08T08:35:04Z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0033CBA3A4C946E5BBBCA43D4CB93464</vt:lpwstr>
  </property>
</Properties>
</file>