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D2" w:rsidRDefault="002B3D85">
      <w:pPr>
        <w:spacing w:line="600" w:lineRule="exact"/>
        <w:jc w:val="center"/>
        <w:rPr>
          <w:rFonts w:ascii="方正小标宋简体" w:eastAsia="方正小标宋简体" w:hAnsi="宋体"/>
          <w:color w:val="000000"/>
          <w:sz w:val="40"/>
          <w:szCs w:val="40"/>
        </w:rPr>
      </w:pPr>
      <w:r>
        <w:rPr>
          <w:rFonts w:ascii="方正小标宋简体" w:eastAsia="方正小标宋简体" w:hAnsi="宋体" w:hint="eastAsia"/>
          <w:color w:val="000000"/>
          <w:sz w:val="40"/>
          <w:szCs w:val="40"/>
        </w:rPr>
        <w:t>丽水市文化和广电旅游体育局</w:t>
      </w:r>
    </w:p>
    <w:p w:rsidR="00A521D2" w:rsidRDefault="002B3D85">
      <w:pPr>
        <w:spacing w:line="600" w:lineRule="exact"/>
        <w:jc w:val="center"/>
        <w:rPr>
          <w:rFonts w:ascii="方正小标宋简体" w:eastAsia="方正小标宋简体" w:hAnsi="宋体"/>
          <w:color w:val="000000"/>
          <w:sz w:val="40"/>
          <w:szCs w:val="40"/>
        </w:rPr>
      </w:pPr>
      <w:r>
        <w:rPr>
          <w:rFonts w:ascii="方正小标宋简体" w:eastAsia="方正小标宋简体" w:hAnsi="宋体" w:hint="eastAsia"/>
          <w:color w:val="000000"/>
          <w:sz w:val="40"/>
          <w:szCs w:val="40"/>
        </w:rPr>
        <w:t>重大行政执法决定法制审核办法（试行）</w:t>
      </w:r>
    </w:p>
    <w:p w:rsidR="00A521D2" w:rsidRDefault="00A521D2">
      <w:pPr>
        <w:spacing w:line="560" w:lineRule="exact"/>
        <w:ind w:firstLineChars="200" w:firstLine="720"/>
        <w:rPr>
          <w:rFonts w:ascii="方正小标宋简体" w:eastAsia="方正小标宋简体"/>
          <w:color w:val="000000"/>
          <w:sz w:val="36"/>
          <w:szCs w:val="36"/>
        </w:rPr>
      </w:pP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第一条 </w:t>
      </w:r>
      <w:r>
        <w:rPr>
          <w:rFonts w:ascii="仿宋_GB2312" w:eastAsia="仿宋_GB2312" w:hint="eastAsia"/>
          <w:color w:val="000000"/>
          <w:sz w:val="32"/>
          <w:szCs w:val="32"/>
        </w:rPr>
        <w:t>为完善行政执法程序，保证行政执法决定的合法、有效，促进严格、规范、公正</w:t>
      </w:r>
      <w:bookmarkStart w:id="0" w:name="_GoBack"/>
      <w:bookmarkEnd w:id="0"/>
      <w:r>
        <w:rPr>
          <w:rFonts w:ascii="仿宋_GB2312" w:eastAsia="仿宋_GB2312" w:hint="eastAsia"/>
          <w:color w:val="000000"/>
          <w:sz w:val="32"/>
          <w:szCs w:val="32"/>
        </w:rPr>
        <w:t>、文明执法，根据《中华人民共和国行政处罚法》《中华人民共和国行政许可法》《中华人民共和国行政强制法》《浙江省重大行政执法决定法制审核办法（试行）》</w:t>
      </w:r>
      <w:r w:rsidR="00090D7A">
        <w:rPr>
          <w:rFonts w:ascii="仿宋_GB2312" w:eastAsia="仿宋_GB2312" w:hint="eastAsia"/>
          <w:color w:val="000000"/>
          <w:sz w:val="32"/>
          <w:szCs w:val="32"/>
        </w:rPr>
        <w:t>《</w:t>
      </w:r>
      <w:r w:rsidR="00090D7A" w:rsidRPr="00523FCC">
        <w:rPr>
          <w:rFonts w:ascii="仿宋_GB2312" w:eastAsia="仿宋_GB2312" w:hint="eastAsia"/>
          <w:color w:val="000000"/>
          <w:sz w:val="32"/>
          <w:szCs w:val="32"/>
        </w:rPr>
        <w:t>浙江省文化和旅游厅关于印发</w:t>
      </w:r>
      <w:r w:rsidR="00090D7A">
        <w:rPr>
          <w:rFonts w:ascii="仿宋_GB2312" w:eastAsia="仿宋_GB2312" w:hint="eastAsia"/>
          <w:color w:val="000000"/>
          <w:sz w:val="32"/>
          <w:szCs w:val="32"/>
        </w:rPr>
        <w:t>&lt;</w:t>
      </w:r>
      <w:r w:rsidR="00090D7A" w:rsidRPr="00523FCC">
        <w:rPr>
          <w:rFonts w:ascii="仿宋_GB2312" w:eastAsia="仿宋_GB2312" w:hint="eastAsia"/>
          <w:color w:val="000000"/>
          <w:sz w:val="32"/>
          <w:szCs w:val="32"/>
        </w:rPr>
        <w:t>行政执法公示办法（试行）</w:t>
      </w:r>
      <w:r w:rsidR="00090D7A">
        <w:rPr>
          <w:rFonts w:ascii="仿宋_GB2312" w:eastAsia="仿宋_GB2312" w:hint="eastAsia"/>
          <w:color w:val="000000"/>
          <w:sz w:val="32"/>
          <w:szCs w:val="32"/>
        </w:rPr>
        <w:t>&gt;</w:t>
      </w:r>
      <w:r w:rsidR="00090D7A" w:rsidRPr="00523FCC">
        <w:rPr>
          <w:rFonts w:ascii="仿宋_GB2312" w:eastAsia="仿宋_GB2312" w:hint="eastAsia"/>
          <w:color w:val="000000"/>
          <w:sz w:val="32"/>
          <w:szCs w:val="32"/>
        </w:rPr>
        <w:t>等办法的通知</w:t>
      </w:r>
      <w:r w:rsidR="00090D7A">
        <w:rPr>
          <w:rFonts w:ascii="仿宋_GB2312" w:eastAsia="仿宋_GB2312" w:hint="eastAsia"/>
          <w:color w:val="000000"/>
          <w:sz w:val="32"/>
          <w:szCs w:val="32"/>
        </w:rPr>
        <w:t>》《</w:t>
      </w:r>
      <w:r w:rsidR="00090D7A" w:rsidRPr="00523FCC">
        <w:rPr>
          <w:rFonts w:ascii="仿宋_GB2312" w:eastAsia="仿宋_GB2312" w:hint="eastAsia"/>
          <w:color w:val="000000"/>
          <w:sz w:val="32"/>
          <w:szCs w:val="32"/>
        </w:rPr>
        <w:t>丽水市全面推进依法行政工作领导小组办公室关于转发</w:t>
      </w:r>
      <w:r w:rsidR="00090D7A">
        <w:rPr>
          <w:rFonts w:ascii="仿宋_GB2312" w:eastAsia="仿宋_GB2312" w:hint="eastAsia"/>
          <w:color w:val="000000"/>
          <w:sz w:val="32"/>
          <w:szCs w:val="32"/>
        </w:rPr>
        <w:t>&lt;</w:t>
      </w:r>
      <w:r w:rsidR="00090D7A" w:rsidRPr="00523FCC">
        <w:rPr>
          <w:rFonts w:ascii="仿宋_GB2312" w:eastAsia="仿宋_GB2312" w:hint="eastAsia"/>
          <w:color w:val="000000"/>
          <w:sz w:val="32"/>
          <w:szCs w:val="32"/>
        </w:rPr>
        <w:t>浙江省全面推行行政执法公示制度执法全过程记录制度重大执法决定法制审核制度实施方案</w:t>
      </w:r>
      <w:r w:rsidR="00090D7A">
        <w:rPr>
          <w:rFonts w:ascii="仿宋_GB2312" w:eastAsia="仿宋_GB2312" w:hint="eastAsia"/>
          <w:color w:val="000000"/>
          <w:sz w:val="32"/>
          <w:szCs w:val="32"/>
        </w:rPr>
        <w:t>&gt;</w:t>
      </w:r>
      <w:r w:rsidR="00090D7A" w:rsidRPr="00523FCC">
        <w:rPr>
          <w:rFonts w:ascii="仿宋_GB2312" w:eastAsia="仿宋_GB2312" w:hint="eastAsia"/>
          <w:color w:val="000000"/>
          <w:sz w:val="32"/>
          <w:szCs w:val="32"/>
        </w:rPr>
        <w:t>的通知</w:t>
      </w:r>
      <w:r w:rsidR="00090D7A">
        <w:rPr>
          <w:rFonts w:ascii="仿宋_GB2312" w:eastAsia="仿宋_GB2312" w:hint="eastAsia"/>
          <w:color w:val="000000"/>
          <w:sz w:val="32"/>
          <w:szCs w:val="32"/>
        </w:rPr>
        <w:t>》</w:t>
      </w:r>
      <w:r>
        <w:rPr>
          <w:rFonts w:ascii="仿宋_GB2312" w:eastAsia="仿宋_GB2312" w:hint="eastAsia"/>
          <w:color w:val="000000"/>
          <w:sz w:val="32"/>
          <w:szCs w:val="32"/>
        </w:rPr>
        <w:t>等有关规定，结合本局实际，制定本办法。</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第二条 </w:t>
      </w:r>
      <w:r>
        <w:rPr>
          <w:rFonts w:ascii="仿宋_GB2312" w:eastAsia="仿宋_GB2312" w:hint="eastAsia"/>
          <w:color w:val="000000"/>
          <w:sz w:val="32"/>
          <w:szCs w:val="32"/>
        </w:rPr>
        <w:t>本办法所称重大行政执法决定，是指以本局名义</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的涉及相对人较多、权益影响重大或者疑难复杂的行政许可、行政处罚、行政强制等行政执法决定。</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第三条 </w:t>
      </w:r>
      <w:r>
        <w:rPr>
          <w:rFonts w:ascii="仿宋_GB2312" w:eastAsia="仿宋_GB2312" w:hint="eastAsia"/>
          <w:color w:val="000000"/>
          <w:sz w:val="32"/>
          <w:szCs w:val="32"/>
        </w:rPr>
        <w:t>具有下列情形之一的行政执法决定，属于重大行政执法决定，应当在</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决定前进行法制审核：</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（一）依法应组织听证或达到听证标准的；</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（二）可能造成重大社会影响或引发社会风险的；</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（三）当事人、利害关系人的权益可能受到重大影响；</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（四）当事人、利害关系人人数较多或争议较大的；</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（五）行政执法事项疑难、复杂的；</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（六）拟作出不予行政许可决定或撤销行政许可决定的；</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（七）拟作出不予行政处罚或减轻行政处罚的；</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（八）法律、法规、规章以及国家、省和市级行政规范性文件规定的其他情形。</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第四条 </w:t>
      </w:r>
      <w:r>
        <w:rPr>
          <w:rFonts w:ascii="仿宋_GB2312" w:eastAsia="仿宋_GB2312" w:hint="eastAsia"/>
          <w:color w:val="000000"/>
          <w:sz w:val="32"/>
          <w:szCs w:val="32"/>
        </w:rPr>
        <w:t>本局行政执法事项承办业务处室（以下简称承办机构）以局名义</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重大行政执法决定前，应依照本办法规定由</w:t>
      </w:r>
      <w:r w:rsidR="004332B8">
        <w:rPr>
          <w:rFonts w:ascii="仿宋_GB2312" w:eastAsia="仿宋_GB2312" w:hint="eastAsia"/>
          <w:color w:val="000000"/>
          <w:sz w:val="32"/>
          <w:szCs w:val="32"/>
        </w:rPr>
        <w:t>局</w:t>
      </w:r>
      <w:r w:rsidR="004332B8" w:rsidRPr="004332B8">
        <w:rPr>
          <w:rFonts w:ascii="仿宋_GB2312" w:eastAsia="仿宋_GB2312" w:hint="eastAsia"/>
          <w:color w:val="000000"/>
          <w:sz w:val="32"/>
          <w:szCs w:val="32"/>
        </w:rPr>
        <w:t>市场管理和行政审批</w:t>
      </w:r>
      <w:r w:rsidRPr="004332B8">
        <w:rPr>
          <w:rFonts w:ascii="仿宋_GB2312" w:eastAsia="仿宋_GB2312" w:hint="eastAsia"/>
          <w:color w:val="000000"/>
          <w:sz w:val="32"/>
          <w:szCs w:val="32"/>
        </w:rPr>
        <w:t>处</w:t>
      </w:r>
      <w:r>
        <w:rPr>
          <w:rFonts w:ascii="仿宋_GB2312" w:eastAsia="仿宋_GB2312" w:hint="eastAsia"/>
          <w:color w:val="000000"/>
          <w:sz w:val="32"/>
          <w:szCs w:val="32"/>
        </w:rPr>
        <w:t>对拟作出决定的合法性、适当性进行法制审核；法律、法规、规章规定因情况紧急等原因，需</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即时性、应急性行政执法决定的除外。</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第五条 </w:t>
      </w:r>
      <w:r>
        <w:rPr>
          <w:rFonts w:ascii="仿宋_GB2312" w:eastAsia="仿宋_GB2312" w:hint="eastAsia"/>
          <w:color w:val="000000"/>
          <w:sz w:val="32"/>
          <w:szCs w:val="32"/>
        </w:rPr>
        <w:t>承办机构应当在重大行政执法调查终结、拟定处理决定后，</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重大行政执法决定前，及时将执法案卷和有关材料</w:t>
      </w:r>
      <w:proofErr w:type="gramStart"/>
      <w:r>
        <w:rPr>
          <w:rFonts w:ascii="仿宋_GB2312" w:eastAsia="仿宋_GB2312" w:hint="eastAsia"/>
          <w:color w:val="000000"/>
          <w:sz w:val="32"/>
          <w:szCs w:val="32"/>
        </w:rPr>
        <w:t>移送</w:t>
      </w:r>
      <w:r w:rsidR="004332B8">
        <w:rPr>
          <w:rFonts w:ascii="仿宋_GB2312" w:eastAsia="仿宋_GB2312" w:hint="eastAsia"/>
          <w:color w:val="000000"/>
          <w:sz w:val="32"/>
          <w:szCs w:val="32"/>
        </w:rPr>
        <w:t>局</w:t>
      </w:r>
      <w:proofErr w:type="gramEnd"/>
      <w:r w:rsidR="004332B8" w:rsidRPr="004332B8">
        <w:rPr>
          <w:rFonts w:ascii="仿宋_GB2312" w:eastAsia="仿宋_GB2312" w:hint="eastAsia"/>
          <w:color w:val="000000"/>
          <w:sz w:val="32"/>
          <w:szCs w:val="32"/>
        </w:rPr>
        <w:t>市场管理和行政审批处</w:t>
      </w:r>
      <w:r>
        <w:rPr>
          <w:rFonts w:ascii="仿宋_GB2312" w:eastAsia="仿宋_GB2312" w:hint="eastAsia"/>
          <w:color w:val="000000"/>
          <w:sz w:val="32"/>
          <w:szCs w:val="32"/>
        </w:rPr>
        <w:t>审核。</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第六条</w:t>
      </w:r>
      <w:r>
        <w:rPr>
          <w:rFonts w:ascii="仿宋_GB2312" w:eastAsia="仿宋_GB2312" w:hint="eastAsia"/>
          <w:color w:val="000000"/>
          <w:sz w:val="32"/>
          <w:szCs w:val="32"/>
        </w:rPr>
        <w:t xml:space="preserve"> 重大行政执法决定法制审核主要内容：</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（一）执法主体是否适</w:t>
      </w:r>
      <w:r w:rsidR="0090423F">
        <w:rPr>
          <w:rFonts w:ascii="仿宋_GB2312" w:eastAsia="仿宋_GB2312" w:hint="eastAsia"/>
          <w:color w:val="000000"/>
          <w:sz w:val="32"/>
          <w:szCs w:val="32"/>
        </w:rPr>
        <w:t>格</w:t>
      </w:r>
      <w:r>
        <w:rPr>
          <w:rFonts w:ascii="仿宋_GB2312" w:eastAsia="仿宋_GB2312" w:hint="eastAsia"/>
          <w:color w:val="000000"/>
          <w:sz w:val="32"/>
          <w:szCs w:val="32"/>
        </w:rPr>
        <w:t>；</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（二）认定的事实是否清楚，证据是否确凿；</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（三）程序是否合法、规范；</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（四）定性是否准确，适用法律、法规、规章是否正确，执行裁量基准是否适当； </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（五）行政执法文书是否规范、齐备；</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（六）其他依法应当审核的事项。</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第七条 </w:t>
      </w:r>
      <w:r w:rsidR="004332B8">
        <w:rPr>
          <w:rFonts w:ascii="仿宋_GB2312" w:eastAsia="仿宋_GB2312" w:hint="eastAsia"/>
          <w:color w:val="000000"/>
          <w:sz w:val="32"/>
          <w:szCs w:val="32"/>
        </w:rPr>
        <w:t>局</w:t>
      </w:r>
      <w:r w:rsidR="004332B8" w:rsidRPr="004332B8">
        <w:rPr>
          <w:rFonts w:ascii="仿宋_GB2312" w:eastAsia="仿宋_GB2312" w:hint="eastAsia"/>
          <w:color w:val="000000"/>
          <w:sz w:val="32"/>
          <w:szCs w:val="32"/>
        </w:rPr>
        <w:t>市场管理和行政审批处</w:t>
      </w:r>
      <w:r>
        <w:rPr>
          <w:rFonts w:ascii="仿宋_GB2312" w:eastAsia="仿宋_GB2312" w:hint="eastAsia"/>
          <w:color w:val="000000"/>
          <w:sz w:val="32"/>
          <w:szCs w:val="32"/>
        </w:rPr>
        <w:t>在收到送审材料后，应及时审核，严格认真把关，并在</w:t>
      </w:r>
      <w:r w:rsidR="004332B8">
        <w:rPr>
          <w:rFonts w:ascii="仿宋_GB2312" w:eastAsia="仿宋_GB2312" w:hint="eastAsia"/>
          <w:color w:val="000000"/>
          <w:sz w:val="32"/>
          <w:szCs w:val="32"/>
        </w:rPr>
        <w:t>5</w:t>
      </w:r>
      <w:r>
        <w:rPr>
          <w:rFonts w:ascii="仿宋_GB2312" w:eastAsia="仿宋_GB2312" w:hint="eastAsia"/>
          <w:color w:val="000000"/>
          <w:sz w:val="32"/>
          <w:szCs w:val="32"/>
        </w:rPr>
        <w:t>个工作日内出具书面审核意见；因特殊情况需要延长期限的，可以适当延长，但最长不超过</w:t>
      </w:r>
      <w:r w:rsidR="004332B8">
        <w:rPr>
          <w:rFonts w:ascii="仿宋_GB2312" w:eastAsia="仿宋_GB2312" w:hint="eastAsia"/>
          <w:color w:val="000000"/>
          <w:sz w:val="32"/>
          <w:szCs w:val="32"/>
        </w:rPr>
        <w:t>10</w:t>
      </w:r>
      <w:r>
        <w:rPr>
          <w:rFonts w:ascii="仿宋_GB2312" w:eastAsia="仿宋_GB2312" w:hint="eastAsia"/>
          <w:color w:val="000000"/>
          <w:sz w:val="32"/>
          <w:szCs w:val="32"/>
        </w:rPr>
        <w:t>个工作日。</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第八条 </w:t>
      </w:r>
      <w:r>
        <w:rPr>
          <w:rFonts w:ascii="仿宋_GB2312" w:eastAsia="仿宋_GB2312" w:hint="eastAsia"/>
          <w:color w:val="000000"/>
          <w:sz w:val="32"/>
          <w:szCs w:val="32"/>
        </w:rPr>
        <w:t>重大行政执法决定法制审核以书面审核为主。必要时，</w:t>
      </w:r>
      <w:r w:rsidR="004332B8">
        <w:rPr>
          <w:rFonts w:ascii="仿宋_GB2312" w:eastAsia="仿宋_GB2312" w:hint="eastAsia"/>
          <w:color w:val="000000"/>
          <w:sz w:val="32"/>
          <w:szCs w:val="32"/>
        </w:rPr>
        <w:t>局</w:t>
      </w:r>
      <w:r w:rsidR="004332B8" w:rsidRPr="004332B8">
        <w:rPr>
          <w:rFonts w:ascii="仿宋_GB2312" w:eastAsia="仿宋_GB2312" w:hint="eastAsia"/>
          <w:color w:val="000000"/>
          <w:sz w:val="32"/>
          <w:szCs w:val="32"/>
        </w:rPr>
        <w:t>市场管理和行政审批处</w:t>
      </w:r>
      <w:r>
        <w:rPr>
          <w:rFonts w:ascii="仿宋_GB2312" w:eastAsia="仿宋_GB2312" w:hint="eastAsia"/>
          <w:color w:val="000000"/>
          <w:sz w:val="32"/>
          <w:szCs w:val="32"/>
        </w:rPr>
        <w:t>可以向案件调查人员了解情况，听取意见建议，并可咨询</w:t>
      </w:r>
      <w:r w:rsidR="0090423F">
        <w:rPr>
          <w:rFonts w:ascii="仿宋_GB2312" w:eastAsia="仿宋_GB2312" w:hint="eastAsia"/>
          <w:color w:val="000000"/>
          <w:sz w:val="32"/>
          <w:szCs w:val="32"/>
        </w:rPr>
        <w:t>本</w:t>
      </w:r>
      <w:r>
        <w:rPr>
          <w:rFonts w:ascii="仿宋_GB2312" w:eastAsia="仿宋_GB2312" w:hint="eastAsia"/>
          <w:color w:val="000000"/>
          <w:sz w:val="32"/>
          <w:szCs w:val="32"/>
        </w:rPr>
        <w:t>局法律顾问意见建议。</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lastRenderedPageBreak/>
        <w:t>第九条</w:t>
      </w:r>
      <w:r>
        <w:rPr>
          <w:rFonts w:ascii="仿宋_GB2312" w:eastAsia="仿宋_GB2312" w:hint="eastAsia"/>
          <w:color w:val="000000"/>
          <w:sz w:val="32"/>
          <w:szCs w:val="32"/>
        </w:rPr>
        <w:t xml:space="preserve"> </w:t>
      </w:r>
      <w:r w:rsidR="004332B8">
        <w:rPr>
          <w:rFonts w:ascii="仿宋_GB2312" w:eastAsia="仿宋_GB2312" w:hint="eastAsia"/>
          <w:color w:val="000000"/>
          <w:sz w:val="32"/>
          <w:szCs w:val="32"/>
        </w:rPr>
        <w:t>局</w:t>
      </w:r>
      <w:r w:rsidR="004332B8" w:rsidRPr="004332B8">
        <w:rPr>
          <w:rFonts w:ascii="仿宋_GB2312" w:eastAsia="仿宋_GB2312" w:hint="eastAsia"/>
          <w:color w:val="000000"/>
          <w:sz w:val="32"/>
          <w:szCs w:val="32"/>
        </w:rPr>
        <w:t>市场管理和行政审批处</w:t>
      </w:r>
      <w:r>
        <w:rPr>
          <w:rFonts w:ascii="仿宋_GB2312" w:eastAsia="仿宋_GB2312" w:hint="eastAsia"/>
          <w:color w:val="000000"/>
          <w:sz w:val="32"/>
          <w:szCs w:val="32"/>
        </w:rPr>
        <w:t>对案卷进行审核后，根据不同情况提出以下相应的书面审核意见：</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（一）对事实清楚、证据确凿、依据正确、结果适当、程序合法的，签署同意意见；</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（二）对事实不清、证据不足的，提出补充调查或不予</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行政执法决定意见；</w:t>
      </w:r>
    </w:p>
    <w:p w:rsidR="00A521D2" w:rsidRDefault="0090423F">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（三）对材料或者手续不齐全的，提出</w:t>
      </w:r>
      <w:r w:rsidR="002B3D85">
        <w:rPr>
          <w:rFonts w:ascii="仿宋_GB2312" w:eastAsia="仿宋_GB2312" w:hint="eastAsia"/>
          <w:color w:val="000000"/>
          <w:sz w:val="32"/>
          <w:szCs w:val="32"/>
        </w:rPr>
        <w:t>补齐意见；</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（四）对适用法律不当或裁量基准不当的，提出修正意见；</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（五）对执法程序不合法的，提出纠正意见；</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（六）对超出管辖范围的，提出移送意见；</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w:t>
      </w:r>
      <w:r>
        <w:rPr>
          <w:rFonts w:ascii="Segoe UI Symbol" w:eastAsia="仿宋_GB2312" w:hAnsi="Segoe UI Symbol" w:cs="Segoe UI Symbol" w:hint="eastAsia"/>
          <w:color w:val="000000"/>
          <w:sz w:val="32"/>
          <w:szCs w:val="32"/>
        </w:rPr>
        <w:t>对执法主体不合法或者超越职权的，提出停止执法行为意见；</w:t>
      </w:r>
    </w:p>
    <w:p w:rsidR="00A521D2" w:rsidRDefault="002B3D85">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（八）其他意见建议。</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第十条 </w:t>
      </w:r>
      <w:r>
        <w:rPr>
          <w:rFonts w:ascii="仿宋_GB2312" w:eastAsia="仿宋_GB2312" w:hint="eastAsia"/>
          <w:color w:val="000000"/>
          <w:sz w:val="32"/>
          <w:szCs w:val="32"/>
        </w:rPr>
        <w:t>承办机构对法制审核意见应当研究采纳；对法制审核意见有异议的，可以提</w:t>
      </w:r>
      <w:r w:rsidR="0090423F">
        <w:rPr>
          <w:rFonts w:ascii="仿宋_GB2312" w:eastAsia="仿宋_GB2312" w:hint="eastAsia"/>
          <w:color w:val="000000"/>
          <w:sz w:val="32"/>
          <w:szCs w:val="32"/>
        </w:rPr>
        <w:t>交</w:t>
      </w:r>
      <w:r w:rsidR="004332B8">
        <w:rPr>
          <w:rFonts w:ascii="仿宋_GB2312" w:eastAsia="仿宋_GB2312" w:hint="eastAsia"/>
          <w:color w:val="000000"/>
          <w:sz w:val="32"/>
          <w:szCs w:val="32"/>
        </w:rPr>
        <w:t>局</w:t>
      </w:r>
      <w:r w:rsidR="004332B8" w:rsidRPr="004332B8">
        <w:rPr>
          <w:rFonts w:ascii="仿宋_GB2312" w:eastAsia="仿宋_GB2312" w:hint="eastAsia"/>
          <w:color w:val="000000"/>
          <w:sz w:val="32"/>
          <w:szCs w:val="32"/>
        </w:rPr>
        <w:t>市场管理和行政审批处</w:t>
      </w:r>
      <w:r>
        <w:rPr>
          <w:rFonts w:ascii="仿宋_GB2312" w:eastAsia="仿宋_GB2312" w:hint="eastAsia"/>
          <w:color w:val="000000"/>
          <w:sz w:val="32"/>
          <w:szCs w:val="32"/>
        </w:rPr>
        <w:t>重新审核；对</w:t>
      </w:r>
      <w:r w:rsidR="0090423F">
        <w:rPr>
          <w:rFonts w:ascii="仿宋_GB2312" w:eastAsia="仿宋_GB2312" w:hint="eastAsia"/>
          <w:color w:val="000000"/>
          <w:sz w:val="32"/>
          <w:szCs w:val="32"/>
        </w:rPr>
        <w:t>于</w:t>
      </w:r>
      <w:r>
        <w:rPr>
          <w:rFonts w:ascii="仿宋_GB2312" w:eastAsia="仿宋_GB2312" w:hint="eastAsia"/>
          <w:color w:val="000000"/>
          <w:sz w:val="32"/>
          <w:szCs w:val="32"/>
        </w:rPr>
        <w:t>重新审核的意见仍有异议的，可以提请</w:t>
      </w:r>
      <w:r w:rsidR="001923CC">
        <w:rPr>
          <w:rFonts w:ascii="仿宋_GB2312" w:eastAsia="仿宋_GB2312" w:hint="eastAsia"/>
          <w:color w:val="000000"/>
          <w:sz w:val="32"/>
          <w:szCs w:val="32"/>
        </w:rPr>
        <w:t>局长办公会议、局党组会议</w:t>
      </w:r>
      <w:r>
        <w:rPr>
          <w:rFonts w:ascii="仿宋_GB2312" w:eastAsia="仿宋_GB2312" w:hint="eastAsia"/>
          <w:color w:val="000000"/>
          <w:sz w:val="32"/>
          <w:szCs w:val="32"/>
        </w:rPr>
        <w:t>集体研究决定。</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第十一条</w:t>
      </w:r>
      <w:r>
        <w:rPr>
          <w:rFonts w:ascii="仿宋_GB2312" w:eastAsia="仿宋_GB2312" w:hint="eastAsia"/>
          <w:color w:val="000000"/>
          <w:sz w:val="32"/>
          <w:szCs w:val="32"/>
        </w:rPr>
        <w:t xml:space="preserve"> 在法制审核过程中形成的书面审核意见等相关记录应归入行政执法案卷。</w:t>
      </w:r>
    </w:p>
    <w:p w:rsidR="00A521D2" w:rsidRDefault="002B3D85">
      <w:pPr>
        <w:spacing w:line="54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第十二条</w:t>
      </w:r>
      <w:r>
        <w:rPr>
          <w:rFonts w:ascii="仿宋_GB2312" w:eastAsia="仿宋_GB2312" w:hint="eastAsia"/>
          <w:color w:val="000000"/>
          <w:sz w:val="32"/>
          <w:szCs w:val="32"/>
        </w:rPr>
        <w:t xml:space="preserve"> 违反本办法规定，未执行重大行政执法决定法制审核制度的，应当责令改正；造成严重后果的，对直接主管人员和其他直接责任人员依法给予行政处分。</w:t>
      </w:r>
    </w:p>
    <w:p w:rsidR="00A521D2" w:rsidRDefault="002B3D85">
      <w:pPr>
        <w:spacing w:line="540" w:lineRule="exact"/>
        <w:ind w:firstLine="660"/>
        <w:rPr>
          <w:rFonts w:ascii="仿宋_GB2312" w:eastAsia="仿宋_GB2312" w:hAnsi="微软雅黑" w:cs="宋体"/>
          <w:color w:val="000000"/>
          <w:kern w:val="0"/>
          <w:sz w:val="32"/>
          <w:szCs w:val="32"/>
        </w:rPr>
      </w:pPr>
      <w:r>
        <w:rPr>
          <w:rFonts w:ascii="楷体_GB2312" w:eastAsia="楷体_GB2312" w:hint="eastAsia"/>
          <w:color w:val="000000"/>
          <w:sz w:val="32"/>
          <w:szCs w:val="32"/>
        </w:rPr>
        <w:t xml:space="preserve">第十三条 </w:t>
      </w:r>
      <w:r>
        <w:rPr>
          <w:rFonts w:ascii="仿宋_GB2312" w:eastAsia="仿宋_GB2312" w:hint="eastAsia"/>
          <w:color w:val="000000"/>
          <w:sz w:val="32"/>
          <w:szCs w:val="32"/>
        </w:rPr>
        <w:t>本办法由</w:t>
      </w:r>
      <w:r w:rsidR="004332B8">
        <w:rPr>
          <w:rFonts w:ascii="仿宋_GB2312" w:eastAsia="仿宋_GB2312" w:hint="eastAsia"/>
          <w:color w:val="000000"/>
          <w:sz w:val="32"/>
          <w:szCs w:val="32"/>
        </w:rPr>
        <w:t>局</w:t>
      </w:r>
      <w:r w:rsidR="004332B8" w:rsidRPr="004332B8">
        <w:rPr>
          <w:rFonts w:ascii="仿宋_GB2312" w:eastAsia="仿宋_GB2312" w:hint="eastAsia"/>
          <w:color w:val="000000"/>
          <w:sz w:val="32"/>
          <w:szCs w:val="32"/>
        </w:rPr>
        <w:t>市场管理和行政审批处</w:t>
      </w:r>
      <w:r>
        <w:rPr>
          <w:rFonts w:ascii="仿宋_GB2312" w:eastAsia="仿宋_GB2312" w:hAnsi="微软雅黑" w:cs="宋体" w:hint="eastAsia"/>
          <w:color w:val="000000"/>
          <w:kern w:val="0"/>
          <w:sz w:val="32"/>
          <w:szCs w:val="32"/>
        </w:rPr>
        <w:t>负责解释。</w:t>
      </w:r>
    </w:p>
    <w:p w:rsidR="00A521D2" w:rsidRDefault="002B3D85" w:rsidP="004332B8">
      <w:pPr>
        <w:spacing w:line="540" w:lineRule="exact"/>
        <w:ind w:firstLineChars="200" w:firstLine="640"/>
        <w:rPr>
          <w:rFonts w:ascii="仿宋_GB2312" w:eastAsia="仿宋_GB2312" w:hAnsi="微软雅黑" w:cs="宋体"/>
          <w:color w:val="000000"/>
          <w:kern w:val="0"/>
          <w:sz w:val="32"/>
          <w:szCs w:val="32"/>
        </w:rPr>
      </w:pPr>
      <w:r>
        <w:rPr>
          <w:rFonts w:ascii="楷体_GB2312" w:eastAsia="楷体_GB2312" w:hAnsi="微软雅黑" w:cs="宋体" w:hint="eastAsia"/>
          <w:color w:val="000000"/>
          <w:kern w:val="0"/>
          <w:sz w:val="32"/>
          <w:szCs w:val="32"/>
        </w:rPr>
        <w:t>第十四条</w:t>
      </w:r>
      <w:r>
        <w:rPr>
          <w:rFonts w:ascii="仿宋_GB2312" w:eastAsia="仿宋_GB2312" w:hAnsi="微软雅黑" w:cs="宋体" w:hint="eastAsia"/>
          <w:color w:val="000000"/>
          <w:kern w:val="0"/>
          <w:sz w:val="32"/>
          <w:szCs w:val="32"/>
        </w:rPr>
        <w:t xml:space="preserve">  本办法自发布之日起施行。</w:t>
      </w:r>
    </w:p>
    <w:p w:rsidR="00A35CCD" w:rsidRDefault="00A35CCD" w:rsidP="00A35CCD">
      <w:pPr>
        <w:spacing w:line="600" w:lineRule="exact"/>
        <w:rPr>
          <w:rFonts w:ascii="黑体" w:eastAsia="黑体" w:hAnsi="黑体" w:cs="黑体"/>
          <w:color w:val="000000"/>
          <w:sz w:val="32"/>
          <w:szCs w:val="32"/>
        </w:rPr>
        <w:sectPr w:rsidR="00A35CCD" w:rsidSect="00A35CCD">
          <w:pgSz w:w="11906" w:h="16838"/>
          <w:pgMar w:top="1440" w:right="1803" w:bottom="1440" w:left="1803" w:header="851" w:footer="992" w:gutter="0"/>
          <w:cols w:space="0"/>
          <w:docGrid w:type="lines" w:linePitch="319"/>
        </w:sectPr>
      </w:pPr>
    </w:p>
    <w:p w:rsidR="00A35CCD" w:rsidRDefault="00A35CCD" w:rsidP="00A35CCD">
      <w:pPr>
        <w:spacing w:line="60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附件1</w:t>
      </w:r>
    </w:p>
    <w:p w:rsidR="00A35CCD" w:rsidRDefault="00A35CCD" w:rsidP="00A35CCD">
      <w:pPr>
        <w:spacing w:line="600" w:lineRule="exact"/>
        <w:jc w:val="center"/>
        <w:rPr>
          <w:rFonts w:ascii="方正小标宋简体" w:eastAsia="方正小标宋简体" w:hAnsi="宋体"/>
          <w:color w:val="000000"/>
          <w:sz w:val="36"/>
          <w:szCs w:val="36"/>
        </w:rPr>
      </w:pPr>
      <w:r w:rsidRPr="000C7761">
        <w:rPr>
          <w:rFonts w:ascii="方正小标宋简体" w:eastAsia="方正小标宋简体" w:hAnsi="宋体" w:hint="eastAsia"/>
          <w:color w:val="000000"/>
          <w:sz w:val="36"/>
          <w:szCs w:val="36"/>
        </w:rPr>
        <w:t>丽水</w:t>
      </w:r>
      <w:r>
        <w:rPr>
          <w:rFonts w:ascii="方正小标宋简体" w:eastAsia="方正小标宋简体" w:hAnsi="宋体" w:hint="eastAsia"/>
          <w:color w:val="000000"/>
          <w:sz w:val="36"/>
          <w:szCs w:val="36"/>
        </w:rPr>
        <w:t>市文化和广电旅游体育</w:t>
      </w:r>
      <w:proofErr w:type="gramStart"/>
      <w:r>
        <w:rPr>
          <w:rFonts w:ascii="方正小标宋简体" w:eastAsia="方正小标宋简体" w:hAnsi="宋体" w:hint="eastAsia"/>
          <w:color w:val="000000"/>
          <w:sz w:val="36"/>
          <w:szCs w:val="36"/>
        </w:rPr>
        <w:t>局重大</w:t>
      </w:r>
      <w:proofErr w:type="gramEnd"/>
      <w:r>
        <w:rPr>
          <w:rFonts w:ascii="方正小标宋简体" w:eastAsia="方正小标宋简体" w:hAnsi="宋体" w:hint="eastAsia"/>
          <w:color w:val="000000"/>
          <w:sz w:val="36"/>
          <w:szCs w:val="36"/>
        </w:rPr>
        <w:t>行政执法决定法制审核事项目录清单</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845"/>
        <w:gridCol w:w="3105"/>
        <w:gridCol w:w="4545"/>
        <w:gridCol w:w="3974"/>
      </w:tblGrid>
      <w:tr w:rsidR="00A35CCD" w:rsidTr="00154741">
        <w:trPr>
          <w:trHeight w:val="590"/>
          <w:tblHeader/>
        </w:trPr>
        <w:tc>
          <w:tcPr>
            <w:tcW w:w="705" w:type="dxa"/>
            <w:tcBorders>
              <w:top w:val="single" w:sz="8" w:space="0" w:color="auto"/>
              <w:left w:val="single" w:sz="8" w:space="0" w:color="auto"/>
              <w:bottom w:val="single" w:sz="8" w:space="0" w:color="auto"/>
              <w:right w:val="single" w:sz="8" w:space="0" w:color="auto"/>
            </w:tcBorders>
            <w:shd w:val="clear" w:color="auto" w:fill="auto"/>
            <w:vAlign w:val="center"/>
          </w:tcPr>
          <w:p w:rsidR="00A35CCD" w:rsidRDefault="00A35CCD" w:rsidP="00A35CCD">
            <w:pPr>
              <w:widowControl/>
              <w:spacing w:before="100" w:beforeAutospacing="1" w:after="100" w:afterAutospacing="1"/>
              <w:jc w:val="center"/>
              <w:rPr>
                <w:rFonts w:ascii="楷体_GB2312" w:eastAsia="楷体_GB2312" w:hAnsi="楷体_GB2312" w:cs="楷体_GB2312"/>
                <w:b/>
                <w:sz w:val="24"/>
                <w:szCs w:val="28"/>
              </w:rPr>
            </w:pPr>
            <w:r>
              <w:rPr>
                <w:rFonts w:ascii="楷体_GB2312" w:eastAsia="楷体_GB2312" w:hAnsi="楷体_GB2312" w:cs="楷体_GB2312" w:hint="eastAsia"/>
                <w:b/>
                <w:sz w:val="24"/>
                <w:szCs w:val="24"/>
                <w:lang w:bidi="ar"/>
              </w:rPr>
              <w:t>序号</w:t>
            </w:r>
          </w:p>
        </w:tc>
        <w:tc>
          <w:tcPr>
            <w:tcW w:w="1845" w:type="dxa"/>
            <w:tcBorders>
              <w:top w:val="single" w:sz="8" w:space="0" w:color="auto"/>
              <w:left w:val="nil"/>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楷体_GB2312" w:eastAsia="楷体_GB2312" w:hAnsi="楷体_GB2312" w:cs="楷体_GB2312"/>
                <w:b/>
                <w:sz w:val="24"/>
                <w:szCs w:val="28"/>
              </w:rPr>
            </w:pPr>
            <w:r>
              <w:rPr>
                <w:rFonts w:ascii="楷体_GB2312" w:eastAsia="楷体_GB2312" w:hAnsi="楷体_GB2312" w:cs="楷体_GB2312" w:hint="eastAsia"/>
                <w:b/>
                <w:sz w:val="24"/>
                <w:szCs w:val="24"/>
                <w:lang w:bidi="ar"/>
              </w:rPr>
              <w:t>执法项目类别</w:t>
            </w:r>
          </w:p>
        </w:tc>
        <w:tc>
          <w:tcPr>
            <w:tcW w:w="3105" w:type="dxa"/>
            <w:tcBorders>
              <w:top w:val="single" w:sz="8" w:space="0" w:color="auto"/>
              <w:left w:val="nil"/>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楷体_GB2312" w:eastAsia="楷体_GB2312" w:hAnsi="楷体_GB2312" w:cs="楷体_GB2312"/>
                <w:b/>
                <w:sz w:val="24"/>
                <w:szCs w:val="28"/>
              </w:rPr>
            </w:pPr>
            <w:r>
              <w:rPr>
                <w:rFonts w:ascii="楷体_GB2312" w:eastAsia="楷体_GB2312" w:hAnsi="楷体_GB2312" w:cs="楷体_GB2312" w:hint="eastAsia"/>
                <w:b/>
                <w:sz w:val="24"/>
                <w:szCs w:val="24"/>
                <w:lang w:bidi="ar"/>
              </w:rPr>
              <w:t>审核的具体执法决定项目</w:t>
            </w:r>
          </w:p>
        </w:tc>
        <w:tc>
          <w:tcPr>
            <w:tcW w:w="4545" w:type="dxa"/>
            <w:tcBorders>
              <w:top w:val="single" w:sz="8" w:space="0" w:color="auto"/>
              <w:left w:val="nil"/>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楷体_GB2312" w:eastAsia="楷体_GB2312" w:hAnsi="楷体_GB2312" w:cs="楷体_GB2312"/>
                <w:b/>
                <w:sz w:val="24"/>
                <w:szCs w:val="28"/>
              </w:rPr>
            </w:pPr>
            <w:r>
              <w:rPr>
                <w:rFonts w:ascii="楷体_GB2312" w:eastAsia="楷体_GB2312" w:hAnsi="楷体_GB2312" w:cs="楷体_GB2312" w:hint="eastAsia"/>
                <w:b/>
                <w:sz w:val="24"/>
                <w:szCs w:val="24"/>
                <w:lang w:bidi="ar"/>
              </w:rPr>
              <w:t>应提交的审核材料</w:t>
            </w:r>
          </w:p>
        </w:tc>
        <w:tc>
          <w:tcPr>
            <w:tcW w:w="3974" w:type="dxa"/>
            <w:tcBorders>
              <w:top w:val="single" w:sz="8" w:space="0" w:color="auto"/>
              <w:left w:val="nil"/>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楷体_GB2312" w:eastAsia="楷体_GB2312" w:hAnsi="楷体_GB2312" w:cs="楷体_GB2312"/>
                <w:b/>
                <w:sz w:val="24"/>
                <w:szCs w:val="28"/>
              </w:rPr>
            </w:pPr>
            <w:r>
              <w:rPr>
                <w:rFonts w:ascii="楷体_GB2312" w:eastAsia="楷体_GB2312" w:hAnsi="楷体_GB2312" w:cs="楷体_GB2312" w:hint="eastAsia"/>
                <w:b/>
                <w:sz w:val="24"/>
                <w:szCs w:val="24"/>
                <w:lang w:bidi="ar"/>
              </w:rPr>
              <w:t>审核重点</w:t>
            </w:r>
          </w:p>
        </w:tc>
      </w:tr>
      <w:tr w:rsidR="00A35CCD" w:rsidTr="0090423F">
        <w:trPr>
          <w:trHeight w:val="835"/>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1</w:t>
            </w:r>
          </w:p>
        </w:tc>
        <w:tc>
          <w:tcPr>
            <w:tcW w:w="1845" w:type="dxa"/>
            <w:vMerge w:val="restart"/>
            <w:tcBorders>
              <w:top w:val="nil"/>
              <w:left w:val="nil"/>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行政许可类决定</w:t>
            </w: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拟作出不予行政许可决定的</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草拟的不予行政许可决定书；行政许可建议及情况说明；行政许可申请材料；相关证据材料。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proofErr w:type="gramStart"/>
            <w:r>
              <w:rPr>
                <w:rFonts w:ascii="仿宋_GB2312" w:eastAsia="仿宋_GB2312" w:hAnsi="仿宋_GB2312" w:cs="仿宋_GB2312" w:hint="eastAsia"/>
                <w:sz w:val="22"/>
                <w:lang w:bidi="ar"/>
              </w:rPr>
              <w:t>作出</w:t>
            </w:r>
            <w:proofErr w:type="gramEnd"/>
            <w:r>
              <w:rPr>
                <w:rFonts w:ascii="仿宋_GB2312" w:eastAsia="仿宋_GB2312" w:hAnsi="仿宋_GB2312" w:cs="仿宋_GB2312" w:hint="eastAsia"/>
                <w:sz w:val="22"/>
                <w:lang w:bidi="ar"/>
              </w:rPr>
              <w:t>不予行政许可决定的依据是否准确，程序是否合法。</w:t>
            </w:r>
          </w:p>
        </w:tc>
      </w:tr>
      <w:tr w:rsidR="00A35CCD" w:rsidTr="0090423F">
        <w:trPr>
          <w:trHeight w:val="800"/>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2</w:t>
            </w:r>
          </w:p>
        </w:tc>
        <w:tc>
          <w:tcPr>
            <w:tcW w:w="1845" w:type="dxa"/>
            <w:vMerge/>
            <w:tcBorders>
              <w:top w:val="nil"/>
              <w:left w:val="nil"/>
              <w:bottom w:val="single" w:sz="8" w:space="0" w:color="auto"/>
              <w:right w:val="single" w:sz="8" w:space="0" w:color="auto"/>
            </w:tcBorders>
            <w:shd w:val="clear" w:color="auto" w:fill="auto"/>
            <w:vAlign w:val="center"/>
          </w:tcPr>
          <w:p w:rsidR="00A35CCD" w:rsidRDefault="00A35CCD" w:rsidP="00154741">
            <w:pPr>
              <w:jc w:val="center"/>
              <w:rPr>
                <w:rFonts w:ascii="仿宋_GB2312" w:eastAsia="仿宋_GB2312" w:hAnsi="仿宋_GB2312" w:cs="仿宋_GB2312"/>
                <w:sz w:val="28"/>
                <w:szCs w:val="28"/>
              </w:rPr>
            </w:pP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拟作出撤销行政许可决定的</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草拟的撤销行政许可决定书；行政许可建议及情况说明；行政许可申请材料；相关证据材料。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proofErr w:type="gramStart"/>
            <w:r>
              <w:rPr>
                <w:rFonts w:ascii="仿宋_GB2312" w:eastAsia="仿宋_GB2312" w:hAnsi="仿宋_GB2312" w:cs="仿宋_GB2312" w:hint="eastAsia"/>
                <w:sz w:val="22"/>
                <w:lang w:bidi="ar"/>
              </w:rPr>
              <w:t>作出</w:t>
            </w:r>
            <w:proofErr w:type="gramEnd"/>
            <w:r>
              <w:rPr>
                <w:rFonts w:ascii="仿宋_GB2312" w:eastAsia="仿宋_GB2312" w:hAnsi="仿宋_GB2312" w:cs="仿宋_GB2312" w:hint="eastAsia"/>
                <w:sz w:val="22"/>
                <w:lang w:bidi="ar"/>
              </w:rPr>
              <w:t>撤销行政许可决定的依据是否准确，程序是否合法。</w:t>
            </w:r>
          </w:p>
        </w:tc>
      </w:tr>
      <w:tr w:rsidR="00A35CCD" w:rsidTr="0090423F">
        <w:trPr>
          <w:trHeight w:val="1185"/>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3</w:t>
            </w:r>
          </w:p>
        </w:tc>
        <w:tc>
          <w:tcPr>
            <w:tcW w:w="1845" w:type="dxa"/>
            <w:vMerge/>
            <w:tcBorders>
              <w:top w:val="nil"/>
              <w:left w:val="nil"/>
              <w:bottom w:val="single" w:sz="8" w:space="0" w:color="auto"/>
              <w:right w:val="single" w:sz="8" w:space="0" w:color="auto"/>
            </w:tcBorders>
            <w:shd w:val="clear" w:color="auto" w:fill="auto"/>
            <w:vAlign w:val="center"/>
          </w:tcPr>
          <w:p w:rsidR="00A35CCD" w:rsidRDefault="00A35CCD" w:rsidP="00154741">
            <w:pPr>
              <w:jc w:val="center"/>
              <w:rPr>
                <w:rFonts w:ascii="仿宋_GB2312" w:eastAsia="仿宋_GB2312" w:hAnsi="仿宋_GB2312" w:cs="仿宋_GB2312"/>
                <w:sz w:val="28"/>
                <w:szCs w:val="28"/>
              </w:rPr>
            </w:pP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拟作出其他有重大影响的许可决定</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草拟的行政许可决定书；行政许可建议及情况说明；行政许可申请材料；相关证据材料。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行政执法主体是否合法，是否有超越本机关职权范围或滥用职权情形；</w:t>
            </w:r>
            <w:proofErr w:type="gramStart"/>
            <w:r>
              <w:rPr>
                <w:rFonts w:ascii="仿宋_GB2312" w:eastAsia="仿宋_GB2312" w:hAnsi="仿宋_GB2312" w:cs="仿宋_GB2312" w:hint="eastAsia"/>
                <w:sz w:val="22"/>
                <w:lang w:bidi="ar"/>
              </w:rPr>
              <w:t>作出</w:t>
            </w:r>
            <w:proofErr w:type="gramEnd"/>
            <w:r>
              <w:rPr>
                <w:rFonts w:ascii="仿宋_GB2312" w:eastAsia="仿宋_GB2312" w:hAnsi="仿宋_GB2312" w:cs="仿宋_GB2312" w:hint="eastAsia"/>
                <w:sz w:val="22"/>
                <w:lang w:bidi="ar"/>
              </w:rPr>
              <w:t>行政许可决定的依据是否准确；程序是否合法。</w:t>
            </w:r>
          </w:p>
        </w:tc>
      </w:tr>
      <w:tr w:rsidR="00A35CCD" w:rsidTr="0090423F">
        <w:trPr>
          <w:trHeight w:val="1865"/>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4</w:t>
            </w:r>
          </w:p>
        </w:tc>
        <w:tc>
          <w:tcPr>
            <w:tcW w:w="1845" w:type="dxa"/>
            <w:tcBorders>
              <w:top w:val="nil"/>
              <w:left w:val="nil"/>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行政处罚类决定</w:t>
            </w: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拟作出较大数额罚款的，具体为涉及文化、广电类的，非经营性2000元以上，经营性50000元以上；涉及文物类的，个人5000元以上，法人200000元以上，其他组织30000元以上；涉及旅游类的，个人10000元以上，组织100000元以上；涉及体育类的，个人5000元以上，组织50000元以上</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草拟的行政处罚决定书；行政处罚建议意见及情况说明；案件材料；其他需要提交的材料。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执法主体是否合法，执法人员是否具备执法资格；主要事实是否清楚，证据是否确凿、充分；适用依据是否准确；处罚裁量是否适当；程序是否合法，是否充分保障行政相对人权利。</w:t>
            </w:r>
          </w:p>
        </w:tc>
      </w:tr>
      <w:tr w:rsidR="00A35CCD" w:rsidTr="0090423F">
        <w:trPr>
          <w:trHeight w:val="1565"/>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lastRenderedPageBreak/>
              <w:t>5</w:t>
            </w:r>
          </w:p>
        </w:tc>
        <w:tc>
          <w:tcPr>
            <w:tcW w:w="1845" w:type="dxa"/>
            <w:vMerge w:val="restart"/>
            <w:tcBorders>
              <w:left w:val="nil"/>
              <w:right w:val="single" w:sz="8" w:space="0" w:color="auto"/>
            </w:tcBorders>
            <w:shd w:val="clear" w:color="auto" w:fill="auto"/>
            <w:vAlign w:val="center"/>
          </w:tcPr>
          <w:p w:rsidR="00A35CCD" w:rsidRDefault="00A35CCD" w:rsidP="00154741">
            <w:pPr>
              <w:jc w:val="center"/>
              <w:rPr>
                <w:rFonts w:ascii="仿宋_GB2312" w:eastAsia="仿宋_GB2312" w:hAnsi="仿宋_GB2312" w:cs="仿宋_GB2312"/>
                <w:sz w:val="28"/>
                <w:szCs w:val="28"/>
              </w:rPr>
            </w:pPr>
            <w:r>
              <w:rPr>
                <w:rFonts w:ascii="仿宋_GB2312" w:eastAsia="仿宋_GB2312" w:hAnsi="仿宋_GB2312" w:cs="仿宋_GB2312" w:hint="eastAsia"/>
                <w:sz w:val="22"/>
                <w:lang w:bidi="ar"/>
              </w:rPr>
              <w:t>行政处罚类决定</w:t>
            </w: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拟作出没收违法所得或没收非法财物价值相当于前款规定数额的行政处罚决定</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草拟的行政处罚决定书；行政处罚建议意见及情况说明；案件材料；其他需要提交的材料。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执法主体是否合法，执法人员是否具备执法资格；主要事实是否清楚，证据是否确凿、充分；适用依据是否准确；裁量是否适当；程序是否合法，是否充分保障行政相对人权利。</w:t>
            </w:r>
          </w:p>
        </w:tc>
      </w:tr>
      <w:tr w:rsidR="00A35CCD" w:rsidTr="0090423F">
        <w:trPr>
          <w:trHeight w:val="1610"/>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6</w:t>
            </w:r>
          </w:p>
        </w:tc>
        <w:tc>
          <w:tcPr>
            <w:tcW w:w="1845" w:type="dxa"/>
            <w:vMerge/>
            <w:tcBorders>
              <w:left w:val="nil"/>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拟作出责令停产、停业决定的</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草拟的行政处罚决定书；行政处罚建议意见及情况说明；案件材料；其他需要提交的材料。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执法主体是否合法，执法人员是否具备执法资格；主要事实是否清楚，证据是否确凿、充分；适用依据是否准确；裁量是否适当；程序是否合法，是否充分保障行政相对人权利。</w:t>
            </w:r>
          </w:p>
        </w:tc>
      </w:tr>
      <w:tr w:rsidR="00A35CCD" w:rsidTr="0090423F">
        <w:trPr>
          <w:trHeight w:val="1630"/>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7</w:t>
            </w:r>
          </w:p>
        </w:tc>
        <w:tc>
          <w:tcPr>
            <w:tcW w:w="1845" w:type="dxa"/>
            <w:vMerge/>
            <w:tcBorders>
              <w:left w:val="nil"/>
              <w:right w:val="single" w:sz="8" w:space="0" w:color="auto"/>
            </w:tcBorders>
            <w:shd w:val="clear" w:color="auto" w:fill="auto"/>
            <w:vAlign w:val="center"/>
          </w:tcPr>
          <w:p w:rsidR="00A35CCD" w:rsidRDefault="00A35CCD" w:rsidP="00154741">
            <w:pPr>
              <w:jc w:val="center"/>
              <w:rPr>
                <w:rFonts w:ascii="仿宋_GB2312" w:eastAsia="仿宋_GB2312" w:hAnsi="仿宋_GB2312" w:cs="仿宋_GB2312"/>
                <w:sz w:val="28"/>
                <w:szCs w:val="28"/>
              </w:rPr>
            </w:pP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拟作</w:t>
            </w:r>
            <w:proofErr w:type="gramStart"/>
            <w:r>
              <w:rPr>
                <w:rFonts w:ascii="仿宋_GB2312" w:eastAsia="仿宋_GB2312" w:hAnsi="仿宋_GB2312" w:cs="仿宋_GB2312" w:hint="eastAsia"/>
                <w:sz w:val="22"/>
                <w:lang w:bidi="ar"/>
              </w:rPr>
              <w:t>出给予</w:t>
            </w:r>
            <w:proofErr w:type="gramEnd"/>
            <w:r>
              <w:rPr>
                <w:rFonts w:ascii="仿宋_GB2312" w:eastAsia="仿宋_GB2312" w:hAnsi="仿宋_GB2312" w:cs="仿宋_GB2312" w:hint="eastAsia"/>
                <w:sz w:val="22"/>
                <w:lang w:bidi="ar"/>
              </w:rPr>
              <w:t>吊销许可证决定的</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草拟的行政处罚决定书；行政处罚建议意见及情况说明；案件材料；其他需要提交的材料。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执法主体是否合法，执法人员是否具备执法资格；主要事实是否清楚，证据是否确凿、充分；适用依据是否准确；裁量是否适当；程序是否合法，是否充分保障行政相对人权利。</w:t>
            </w:r>
          </w:p>
        </w:tc>
      </w:tr>
      <w:tr w:rsidR="00A35CCD" w:rsidTr="0090423F">
        <w:trPr>
          <w:trHeight w:val="2075"/>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8</w:t>
            </w:r>
          </w:p>
        </w:tc>
        <w:tc>
          <w:tcPr>
            <w:tcW w:w="1845" w:type="dxa"/>
            <w:vMerge/>
            <w:tcBorders>
              <w:left w:val="nil"/>
              <w:right w:val="single" w:sz="8" w:space="0" w:color="auto"/>
            </w:tcBorders>
            <w:shd w:val="clear" w:color="auto" w:fill="auto"/>
            <w:vAlign w:val="center"/>
          </w:tcPr>
          <w:p w:rsidR="00A35CCD" w:rsidRDefault="00A35CCD" w:rsidP="00154741">
            <w:pPr>
              <w:jc w:val="center"/>
              <w:rPr>
                <w:rFonts w:ascii="仿宋_GB2312" w:eastAsia="仿宋_GB2312" w:hAnsi="仿宋_GB2312" w:cs="仿宋_GB2312"/>
                <w:sz w:val="28"/>
                <w:szCs w:val="28"/>
              </w:rPr>
            </w:pP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超出自由裁量权标准，拟作出减轻处罚的，或拟作出不予行政处罚决定的</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草拟的行政处罚决定书；行政处罚建议意见及情况说明；案件材料；其他需要提交的材料。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执法主体是否合法，执法人员是否具备执法资格；主要事实是否清楚，证据是否确凿、充分；适用依据是否准确；</w:t>
            </w:r>
            <w:proofErr w:type="gramStart"/>
            <w:r>
              <w:rPr>
                <w:rFonts w:ascii="仿宋_GB2312" w:eastAsia="仿宋_GB2312" w:hAnsi="仿宋_GB2312" w:cs="仿宋_GB2312" w:hint="eastAsia"/>
                <w:sz w:val="22"/>
                <w:lang w:bidi="ar"/>
              </w:rPr>
              <w:t>作出</w:t>
            </w:r>
            <w:proofErr w:type="gramEnd"/>
            <w:r>
              <w:rPr>
                <w:rFonts w:ascii="仿宋_GB2312" w:eastAsia="仿宋_GB2312" w:hAnsi="仿宋_GB2312" w:cs="仿宋_GB2312" w:hint="eastAsia"/>
                <w:sz w:val="22"/>
                <w:lang w:bidi="ar"/>
              </w:rPr>
              <w:t>减轻处罚的事实、证据、依据是否清楚、确凿、适当；程序是否合法，是否充分保障行政相对人权利。</w:t>
            </w:r>
          </w:p>
        </w:tc>
      </w:tr>
      <w:tr w:rsidR="00A35CCD" w:rsidTr="0090423F">
        <w:trPr>
          <w:trHeight w:val="1625"/>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lastRenderedPageBreak/>
              <w:t>9</w:t>
            </w:r>
          </w:p>
        </w:tc>
        <w:tc>
          <w:tcPr>
            <w:tcW w:w="1845" w:type="dxa"/>
            <w:tcBorders>
              <w:left w:val="nil"/>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行政处罚类决定</w:t>
            </w: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案件承办机构负责人认为应当提请法制审核的其他重大、复杂、疑难的行政处罚决定。</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草拟的行政处罚决定书；行政处罚建议意见及情况说明；案件材料；其他需要提交的材料。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执法主体是否合法，执法人员是否具备执法资格；主要事实是否清楚，证据是否确凿、充分；适用依据是否准确；裁量是否适当；程序是否合法，是否充分保障行政相对人权利。</w:t>
            </w:r>
          </w:p>
        </w:tc>
      </w:tr>
      <w:tr w:rsidR="00A35CCD" w:rsidTr="0090423F">
        <w:trPr>
          <w:trHeight w:val="1670"/>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10</w:t>
            </w:r>
          </w:p>
        </w:tc>
        <w:tc>
          <w:tcPr>
            <w:tcW w:w="1845" w:type="dxa"/>
            <w:vMerge w:val="restart"/>
            <w:tcBorders>
              <w:top w:val="nil"/>
              <w:left w:val="nil"/>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行政强制类决定</w:t>
            </w: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拟作出查封、扣押的</w:t>
            </w:r>
            <w:r>
              <w:rPr>
                <w:rFonts w:ascii="仿宋_GB2312" w:eastAsia="仿宋_GB2312" w:hAnsi="仿宋_GB2312" w:cs="仿宋_GB2312" w:hint="eastAsia"/>
                <w:color w:val="000000" w:themeColor="text1"/>
                <w:sz w:val="22"/>
                <w:lang w:bidi="ar"/>
              </w:rPr>
              <w:t>财物价值在 50000元以上的、划拨质保金在100000元以上的</w:t>
            </w:r>
            <w:r>
              <w:rPr>
                <w:rFonts w:ascii="仿宋_GB2312" w:eastAsia="仿宋_GB2312" w:hAnsi="仿宋_GB2312" w:cs="仿宋_GB2312" w:hint="eastAsia"/>
                <w:sz w:val="22"/>
                <w:lang w:bidi="ar"/>
              </w:rPr>
              <w:t>行政强制决定的</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财物查封、扣押及质保金划拨审批表；查封、扣押、划拨决定书；查封、扣押现场笔录等相关证据资料。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执法主体是否合法、执法人员是否具备执法资格；主要事实是否清楚，证据是否确凿、充分；适用依据是否准确；封存、划拨的必要性是否适当；程序是否合法，是否充分保障行政相对人权利。</w:t>
            </w:r>
          </w:p>
        </w:tc>
      </w:tr>
      <w:tr w:rsidR="00A35CCD" w:rsidTr="0090423F">
        <w:trPr>
          <w:trHeight w:val="1930"/>
        </w:trPr>
        <w:tc>
          <w:tcPr>
            <w:tcW w:w="705" w:type="dxa"/>
            <w:tcBorders>
              <w:top w:val="nil"/>
              <w:left w:val="single" w:sz="8" w:space="0" w:color="auto"/>
              <w:bottom w:val="single" w:sz="8" w:space="0" w:color="auto"/>
              <w:right w:val="single" w:sz="8" w:space="0" w:color="auto"/>
            </w:tcBorders>
            <w:shd w:val="clear" w:color="auto" w:fill="auto"/>
            <w:vAlign w:val="center"/>
          </w:tcPr>
          <w:p w:rsidR="00A35CCD" w:rsidRDefault="00A35CCD" w:rsidP="00154741">
            <w:pPr>
              <w:widowControl/>
              <w:spacing w:beforeAutospacing="1" w:afterAutospacing="1"/>
              <w:jc w:val="center"/>
              <w:rPr>
                <w:rFonts w:ascii="仿宋_GB2312" w:eastAsia="仿宋_GB2312" w:hAnsi="仿宋_GB2312" w:cs="仿宋_GB2312"/>
                <w:sz w:val="22"/>
                <w:szCs w:val="24"/>
              </w:rPr>
            </w:pPr>
            <w:r>
              <w:rPr>
                <w:rFonts w:ascii="仿宋_GB2312" w:eastAsia="仿宋_GB2312" w:hAnsi="仿宋_GB2312" w:cs="仿宋_GB2312" w:hint="eastAsia"/>
                <w:sz w:val="22"/>
                <w:lang w:bidi="ar"/>
              </w:rPr>
              <w:t>11</w:t>
            </w:r>
          </w:p>
        </w:tc>
        <w:tc>
          <w:tcPr>
            <w:tcW w:w="1845" w:type="dxa"/>
            <w:vMerge/>
            <w:tcBorders>
              <w:top w:val="nil"/>
              <w:left w:val="nil"/>
              <w:bottom w:val="single" w:sz="8" w:space="0" w:color="auto"/>
              <w:right w:val="single" w:sz="8" w:space="0" w:color="auto"/>
            </w:tcBorders>
            <w:shd w:val="clear" w:color="auto" w:fill="auto"/>
            <w:vAlign w:val="center"/>
          </w:tcPr>
          <w:p w:rsidR="00A35CCD" w:rsidRDefault="00A35CCD" w:rsidP="00154741">
            <w:pPr>
              <w:jc w:val="center"/>
              <w:rPr>
                <w:rFonts w:ascii="仿宋_GB2312" w:eastAsia="仿宋_GB2312" w:hAnsi="仿宋_GB2312" w:cs="仿宋_GB2312"/>
                <w:sz w:val="28"/>
                <w:szCs w:val="28"/>
              </w:rPr>
            </w:pPr>
          </w:p>
        </w:tc>
        <w:tc>
          <w:tcPr>
            <w:tcW w:w="310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拟申请人民法院强制执行的</w:t>
            </w:r>
          </w:p>
        </w:tc>
        <w:tc>
          <w:tcPr>
            <w:tcW w:w="4545"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行政强制催告书，行政强制审批表，草拟的行政强制决定</w:t>
            </w:r>
            <w:proofErr w:type="gramStart"/>
            <w:r>
              <w:rPr>
                <w:rFonts w:ascii="仿宋_GB2312" w:eastAsia="仿宋_GB2312" w:hAnsi="仿宋_GB2312" w:cs="仿宋_GB2312" w:hint="eastAsia"/>
                <w:sz w:val="22"/>
                <w:lang w:bidi="ar"/>
              </w:rPr>
              <w:t>书情况</w:t>
            </w:r>
            <w:proofErr w:type="gramEnd"/>
            <w:r>
              <w:rPr>
                <w:rFonts w:ascii="仿宋_GB2312" w:eastAsia="仿宋_GB2312" w:hAnsi="仿宋_GB2312" w:cs="仿宋_GB2312" w:hint="eastAsia"/>
                <w:sz w:val="22"/>
                <w:lang w:bidi="ar"/>
              </w:rPr>
              <w:t>说明及相关证据材料。</w:t>
            </w:r>
          </w:p>
        </w:tc>
        <w:tc>
          <w:tcPr>
            <w:tcW w:w="3974" w:type="dxa"/>
            <w:tcBorders>
              <w:top w:val="nil"/>
              <w:left w:val="nil"/>
              <w:bottom w:val="single" w:sz="8" w:space="0" w:color="auto"/>
              <w:right w:val="single" w:sz="8" w:space="0" w:color="auto"/>
            </w:tcBorders>
            <w:shd w:val="clear" w:color="auto" w:fill="auto"/>
            <w:vAlign w:val="center"/>
          </w:tcPr>
          <w:p w:rsidR="00A35CCD" w:rsidRDefault="00A35CCD" w:rsidP="0090423F">
            <w:pPr>
              <w:widowControl/>
              <w:spacing w:beforeAutospacing="1" w:afterAutospacing="1"/>
              <w:rPr>
                <w:rFonts w:ascii="仿宋_GB2312" w:eastAsia="仿宋_GB2312" w:hAnsi="仿宋_GB2312" w:cs="仿宋_GB2312"/>
                <w:sz w:val="22"/>
                <w:szCs w:val="24"/>
              </w:rPr>
            </w:pPr>
            <w:r>
              <w:rPr>
                <w:rFonts w:ascii="仿宋_GB2312" w:eastAsia="仿宋_GB2312" w:hAnsi="仿宋_GB2312" w:cs="仿宋_GB2312" w:hint="eastAsia"/>
                <w:sz w:val="22"/>
                <w:lang w:bidi="ar"/>
              </w:rPr>
              <w:t>执法主体是否合法、执法人员是否具备执法资格；催告书是否送达；主要事实是否清楚，证据是否确凿、充分；适用依据是否准确；处罚裁量是否适当；程序是否合法，是否充分保障行政相对人权利。</w:t>
            </w:r>
          </w:p>
        </w:tc>
      </w:tr>
    </w:tbl>
    <w:p w:rsidR="00A35CCD" w:rsidRDefault="00A35CCD" w:rsidP="00A35CCD">
      <w:pPr>
        <w:spacing w:line="600" w:lineRule="exact"/>
        <w:rPr>
          <w:rFonts w:ascii="仿宋_GB2312" w:eastAsia="仿宋_GB2312"/>
          <w:sz w:val="32"/>
          <w:szCs w:val="32"/>
        </w:rPr>
      </w:pPr>
    </w:p>
    <w:p w:rsidR="00A35CCD" w:rsidRDefault="00A35CCD" w:rsidP="00A35CCD">
      <w:pPr>
        <w:spacing w:line="600" w:lineRule="exact"/>
        <w:rPr>
          <w:rFonts w:ascii="仿宋_GB2312" w:eastAsia="仿宋_GB2312"/>
          <w:sz w:val="32"/>
          <w:szCs w:val="32"/>
        </w:rPr>
      </w:pPr>
    </w:p>
    <w:p w:rsidR="00A35CCD" w:rsidRDefault="00A35CCD" w:rsidP="00A35CCD">
      <w:pPr>
        <w:spacing w:line="600" w:lineRule="exact"/>
        <w:rPr>
          <w:rFonts w:ascii="仿宋_GB2312" w:eastAsia="仿宋_GB2312"/>
          <w:sz w:val="32"/>
          <w:szCs w:val="32"/>
        </w:rPr>
        <w:sectPr w:rsidR="00A35CCD" w:rsidSect="00A35CCD">
          <w:pgSz w:w="16838" w:h="11906" w:orient="landscape"/>
          <w:pgMar w:top="1803" w:right="1440" w:bottom="1803" w:left="1440" w:header="851" w:footer="992" w:gutter="0"/>
          <w:cols w:space="0"/>
          <w:docGrid w:type="linesAndChars" w:linePitch="319"/>
        </w:sectPr>
      </w:pPr>
    </w:p>
    <w:p w:rsidR="00A35CCD" w:rsidRDefault="00A35CCD" w:rsidP="00A35CCD">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附件2</w:t>
      </w:r>
    </w:p>
    <w:p w:rsidR="00A35CCD" w:rsidRDefault="00A35CCD" w:rsidP="00A35CCD">
      <w:pPr>
        <w:spacing w:line="560" w:lineRule="exact"/>
        <w:jc w:val="center"/>
        <w:rPr>
          <w:rFonts w:ascii="方正小标宋简体" w:eastAsia="方正小标宋简体" w:hAnsi="方正小标宋简体" w:cs="方正小标宋简体"/>
          <w:sz w:val="36"/>
          <w:szCs w:val="36"/>
        </w:rPr>
      </w:pPr>
      <w:r w:rsidRPr="000C7761">
        <w:rPr>
          <w:rFonts w:ascii="方正小标宋简体" w:eastAsia="方正小标宋简体" w:hAnsi="方正小标宋简体" w:cs="方正小标宋简体" w:hint="eastAsia"/>
          <w:sz w:val="36"/>
          <w:szCs w:val="36"/>
        </w:rPr>
        <w:t>丽水</w:t>
      </w:r>
      <w:r>
        <w:rPr>
          <w:rFonts w:ascii="方正小标宋简体" w:eastAsia="方正小标宋简体" w:hAnsi="方正小标宋简体" w:cs="方正小标宋简体" w:hint="eastAsia"/>
          <w:sz w:val="36"/>
          <w:szCs w:val="36"/>
        </w:rPr>
        <w:t>市文化和广电旅游体育局</w:t>
      </w:r>
    </w:p>
    <w:p w:rsidR="00A35CCD" w:rsidRDefault="00A35CCD" w:rsidP="00A35CCD">
      <w:pPr>
        <w:spacing w:line="560" w:lineRule="exact"/>
        <w:jc w:val="center"/>
        <w:rPr>
          <w:rFonts w:ascii="仿宋_GB2312" w:eastAsia="仿宋_GB2312"/>
          <w:sz w:val="28"/>
          <w:szCs w:val="28"/>
        </w:rPr>
      </w:pPr>
      <w:r>
        <w:rPr>
          <w:rFonts w:ascii="方正小标宋简体" w:eastAsia="方正小标宋简体" w:hAnsi="方正小标宋简体" w:cs="方正小标宋简体" w:hint="eastAsia"/>
          <w:sz w:val="36"/>
          <w:szCs w:val="36"/>
        </w:rPr>
        <w:t>重大行政执法决定法制审核工作流程图</w:t>
      </w:r>
    </w:p>
    <w:p w:rsidR="00FD0D33" w:rsidRDefault="00FD0D33" w:rsidP="00A35CCD">
      <w:pPr>
        <w:spacing w:line="600" w:lineRule="exact"/>
        <w:rPr>
          <w:rFonts w:ascii="黑体" w:eastAsia="黑体" w:hAnsi="黑体" w:cs="黑体"/>
          <w:sz w:val="32"/>
          <w:szCs w:val="32"/>
        </w:rPr>
      </w:pPr>
      <w:r>
        <w:rPr>
          <w:rFonts w:ascii="黑体" w:eastAsia="黑体" w:hAnsi="黑体" w:cs="黑体" w:hint="eastAsia"/>
          <w:noProof/>
          <w:sz w:val="32"/>
          <w:szCs w:val="32"/>
        </w:rPr>
        <w:drawing>
          <wp:anchor distT="0" distB="0" distL="114300" distR="114300" simplePos="0" relativeHeight="251661312" behindDoc="1" locked="0" layoutInCell="1" allowOverlap="1" wp14:anchorId="32A14500" wp14:editId="6FE0E225">
            <wp:simplePos x="0" y="0"/>
            <wp:positionH relativeFrom="column">
              <wp:posOffset>397510</wp:posOffset>
            </wp:positionH>
            <wp:positionV relativeFrom="paragraph">
              <wp:posOffset>299720</wp:posOffset>
            </wp:positionV>
            <wp:extent cx="4406900" cy="7273925"/>
            <wp:effectExtent l="0" t="0" r="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8">
                      <a:extLst>
                        <a:ext uri="{28A0092B-C50C-407E-A947-70E740481C1C}">
                          <a14:useLocalDpi xmlns:a14="http://schemas.microsoft.com/office/drawing/2010/main" val="0"/>
                        </a:ext>
                      </a:extLst>
                    </a:blip>
                    <a:stretch>
                      <a:fillRect/>
                    </a:stretch>
                  </pic:blipFill>
                  <pic:spPr>
                    <a:xfrm>
                      <a:off x="0" y="0"/>
                      <a:ext cx="4406900" cy="7273925"/>
                    </a:xfrm>
                    <a:prstGeom prst="rect">
                      <a:avLst/>
                    </a:prstGeom>
                  </pic:spPr>
                </pic:pic>
              </a:graphicData>
            </a:graphic>
            <wp14:sizeRelH relativeFrom="page">
              <wp14:pctWidth>0</wp14:pctWidth>
            </wp14:sizeRelH>
            <wp14:sizeRelV relativeFrom="page">
              <wp14:pctHeight>0</wp14:pctHeight>
            </wp14:sizeRelV>
          </wp:anchor>
        </w:drawing>
      </w: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p w:rsidR="00FD0D33" w:rsidRDefault="00FD0D33" w:rsidP="00A35CCD">
      <w:pPr>
        <w:spacing w:line="600" w:lineRule="exact"/>
        <w:rPr>
          <w:rFonts w:ascii="黑体" w:eastAsia="黑体" w:hAnsi="黑体" w:cs="黑体"/>
          <w:sz w:val="32"/>
          <w:szCs w:val="32"/>
        </w:rPr>
      </w:pPr>
    </w:p>
    <w:sectPr w:rsidR="00FD0D33" w:rsidSect="00A35CCD">
      <w:footerReference w:type="default" r:id="rId9"/>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35" w:rsidRDefault="00CE1F35">
      <w:r>
        <w:separator/>
      </w:r>
    </w:p>
  </w:endnote>
  <w:endnote w:type="continuationSeparator" w:id="0">
    <w:p w:rsidR="00CE1F35" w:rsidRDefault="00CE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D2" w:rsidRPr="00FD0D33" w:rsidRDefault="002B3D85">
    <w:pPr>
      <w:pStyle w:val="a4"/>
      <w:framePr w:wrap="around" w:vAnchor="text" w:hAnchor="margin" w:xAlign="center" w:y="1"/>
      <w:jc w:val="center"/>
      <w:rPr>
        <w:rStyle w:val="a6"/>
        <w:rFonts w:eastAsia="宋体"/>
        <w:sz w:val="21"/>
        <w:szCs w:val="21"/>
      </w:rPr>
    </w:pPr>
    <w:r w:rsidRPr="00FD0D33">
      <w:rPr>
        <w:rFonts w:hint="eastAsia"/>
        <w:sz w:val="21"/>
        <w:szCs w:val="21"/>
      </w:rPr>
      <w:t xml:space="preserve">— </w:t>
    </w:r>
    <w:r w:rsidRPr="00FD0D33">
      <w:rPr>
        <w:sz w:val="21"/>
        <w:szCs w:val="21"/>
      </w:rPr>
      <w:fldChar w:fldCharType="begin"/>
    </w:r>
    <w:r w:rsidRPr="00FD0D33">
      <w:rPr>
        <w:rStyle w:val="a6"/>
        <w:sz w:val="21"/>
        <w:szCs w:val="21"/>
      </w:rPr>
      <w:instrText xml:space="preserve">PAGE  </w:instrText>
    </w:r>
    <w:r w:rsidRPr="00FD0D33">
      <w:rPr>
        <w:sz w:val="21"/>
        <w:szCs w:val="21"/>
      </w:rPr>
      <w:fldChar w:fldCharType="separate"/>
    </w:r>
    <w:r w:rsidR="0090423F">
      <w:rPr>
        <w:rStyle w:val="a6"/>
        <w:noProof/>
        <w:sz w:val="21"/>
        <w:szCs w:val="21"/>
      </w:rPr>
      <w:t>7</w:t>
    </w:r>
    <w:r w:rsidRPr="00FD0D33">
      <w:rPr>
        <w:sz w:val="21"/>
        <w:szCs w:val="21"/>
      </w:rPr>
      <w:fldChar w:fldCharType="end"/>
    </w:r>
    <w:r w:rsidRPr="00FD0D33">
      <w:rPr>
        <w:rFonts w:hint="eastAsia"/>
        <w:sz w:val="21"/>
        <w:szCs w:val="21"/>
      </w:rPr>
      <w:t xml:space="preserve"> —</w:t>
    </w:r>
  </w:p>
  <w:p w:rsidR="00A521D2" w:rsidRDefault="00A521D2">
    <w:pPr>
      <w:pStyle w:val="a4"/>
      <w:framePr w:wrap="around" w:vAnchor="text" w:hAnchor="margin" w:xAlign="center" w:y="1"/>
      <w:rPr>
        <w:rStyle w:val="a6"/>
        <w:sz w:val="24"/>
        <w:szCs w:val="24"/>
      </w:rPr>
    </w:pPr>
  </w:p>
  <w:p w:rsidR="00A521D2" w:rsidRDefault="00A521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35" w:rsidRDefault="00CE1F35">
      <w:r>
        <w:separator/>
      </w:r>
    </w:p>
  </w:footnote>
  <w:footnote w:type="continuationSeparator" w:id="0">
    <w:p w:rsidR="00CE1F35" w:rsidRDefault="00CE1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319"/>
  <w:displayHorizontalDrawingGridEvery w:val="0"/>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6B"/>
    <w:rsid w:val="00034C19"/>
    <w:rsid w:val="00055BD0"/>
    <w:rsid w:val="00090D7A"/>
    <w:rsid w:val="00097260"/>
    <w:rsid w:val="0011333B"/>
    <w:rsid w:val="001923CC"/>
    <w:rsid w:val="00202955"/>
    <w:rsid w:val="002B3D85"/>
    <w:rsid w:val="004332B8"/>
    <w:rsid w:val="004E2EC5"/>
    <w:rsid w:val="00526642"/>
    <w:rsid w:val="0058066B"/>
    <w:rsid w:val="005F0DEB"/>
    <w:rsid w:val="005F7468"/>
    <w:rsid w:val="006B396C"/>
    <w:rsid w:val="007A1FE1"/>
    <w:rsid w:val="007D58C7"/>
    <w:rsid w:val="0090423F"/>
    <w:rsid w:val="00906142"/>
    <w:rsid w:val="00954DA9"/>
    <w:rsid w:val="00967EFA"/>
    <w:rsid w:val="009D7AAA"/>
    <w:rsid w:val="00A0793F"/>
    <w:rsid w:val="00A35CCD"/>
    <w:rsid w:val="00A521D2"/>
    <w:rsid w:val="00B04AD5"/>
    <w:rsid w:val="00B40492"/>
    <w:rsid w:val="00BC5FF5"/>
    <w:rsid w:val="00BD1D7A"/>
    <w:rsid w:val="00BE4413"/>
    <w:rsid w:val="00CE1F35"/>
    <w:rsid w:val="00E64C3C"/>
    <w:rsid w:val="00EE03D6"/>
    <w:rsid w:val="00EF4BB6"/>
    <w:rsid w:val="00FB6253"/>
    <w:rsid w:val="00FD0D33"/>
    <w:rsid w:val="31E46F8B"/>
    <w:rsid w:val="43865C48"/>
    <w:rsid w:val="6D0572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pPr>
      <w:spacing w:after="120" w:line="480" w:lineRule="auto"/>
    </w:pPr>
    <w:rPr>
      <w:rFonts w:ascii="Times New Roman" w:eastAsia="宋体" w:hAnsi="Times New Roman"/>
      <w:szCs w:val="20"/>
    </w:rPr>
  </w:style>
  <w:style w:type="character" w:styleId="a6">
    <w:name w:val="page number"/>
    <w:semiHidden/>
    <w:unhideWhenUsed/>
  </w:style>
  <w:style w:type="paragraph" w:customStyle="1" w:styleId="1">
    <w:name w:val="列表段落1"/>
    <w:basedOn w:val="a"/>
    <w:pPr>
      <w:ind w:firstLineChars="200" w:firstLine="420"/>
    </w:pPr>
  </w:style>
  <w:style w:type="character" w:customStyle="1" w:styleId="Char1">
    <w:name w:val="页眉 Char"/>
    <w:link w:val="a5"/>
    <w:semiHidden/>
    <w:rPr>
      <w:sz w:val="18"/>
      <w:szCs w:val="18"/>
    </w:rPr>
  </w:style>
  <w:style w:type="character" w:customStyle="1" w:styleId="Char0">
    <w:name w:val="页脚 Char"/>
    <w:link w:val="a4"/>
    <w:semiHidden/>
    <w:rPr>
      <w:sz w:val="18"/>
      <w:szCs w:val="18"/>
    </w:rPr>
  </w:style>
  <w:style w:type="character" w:customStyle="1" w:styleId="20">
    <w:name w:val="正文文本 2 字符"/>
    <w:uiPriority w:val="99"/>
    <w:semiHidden/>
    <w:rPr>
      <w:rFonts w:ascii="等线" w:eastAsia="等线" w:hAnsi="等线"/>
      <w:kern w:val="2"/>
      <w:sz w:val="21"/>
      <w:szCs w:val="22"/>
    </w:rPr>
  </w:style>
  <w:style w:type="character" w:customStyle="1" w:styleId="2Char">
    <w:name w:val="正文文本 2 Char"/>
    <w:link w:val="2"/>
    <w:uiPriority w:val="99"/>
    <w:rPr>
      <w:kern w:val="2"/>
      <w:sz w:val="21"/>
    </w:rPr>
  </w:style>
  <w:style w:type="character" w:customStyle="1" w:styleId="Char">
    <w:name w:val="日期 Char"/>
    <w:basedOn w:val="a0"/>
    <w:link w:val="a3"/>
    <w:uiPriority w:val="99"/>
    <w:semiHidden/>
    <w:rPr>
      <w:rFonts w:ascii="等线" w:eastAsia="等线" w:hAnsi="等线"/>
      <w:kern w:val="2"/>
      <w:sz w:val="21"/>
      <w:szCs w:val="22"/>
    </w:rPr>
  </w:style>
  <w:style w:type="paragraph" w:styleId="a7">
    <w:name w:val="Balloon Text"/>
    <w:basedOn w:val="a"/>
    <w:link w:val="Char2"/>
    <w:uiPriority w:val="99"/>
    <w:semiHidden/>
    <w:unhideWhenUsed/>
    <w:rsid w:val="00FD0D33"/>
    <w:rPr>
      <w:sz w:val="18"/>
      <w:szCs w:val="18"/>
    </w:rPr>
  </w:style>
  <w:style w:type="character" w:customStyle="1" w:styleId="Char2">
    <w:name w:val="批注框文本 Char"/>
    <w:basedOn w:val="a0"/>
    <w:link w:val="a7"/>
    <w:uiPriority w:val="99"/>
    <w:semiHidden/>
    <w:rsid w:val="00FD0D33"/>
    <w:rPr>
      <w:rFonts w:ascii="等线" w:eastAsia="等线" w:hAnsi="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pPr>
      <w:spacing w:after="120" w:line="480" w:lineRule="auto"/>
    </w:pPr>
    <w:rPr>
      <w:rFonts w:ascii="Times New Roman" w:eastAsia="宋体" w:hAnsi="Times New Roman"/>
      <w:szCs w:val="20"/>
    </w:rPr>
  </w:style>
  <w:style w:type="character" w:styleId="a6">
    <w:name w:val="page number"/>
    <w:semiHidden/>
    <w:unhideWhenUsed/>
  </w:style>
  <w:style w:type="paragraph" w:customStyle="1" w:styleId="1">
    <w:name w:val="列表段落1"/>
    <w:basedOn w:val="a"/>
    <w:pPr>
      <w:ind w:firstLineChars="200" w:firstLine="420"/>
    </w:pPr>
  </w:style>
  <w:style w:type="character" w:customStyle="1" w:styleId="Char1">
    <w:name w:val="页眉 Char"/>
    <w:link w:val="a5"/>
    <w:semiHidden/>
    <w:rPr>
      <w:sz w:val="18"/>
      <w:szCs w:val="18"/>
    </w:rPr>
  </w:style>
  <w:style w:type="character" w:customStyle="1" w:styleId="Char0">
    <w:name w:val="页脚 Char"/>
    <w:link w:val="a4"/>
    <w:semiHidden/>
    <w:rPr>
      <w:sz w:val="18"/>
      <w:szCs w:val="18"/>
    </w:rPr>
  </w:style>
  <w:style w:type="character" w:customStyle="1" w:styleId="20">
    <w:name w:val="正文文本 2 字符"/>
    <w:uiPriority w:val="99"/>
    <w:semiHidden/>
    <w:rPr>
      <w:rFonts w:ascii="等线" w:eastAsia="等线" w:hAnsi="等线"/>
      <w:kern w:val="2"/>
      <w:sz w:val="21"/>
      <w:szCs w:val="22"/>
    </w:rPr>
  </w:style>
  <w:style w:type="character" w:customStyle="1" w:styleId="2Char">
    <w:name w:val="正文文本 2 Char"/>
    <w:link w:val="2"/>
    <w:uiPriority w:val="99"/>
    <w:rPr>
      <w:kern w:val="2"/>
      <w:sz w:val="21"/>
    </w:rPr>
  </w:style>
  <w:style w:type="character" w:customStyle="1" w:styleId="Char">
    <w:name w:val="日期 Char"/>
    <w:basedOn w:val="a0"/>
    <w:link w:val="a3"/>
    <w:uiPriority w:val="99"/>
    <w:semiHidden/>
    <w:rPr>
      <w:rFonts w:ascii="等线" w:eastAsia="等线" w:hAnsi="等线"/>
      <w:kern w:val="2"/>
      <w:sz w:val="21"/>
      <w:szCs w:val="22"/>
    </w:rPr>
  </w:style>
  <w:style w:type="paragraph" w:styleId="a7">
    <w:name w:val="Balloon Text"/>
    <w:basedOn w:val="a"/>
    <w:link w:val="Char2"/>
    <w:uiPriority w:val="99"/>
    <w:semiHidden/>
    <w:unhideWhenUsed/>
    <w:rsid w:val="00FD0D33"/>
    <w:rPr>
      <w:sz w:val="18"/>
      <w:szCs w:val="18"/>
    </w:rPr>
  </w:style>
  <w:style w:type="character" w:customStyle="1" w:styleId="Char2">
    <w:name w:val="批注框文本 Char"/>
    <w:basedOn w:val="a0"/>
    <w:link w:val="a7"/>
    <w:uiPriority w:val="99"/>
    <w:semiHidden/>
    <w:rsid w:val="00FD0D33"/>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dc:title>
  <dc:creator>Amo</dc:creator>
  <cp:lastModifiedBy>杜依蔓</cp:lastModifiedBy>
  <cp:revision>21</cp:revision>
  <cp:lastPrinted>2019-09-08T00:41:00Z</cp:lastPrinted>
  <dcterms:created xsi:type="dcterms:W3CDTF">2019-08-07T01:00:00Z</dcterms:created>
  <dcterms:modified xsi:type="dcterms:W3CDTF">2020-09-20T10:01:00Z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