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丽水市绿色建筑和建筑工业化项目建设实施细则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bCs/>
          <w:i w:val="0"/>
          <w:iCs w:val="0"/>
          <w:caps w:val="0"/>
          <w:color w:val="333333"/>
          <w:spacing w:val="0"/>
          <w:sz w:val="32"/>
          <w:szCs w:val="32"/>
          <w:lang w:val="en-US" w:eastAsia="zh-CN"/>
        </w:rPr>
      </w:pPr>
      <w:r>
        <w:rPr>
          <w:rFonts w:hint="eastAsia" w:ascii="仿宋_GB2312" w:hAnsi="仿宋_GB2312" w:eastAsia="仿宋_GB2312" w:cs="仿宋_GB2312"/>
          <w:b/>
          <w:bCs/>
          <w:i w:val="0"/>
          <w:iCs w:val="0"/>
          <w:caps w:val="0"/>
          <w:color w:val="333333"/>
          <w:spacing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highlight w:val="none"/>
          <w:lang w:val="en-US" w:eastAsia="zh-CN"/>
          <w14:textFill>
            <w14:solidFill>
              <w14:schemeClr w14:val="tx1"/>
            </w14:solidFill>
          </w14:textFill>
        </w:rPr>
        <w:t>第一条 为贯彻落实《浙江省人民政府办公厅关于推动浙江建筑业改革创新高质量发展的实施意见》</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丽水市人民政府办公室关于加快建筑业改革与跨越式高质量发展的实施意见》《丽水市建筑领域碳达峰实施方案》和《丽水市绿色建筑专项规划（2022-2030）》等文件精神，不断提升我市绿色建筑和建筑工业化发展质量，特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第二条 建立由市建设局牵头，市发改委、市自然资源和规划局等部门参加的协调推进机制，联动推进绿色建筑和建筑工业化发展工作。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cyan"/>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第三条 各级建设、发改、自规等部门应按照所在地绿色建筑专项规划，统筹推进绿色建筑、建筑工业化发展、提升可再生能源应用比例和控制建筑碳排放等建筑领域绿色低碳发展，加快促进我市建筑业全面转型升级。</w:t>
      </w:r>
    </w:p>
    <w:p>
      <w:pPr>
        <w:keepNext w:val="0"/>
        <w:keepLines w:val="0"/>
        <w:pageBreakBefore w:val="0"/>
        <w:widowControl w:val="0"/>
        <w:kinsoku/>
        <w:wordWrap/>
        <w:overflowPunct/>
        <w:topLinePunct w:val="0"/>
        <w:autoSpaceDE/>
        <w:autoSpaceDN/>
        <w:bidi w:val="0"/>
        <w:adjustRightInd/>
        <w:snapToGrid/>
        <w:spacing w:line="600" w:lineRule="exact"/>
        <w:ind w:firstLine="2891" w:firstLineChars="900"/>
        <w:jc w:val="both"/>
        <w:textAlignment w:val="auto"/>
        <w:rPr>
          <w:rFonts w:hint="eastAsia" w:ascii="仿宋_GB2312" w:hAnsi="仿宋_GB2312" w:eastAsia="仿宋_GB2312" w:cs="仿宋_GB2312"/>
          <w:b/>
          <w:bCs/>
          <w:i w:val="0"/>
          <w:iCs w:val="0"/>
          <w:caps w:val="0"/>
          <w:color w:val="333333"/>
          <w:spacing w:val="0"/>
          <w:sz w:val="32"/>
          <w:szCs w:val="32"/>
          <w:lang w:val="en-US" w:eastAsia="zh-CN"/>
        </w:rPr>
      </w:pPr>
      <w:r>
        <w:rPr>
          <w:rFonts w:hint="eastAsia" w:ascii="仿宋_GB2312" w:hAnsi="仿宋_GB2312" w:eastAsia="仿宋_GB2312" w:cs="仿宋_GB2312"/>
          <w:b/>
          <w:bCs/>
          <w:i w:val="0"/>
          <w:iCs w:val="0"/>
          <w:caps w:val="0"/>
          <w:color w:val="333333"/>
          <w:spacing w:val="0"/>
          <w:sz w:val="32"/>
          <w:szCs w:val="32"/>
          <w:lang w:val="en-US" w:eastAsia="zh-CN"/>
        </w:rPr>
        <w:t>第二章 绿色建筑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highlight w:val="none"/>
          <w:lang w:val="en-US" w:eastAsia="zh-CN"/>
          <w14:textFill>
            <w14:solidFill>
              <w14:schemeClr w14:val="tx1"/>
            </w14:solidFill>
          </w14:textFill>
        </w:rPr>
        <w:t xml:space="preserve">第四条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除下列特殊项目外，我市新建（改、扩建）项目均按绿色建筑专项规划的相关要求执行：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市政设施、园林绿化、景观改造提升等建设项目，设计、建设过程应遵循绿色理念，积极采用绿色技术，合理利用各种资源，实现低碳、生态的目标，对涉及地上单体建筑面积不超过1000平方米的附属建筑可按照一星级绿色建筑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古建筑修缮、利用项目，应充分借鉴传统人居的建设智慧，注重传统建材与技术的使用，保持街区和谐生态的环境，对古建筑和历史街区修缮项目、木结构建筑项目可不按绿色建筑实施；对地上单体建筑面积不超过1000平方米的更新改造项目或层高不超过2层的仿古建筑项目，可按一星级绿色建筑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建设项目的构筑物、配套附属设施，技术条件或使用情况特殊的建设项目，不作绿色建筑技术要求。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highlight w:val="none"/>
          <w:lang w:val="en-US" w:eastAsia="zh-CN"/>
          <w14:textFill>
            <w14:solidFill>
              <w14:schemeClr w14:val="tx1"/>
            </w14:solidFill>
          </w14:textFill>
        </w:rPr>
        <w:t xml:space="preserve">第五条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发改部门在项目可研阶段需明确绿色建筑等级，概算中应包含绿色建筑与建筑节能所需投资资金</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；自规部门在出具规划设计条件时需明确绿色建筑等级。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highlight w:val="none"/>
          <w:lang w:val="en-US" w:eastAsia="zh-CN"/>
          <w14:textFill>
            <w14:solidFill>
              <w14:schemeClr w14:val="tx1"/>
            </w14:solidFill>
          </w14:textFill>
        </w:rPr>
        <w:t xml:space="preserve">第六条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设计单位应按照项目所在地绿色建筑专项规划关于绿色建筑的技术要求和标准进行设计，设计文件应有绿色建筑设计专篇，并明确绿色建筑等级、可再生能源应用、建筑运行碳排放降幅等指标要求及其实现路径。（详见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第七条 施工图审查机构应按照标准进行绿色建筑专项审查，对未编制绿色建筑设计专篇或经审查不符要求的，不予出具施工图设计文件审查合格书。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highlight w:val="none"/>
          <w:lang w:val="en-US" w:eastAsia="zh-CN"/>
          <w14:textFill>
            <w14:solidFill>
              <w14:schemeClr w14:val="tx1"/>
            </w14:solidFill>
          </w14:textFill>
        </w:rPr>
        <w:t xml:space="preserve">第八条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施工单位应按照施工图设计文件和绿色建筑标准编制专项施工方案并施工；监理单位应在监理规划中明确绿色建筑监理的内容，并进行监理；各级建设工程质量安全监督机构应把绿色建筑工程施工质量安全纳入日常管理，并监督建设单位组织开展绿色建筑工程质量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第九条 建设单位对按规定需要编制节能评估文件的建设项目，可以委托节能评估机构编制或自行编制（自行编制的需建设单位具备相应条件），编制的节能评估文件应满足相关要求，并向建设部门申请办理节能审查。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Style w:val="10"/>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竣工验收前，建设单位</w:t>
      </w:r>
      <w:r>
        <w:rPr>
          <w:rStyle w:val="10"/>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应委托原</w:t>
      </w:r>
      <w:bookmarkStart w:id="0" w:name="_GoBack"/>
      <w:bookmarkEnd w:id="0"/>
      <w:r>
        <w:rPr>
          <w:rStyle w:val="10"/>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编制评估机构对该民用建筑围护结构保温隔热性能和用能系统效率等指标是否落实节能评估文件要求进行测评，由其出具真实、完整的竣工能效测评报告。竣工验收报告应当包括建筑竣工能效测评的内容和结果。未经建筑能效测评或测评结果不合格的，不得通过竣工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Style w:val="10"/>
          <w:rFonts w:hint="eastAsia" w:ascii="仿宋" w:hAnsi="仿宋" w:eastAsia="仿宋" w:cs="仿宋"/>
          <w:b w:val="0"/>
          <w:bCs w:val="0"/>
          <w:color w:val="000000" w:themeColor="text1"/>
          <w:sz w:val="32"/>
          <w:szCs w:val="32"/>
          <w:highlight w:val="yellow"/>
          <w:lang w:val="en-US" w:eastAsia="zh-CN"/>
          <w14:textFill>
            <w14:solidFill>
              <w14:schemeClr w14:val="tx1"/>
            </w14:solidFill>
          </w14:textFill>
        </w:rPr>
      </w:pPr>
      <w:r>
        <w:rPr>
          <w:rStyle w:val="10"/>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第十条 新建</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（改、扩建）</w:t>
      </w:r>
      <w:r>
        <w:rPr>
          <w:rStyle w:val="10"/>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公共建筑按规定需要实施能耗动态监测的，工程竣工验收前应安装建筑用能分项计量、数据采集传输装置，并接入丽水市公共建筑能耗监测平台，确保运行正常。未接入丽水市公共建筑能耗监测平台或运行不正常的，不</w:t>
      </w:r>
      <w:r>
        <w:rPr>
          <w:rFonts w:hint="eastAsia" w:ascii="仿宋" w:hAnsi="仿宋" w:eastAsia="仿宋" w:cs="仿宋"/>
          <w:b w:val="0"/>
          <w:bCs w:val="0"/>
          <w:color w:val="000000" w:themeColor="text1"/>
          <w:sz w:val="32"/>
          <w:szCs w:val="32"/>
          <w:lang w:val="en-US" w:eastAsia="zh-CN"/>
          <w14:textFill>
            <w14:solidFill>
              <w14:schemeClr w14:val="tx1"/>
            </w14:solidFill>
          </w14:textFill>
        </w:rPr>
        <w:t>得组织竣</w:t>
      </w:r>
      <w:r>
        <w:rPr>
          <w:rStyle w:val="10"/>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工验收。</w:t>
      </w:r>
    </w:p>
    <w:p>
      <w:pPr>
        <w:keepNext w:val="0"/>
        <w:keepLines w:val="0"/>
        <w:pageBreakBefore w:val="0"/>
        <w:widowControl w:val="0"/>
        <w:kinsoku/>
        <w:wordWrap/>
        <w:overflowPunct/>
        <w:topLinePunct w:val="0"/>
        <w:autoSpaceDE/>
        <w:autoSpaceDN/>
        <w:bidi w:val="0"/>
        <w:adjustRightInd/>
        <w:snapToGrid/>
        <w:spacing w:line="600" w:lineRule="exact"/>
        <w:ind w:firstLine="2891" w:firstLineChars="900"/>
        <w:jc w:val="both"/>
        <w:textAlignment w:val="auto"/>
        <w:rPr>
          <w:rFonts w:hint="eastAsia" w:ascii="仿宋_GB2312" w:hAnsi="仿宋_GB2312" w:eastAsia="仿宋_GB2312" w:cs="仿宋_GB2312"/>
          <w:b/>
          <w:bCs/>
          <w:i w:val="0"/>
          <w:iCs w:val="0"/>
          <w:caps w:val="0"/>
          <w:color w:val="333333"/>
          <w:spacing w:val="0"/>
          <w:sz w:val="32"/>
          <w:szCs w:val="32"/>
          <w:lang w:val="en-US" w:eastAsia="zh-CN"/>
        </w:rPr>
      </w:pPr>
      <w:r>
        <w:rPr>
          <w:rFonts w:hint="eastAsia" w:ascii="仿宋_GB2312" w:hAnsi="仿宋_GB2312" w:eastAsia="仿宋_GB2312" w:cs="仿宋_GB2312"/>
          <w:b/>
          <w:bCs/>
          <w:i w:val="0"/>
          <w:iCs w:val="0"/>
          <w:caps w:val="0"/>
          <w:color w:val="333333"/>
          <w:spacing w:val="0"/>
          <w:sz w:val="32"/>
          <w:szCs w:val="32"/>
          <w:lang w:val="en-US" w:eastAsia="zh-CN"/>
        </w:rPr>
        <w:t>第三章 建筑工业化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yellow"/>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第十一条 </w:t>
      </w:r>
      <w:r>
        <w:rPr>
          <w:rFonts w:hint="eastAsia" w:ascii="仿宋" w:hAnsi="仿宋" w:eastAsia="仿宋" w:cs="仿宋"/>
          <w:b w:val="0"/>
          <w:bCs w:val="0"/>
          <w:color w:val="000000" w:themeColor="text1"/>
          <w:sz w:val="32"/>
          <w:szCs w:val="32"/>
          <w:lang w:val="en-US" w:eastAsia="zh-CN"/>
          <w14:textFill>
            <w14:solidFill>
              <w14:schemeClr w14:val="tx1"/>
            </w14:solidFill>
          </w14:textFill>
        </w:rPr>
        <w:t>新建项目应按项目所在地绿色建筑专项规划的相关要求</w:t>
      </w:r>
      <w:r>
        <w:rPr>
          <w:rFonts w:hint="eastAsia" w:ascii="仿宋" w:hAnsi="仿宋" w:eastAsia="仿宋" w:cs="仿宋"/>
          <w:b w:val="0"/>
          <w:bCs w:val="0"/>
          <w:color w:val="000000" w:themeColor="text1"/>
          <w:sz w:val="32"/>
          <w:szCs w:val="32"/>
          <w14:textFill>
            <w14:solidFill>
              <w14:schemeClr w14:val="tx1"/>
            </w14:solidFill>
          </w14:textFill>
        </w:rPr>
        <w:t>实施</w:t>
      </w:r>
      <w:r>
        <w:rPr>
          <w:rFonts w:hint="eastAsia" w:ascii="仿宋" w:hAnsi="仿宋" w:eastAsia="仿宋" w:cs="仿宋"/>
          <w:b w:val="0"/>
          <w:bCs w:val="0"/>
          <w:color w:val="000000" w:themeColor="text1"/>
          <w:sz w:val="32"/>
          <w:szCs w:val="32"/>
          <w:lang w:eastAsia="zh-CN"/>
          <w14:textFill>
            <w14:solidFill>
              <w14:schemeClr w14:val="tx1"/>
            </w14:solidFill>
          </w14:textFill>
        </w:rPr>
        <w:t>建筑工业化</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政府（国有）投资或者以政府（国有）投资为主的保障性住宅应建设不少于项目所在地绿色建筑专项规划要求的装配式钢结构建筑比例，且应实施装配化装</w:t>
      </w:r>
      <w:r>
        <w:rPr>
          <w:rFonts w:hint="eastAsia" w:ascii="仿宋" w:hAnsi="仿宋" w:eastAsia="仿宋" w:cs="仿宋"/>
          <w:b w:val="0"/>
          <w:bCs w:val="0"/>
          <w:color w:val="000000" w:themeColor="text1"/>
          <w:sz w:val="32"/>
          <w:szCs w:val="32"/>
          <w:lang w:val="en-US" w:eastAsia="zh-CN"/>
          <w14:textFill>
            <w14:solidFill>
              <w14:schemeClr w14:val="tx1"/>
            </w14:solidFill>
          </w14:textFill>
        </w:rPr>
        <w:t>修。鼓励医院、学校等公共建筑优先采用钢结构模式。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以下情形报专委会备案后</w:t>
      </w:r>
      <w:r>
        <w:rPr>
          <w:rFonts w:hint="eastAsia" w:ascii="仿宋" w:hAnsi="仿宋" w:eastAsia="仿宋" w:cs="仿宋"/>
          <w:b w:val="0"/>
          <w:bCs w:val="0"/>
          <w:color w:val="000000" w:themeColor="text1"/>
          <w:sz w:val="32"/>
          <w:szCs w:val="32"/>
          <w:lang w:val="en-US" w:eastAsia="zh-CN"/>
          <w14:textFill>
            <w14:solidFill>
              <w14:schemeClr w14:val="tx1"/>
            </w14:solidFill>
          </w14:textFill>
        </w:rPr>
        <w:t>，原则上可不采用装配式建筑：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建筑面积小于1000平方米的单体建筑，或</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总计容</w:t>
      </w:r>
      <w:r>
        <w:rPr>
          <w:rFonts w:hint="eastAsia" w:ascii="仿宋" w:hAnsi="仿宋" w:eastAsia="仿宋" w:cs="仿宋"/>
          <w:b w:val="0"/>
          <w:bCs w:val="0"/>
          <w:color w:val="000000" w:themeColor="text1"/>
          <w:sz w:val="32"/>
          <w:szCs w:val="32"/>
          <w:highlight w:val="none"/>
          <w14:textFill>
            <w14:solidFill>
              <w14:schemeClr w14:val="tx1"/>
            </w14:solidFill>
          </w14:textFill>
        </w:rPr>
        <w:t>建筑面积不超过</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1万</w:t>
      </w:r>
      <w:r>
        <w:rPr>
          <w:rFonts w:hint="eastAsia" w:ascii="仿宋" w:hAnsi="仿宋" w:eastAsia="仿宋" w:cs="仿宋"/>
          <w:b w:val="0"/>
          <w:bCs w:val="0"/>
          <w:color w:val="000000" w:themeColor="text1"/>
          <w:sz w:val="32"/>
          <w:szCs w:val="32"/>
          <w:highlight w:val="none"/>
          <w14:textFill>
            <w14:solidFill>
              <w14:schemeClr w14:val="tx1"/>
            </w14:solidFill>
          </w14:textFill>
        </w:rPr>
        <w:t>平方米的</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建设</w:t>
      </w:r>
      <w:r>
        <w:rPr>
          <w:rFonts w:hint="eastAsia" w:ascii="仿宋" w:hAnsi="仿宋" w:eastAsia="仿宋" w:cs="仿宋"/>
          <w:b w:val="0"/>
          <w:bCs w:val="0"/>
          <w:color w:val="000000" w:themeColor="text1"/>
          <w:sz w:val="32"/>
          <w:szCs w:val="32"/>
          <w:highlight w:val="none"/>
          <w14:textFill>
            <w14:solidFill>
              <w14:schemeClr w14:val="tx1"/>
            </w14:solidFill>
          </w14:textFill>
        </w:rPr>
        <w:t>项目</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left"/>
        <w:textAlignment w:val="auto"/>
        <w:rPr>
          <w:rFonts w:hint="eastAsia" w:ascii="仿宋" w:hAnsi="仿宋" w:eastAsia="仿宋" w:cs="仿宋"/>
          <w:b w:val="0"/>
          <w:bCs w:val="0"/>
          <w:color w:val="000000" w:themeColor="text1"/>
          <w:sz w:val="32"/>
          <w:szCs w:val="32"/>
          <w:highlight w:val="none"/>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超高超限建筑；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（三）造型复杂、构建品种类多且复杂，且拟尽量采用现有各种装配式结构体系的前提下实施装配式建筑设计，使其初步</w:t>
      </w:r>
      <w:r>
        <w:rPr>
          <w:rFonts w:hint="eastAsia" w:ascii="仿宋" w:hAnsi="仿宋" w:eastAsia="仿宋" w:cs="仿宋"/>
          <w:b w:val="0"/>
          <w:bCs w:val="0"/>
          <w:color w:val="000000" w:themeColor="text1"/>
          <w:sz w:val="32"/>
          <w:szCs w:val="32"/>
          <w:lang w:val="en-US" w:eastAsia="zh-CN"/>
          <w14:textFill>
            <w14:solidFill>
              <w14:schemeClr w14:val="tx1"/>
            </w14:solidFill>
          </w14:textFill>
        </w:rPr>
        <w:t>设计的装配率已达到最大化，经专家咨询论证仍难以达到浙江省《装配</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式建筑评价标准》要求的项目</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    </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highlight w:val="none"/>
          <w:lang w:val="en-US" w:eastAsia="zh-CN"/>
          <w14:textFill>
            <w14:solidFill>
              <w14:schemeClr w14:val="tx1"/>
            </w14:solidFill>
          </w14:textFill>
        </w:rPr>
        <w:t xml:space="preserve">第十二条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发改部门在项目可研阶段需明确建筑工业化要求，概算中应包含建筑工业化投资资金；自规部门在出具规划设计条件时需明确建筑工业化要求。</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highlight w:val="none"/>
          <w:lang w:val="en-US" w:eastAsia="zh-CN"/>
          <w14:textFill>
            <w14:solidFill>
              <w14:schemeClr w14:val="tx1"/>
            </w14:solidFill>
          </w14:textFill>
        </w:rPr>
        <w:t xml:space="preserve">第十三条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设计单位应按照项目所在地绿色建筑专项规划中</w:t>
      </w:r>
      <w:r>
        <w:rPr>
          <w:rFonts w:hint="eastAsia" w:ascii="仿宋" w:hAnsi="仿宋" w:eastAsia="仿宋" w:cs="仿宋"/>
          <w:b w:val="0"/>
          <w:bCs w:val="0"/>
          <w:color w:val="000000" w:themeColor="text1"/>
          <w:sz w:val="32"/>
          <w:szCs w:val="32"/>
          <w:lang w:val="en-US" w:eastAsia="zh-CN"/>
          <w14:textFill>
            <w14:solidFill>
              <w14:schemeClr w14:val="tx1"/>
            </w14:solidFill>
          </w14:textFill>
        </w:rPr>
        <w:t>建筑工业化</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的技术要求和标准进行设计，设计文件（方案）应有建筑工业化设计专篇，并明确</w:t>
      </w:r>
      <w:r>
        <w:rPr>
          <w:rFonts w:hint="eastAsia" w:ascii="仿宋" w:hAnsi="仿宋" w:eastAsia="仿宋" w:cs="仿宋"/>
          <w:b w:val="0"/>
          <w:bCs w:val="0"/>
          <w:color w:val="000000" w:themeColor="text1"/>
          <w:sz w:val="32"/>
          <w:szCs w:val="32"/>
          <w:lang w:val="en-US" w:eastAsia="zh-CN"/>
          <w14:textFill>
            <w14:solidFill>
              <w14:schemeClr w14:val="tx1"/>
            </w14:solidFill>
          </w14:textFill>
        </w:rPr>
        <w:t>结构类型、建设全装修、实施楼栋、实施面积、预估装配率等指标信息及其实现路径</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。在施工图设计阶段，应编制装配式建筑项目预制率和装配率计算书及实施方案。（详见附件2）</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第十四条 施工图审查机构应按照标准对装配式建筑项目进行专项审查。对未编制装配式建筑设计专篇或经审查不符要求的，不予出具施工图设计文件审查合格书。</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第十五条 建设单位结合建设规模、标准、投资限额、工程质量和进度要求等开展招标。评标办法宜采用综合评标法择优选择施工单位，评审的主要因素包括工程总承包报价、项目管理组织方案、设计方案、设备采购方案、施工计划、工程类似业绩、项目负责人及主要技术人员业绩、参建人员装配式建筑培训情况等；技术标评审可参照新工艺、技术特别复杂或具有特殊专业技术要求的项目进行。</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第十六条 建设单位应在取得施工许可证3个月内，根据《浙江省装配式建筑评价认定管理办法》相关要求，完成装配式建筑设计阶段评价工作。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highlight w:val="cyan"/>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第十七条 </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施工单位应按照施工图设计文件和装配式建筑标准编制专项施工方案并施工；监理单位应</w:t>
      </w:r>
      <w:r>
        <w:rPr>
          <w:rFonts w:hint="eastAsia" w:ascii="仿宋" w:hAnsi="仿宋" w:eastAsia="仿宋" w:cs="仿宋"/>
          <w:b w:val="0"/>
          <w:bCs w:val="0"/>
          <w:color w:val="000000" w:themeColor="text1"/>
          <w:sz w:val="32"/>
          <w:szCs w:val="32"/>
          <w14:textFill>
            <w14:solidFill>
              <w14:schemeClr w14:val="tx1"/>
            </w14:solidFill>
          </w14:textFill>
        </w:rPr>
        <w:t>编制装配式建筑监理规划</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和专项监理细则，并进行监理；各级建设工程质量安全监督机构应把装配式建筑工程施工质量安全纳入日常管理，并监督建设单位组织开展装配式建筑工程质量验收。</w:t>
      </w:r>
    </w:p>
    <w:p>
      <w:pPr>
        <w:pageBreakBefore w:val="0"/>
        <w:widowControl/>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建设单位应在</w:t>
      </w:r>
      <w:r>
        <w:rPr>
          <w:rFonts w:hint="eastAsia" w:ascii="仿宋" w:hAnsi="仿宋" w:eastAsia="仿宋" w:cs="仿宋"/>
          <w:b w:val="0"/>
          <w:bCs w:val="0"/>
          <w:color w:val="000000" w:themeColor="text1"/>
          <w:sz w:val="32"/>
          <w:szCs w:val="32"/>
          <w:lang w:val="en-US" w:eastAsia="zh-CN"/>
          <w14:textFill>
            <w14:solidFill>
              <w14:schemeClr w14:val="tx1"/>
            </w14:solidFill>
          </w14:textFill>
        </w:rPr>
        <w:t>项目完工后，根据《浙江省装配式建筑评价认定管理办法》</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完成装配式建筑竣工阶段评价工作。</w:t>
      </w:r>
    </w:p>
    <w:p>
      <w:pPr>
        <w:numPr>
          <w:ilvl w:val="0"/>
          <w:numId w:val="0"/>
        </w:numPr>
        <w:ind w:firstLine="640" w:firstLineChars="200"/>
        <w:rPr>
          <w:rFonts w:hint="default" w:ascii="仿宋" w:hAnsi="仿宋" w:eastAsia="仿宋" w:cs="仿宋"/>
          <w:b w:val="0"/>
          <w:bCs w:val="0"/>
          <w:i w:val="0"/>
          <w:iCs w:val="0"/>
          <w:caps w:val="0"/>
          <w:color w:val="000000" w:themeColor="text1"/>
          <w:spacing w:val="0"/>
          <w:sz w:val="32"/>
          <w:szCs w:val="32"/>
          <w:highlight w:val="cyan"/>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第十九条 </w:t>
      </w:r>
      <w:r>
        <w:rPr>
          <w:rFonts w:hint="eastAsia" w:ascii="仿宋" w:hAnsi="仿宋" w:eastAsia="仿宋" w:cs="仿宋"/>
          <w:b w:val="0"/>
          <w:bCs w:val="0"/>
          <w:color w:val="000000" w:themeColor="text1"/>
          <w:sz w:val="32"/>
          <w:szCs w:val="32"/>
          <w14:textFill>
            <w14:solidFill>
              <w14:schemeClr w14:val="tx1"/>
            </w14:solidFill>
          </w14:textFill>
        </w:rPr>
        <w:t>本细则</w:t>
      </w:r>
      <w:r>
        <w:rPr>
          <w:rFonts w:hint="eastAsia" w:ascii="仿宋" w:hAnsi="仿宋" w:eastAsia="仿宋" w:cs="仿宋"/>
          <w:b w:val="0"/>
          <w:bCs w:val="0"/>
          <w:color w:val="000000" w:themeColor="text1"/>
          <w:sz w:val="32"/>
          <w:szCs w:val="32"/>
          <w:lang w:eastAsia="zh-CN"/>
          <w14:textFill>
            <w14:solidFill>
              <w14:schemeClr w14:val="tx1"/>
            </w14:solidFill>
          </w14:textFill>
        </w:rPr>
        <w:t>自</w:t>
      </w:r>
      <w:r>
        <w:rPr>
          <w:rFonts w:hint="eastAsia" w:ascii="仿宋" w:hAnsi="仿宋" w:eastAsia="仿宋" w:cs="仿宋"/>
          <w:b w:val="0"/>
          <w:bCs w:val="0"/>
          <w:color w:val="000000" w:themeColor="text1"/>
          <w:sz w:val="32"/>
          <w:szCs w:val="32"/>
          <w14:textFill>
            <w14:solidFill>
              <w14:schemeClr w14:val="tx1"/>
            </w14:solidFill>
          </w14:textFill>
        </w:rPr>
        <w:t>2</w:t>
      </w:r>
      <w:r>
        <w:rPr>
          <w:rFonts w:hint="eastAsia" w:ascii="仿宋" w:hAnsi="仿宋" w:eastAsia="仿宋" w:cs="仿宋"/>
          <w:b w:val="0"/>
          <w:bCs w:val="0"/>
          <w:i w:val="0"/>
          <w:iCs w:val="0"/>
          <w:color w:val="000000" w:themeColor="text1"/>
          <w:sz w:val="32"/>
          <w:szCs w:val="32"/>
          <w14:textFill>
            <w14:solidFill>
              <w14:schemeClr w14:val="tx1"/>
            </w14:solidFill>
          </w14:textFill>
        </w:rPr>
        <w:t>0</w:t>
      </w: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24</w:t>
      </w:r>
      <w:r>
        <w:rPr>
          <w:rFonts w:hint="eastAsia" w:ascii="仿宋" w:hAnsi="仿宋" w:eastAsia="仿宋" w:cs="仿宋"/>
          <w:b w:val="0"/>
          <w:bCs w:val="0"/>
          <w:i w:val="0"/>
          <w:iCs w:val="0"/>
          <w:color w:val="000000" w:themeColor="text1"/>
          <w:sz w:val="32"/>
          <w:szCs w:val="32"/>
          <w14:textFill>
            <w14:solidFill>
              <w14:schemeClr w14:val="tx1"/>
            </w14:solidFill>
          </w14:textFill>
        </w:rPr>
        <w:t>年</w:t>
      </w: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i w:val="0"/>
          <w:iCs w:val="0"/>
          <w:color w:val="000000" w:themeColor="text1"/>
          <w:sz w:val="32"/>
          <w:szCs w:val="32"/>
          <w14:textFill>
            <w14:solidFill>
              <w14:schemeClr w14:val="tx1"/>
            </w14:solidFill>
          </w14:textFill>
        </w:rPr>
        <w:t>月</w:t>
      </w: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i w:val="0"/>
          <w:iCs w:val="0"/>
          <w:color w:val="000000" w:themeColor="text1"/>
          <w:sz w:val="32"/>
          <w:szCs w:val="32"/>
          <w14:textFill>
            <w14:solidFill>
              <w14:schemeClr w14:val="tx1"/>
            </w14:solidFill>
          </w14:textFill>
        </w:rPr>
        <w:t>日</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起施行，国家、省、市有新政策的从其规定。</w:t>
      </w:r>
    </w:p>
    <w:p>
      <w:pPr>
        <w:pageBreakBefore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pP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附件1</w:t>
      </w:r>
      <w:r>
        <w:rPr>
          <w:rFonts w:hint="eastAsia" w:ascii="仿宋" w:hAnsi="仿宋" w:eastAsia="仿宋" w:cs="仿宋"/>
          <w:b w:val="0"/>
          <w:bCs w:val="0"/>
          <w:i w:val="0"/>
          <w:iCs w:val="0"/>
          <w:color w:val="000000" w:themeColor="text1"/>
          <w:sz w:val="32"/>
          <w:szCs w:val="32"/>
          <w:lang w:val="en"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丽水市</w:t>
      </w:r>
      <w:r>
        <w:rPr>
          <w:rFonts w:hint="eastAsia" w:ascii="仿宋" w:hAnsi="仿宋" w:eastAsia="仿宋" w:cs="仿宋"/>
          <w:b w:val="0"/>
          <w:bCs w:val="0"/>
          <w:color w:val="000000" w:themeColor="text1"/>
          <w:sz w:val="32"/>
          <w:szCs w:val="32"/>
          <w:lang w:eastAsia="zh-CN"/>
          <w14:textFill>
            <w14:solidFill>
              <w14:schemeClr w14:val="tx1"/>
            </w14:solidFill>
          </w14:textFill>
        </w:rPr>
        <w:t>绿色</w:t>
      </w:r>
      <w:r>
        <w:rPr>
          <w:rFonts w:hint="eastAsia" w:ascii="仿宋" w:hAnsi="仿宋" w:eastAsia="仿宋" w:cs="仿宋"/>
          <w:b w:val="0"/>
          <w:bCs w:val="0"/>
          <w:color w:val="000000" w:themeColor="text1"/>
          <w:sz w:val="32"/>
          <w:szCs w:val="32"/>
          <w14:textFill>
            <w14:solidFill>
              <w14:schemeClr w14:val="tx1"/>
            </w14:solidFill>
          </w14:textFill>
        </w:rPr>
        <w:t>建筑规划报建方案设计专篇内容</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附件2</w:t>
      </w:r>
      <w:r>
        <w:rPr>
          <w:rFonts w:hint="eastAsia" w:ascii="仿宋" w:hAnsi="仿宋" w:eastAsia="仿宋" w:cs="仿宋"/>
          <w:b w:val="0"/>
          <w:bCs w:val="0"/>
          <w:i w:val="0"/>
          <w:iCs w:val="0"/>
          <w:color w:val="000000" w:themeColor="text1"/>
          <w:sz w:val="32"/>
          <w:szCs w:val="32"/>
          <w:lang w:val="en"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丽水市</w:t>
      </w:r>
      <w:r>
        <w:rPr>
          <w:rFonts w:hint="eastAsia" w:ascii="仿宋" w:hAnsi="仿宋" w:eastAsia="仿宋" w:cs="仿宋"/>
          <w:b w:val="0"/>
          <w:bCs w:val="0"/>
          <w:color w:val="000000" w:themeColor="text1"/>
          <w:sz w:val="32"/>
          <w:szCs w:val="32"/>
          <w:lang w:eastAsia="zh-CN"/>
          <w14:textFill>
            <w14:solidFill>
              <w14:schemeClr w14:val="tx1"/>
            </w14:solidFill>
          </w14:textFill>
        </w:rPr>
        <w:t>建筑工业化</w:t>
      </w:r>
      <w:r>
        <w:rPr>
          <w:rFonts w:hint="eastAsia" w:ascii="仿宋" w:hAnsi="仿宋" w:eastAsia="仿宋" w:cs="仿宋"/>
          <w:b w:val="0"/>
          <w:bCs w:val="0"/>
          <w:color w:val="000000" w:themeColor="text1"/>
          <w:sz w:val="32"/>
          <w:szCs w:val="32"/>
          <w14:textFill>
            <w14:solidFill>
              <w14:schemeClr w14:val="tx1"/>
            </w14:solidFill>
          </w14:textFill>
        </w:rPr>
        <w:t>规划报建方案设计专篇内容</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ageBreakBefore w:val="0"/>
        <w:widowControl/>
        <w:kinsoku/>
        <w:wordWrap/>
        <w:overflowPunct/>
        <w:topLinePunct w:val="0"/>
        <w:autoSpaceDE/>
        <w:autoSpaceDN/>
        <w:bidi w:val="0"/>
        <w:adjustRightInd/>
        <w:snapToGrid/>
        <w:spacing w:after="312" w:afterLines="100" w:line="600" w:lineRule="exact"/>
        <w:jc w:val="both"/>
        <w:textAlignment w:val="auto"/>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附件1</w:t>
      </w:r>
    </w:p>
    <w:p>
      <w:pPr>
        <w:pageBreakBefore w:val="0"/>
        <w:widowControl/>
        <w:kinsoku/>
        <w:wordWrap/>
        <w:overflowPunct/>
        <w:topLinePunct w:val="0"/>
        <w:autoSpaceDE/>
        <w:autoSpaceDN/>
        <w:bidi w:val="0"/>
        <w:adjustRightInd/>
        <w:snapToGrid/>
        <w:spacing w:after="312" w:afterLines="100" w:line="600" w:lineRule="exact"/>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丽水市</w:t>
      </w:r>
      <w:r>
        <w:rPr>
          <w:rFonts w:hint="eastAsia" w:ascii="仿宋" w:hAnsi="仿宋" w:eastAsia="仿宋" w:cs="仿宋"/>
          <w:b w:val="0"/>
          <w:bCs w:val="0"/>
          <w:color w:val="000000" w:themeColor="text1"/>
          <w:sz w:val="32"/>
          <w:szCs w:val="32"/>
          <w:lang w:eastAsia="zh-CN"/>
          <w14:textFill>
            <w14:solidFill>
              <w14:schemeClr w14:val="tx1"/>
            </w14:solidFill>
          </w14:textFill>
        </w:rPr>
        <w:t>绿色</w:t>
      </w:r>
      <w:r>
        <w:rPr>
          <w:rFonts w:hint="eastAsia" w:ascii="仿宋" w:hAnsi="仿宋" w:eastAsia="仿宋" w:cs="仿宋"/>
          <w:b w:val="0"/>
          <w:bCs w:val="0"/>
          <w:color w:val="000000" w:themeColor="text1"/>
          <w:sz w:val="32"/>
          <w:szCs w:val="32"/>
          <w14:textFill>
            <w14:solidFill>
              <w14:schemeClr w14:val="tx1"/>
            </w14:solidFill>
          </w14:textFill>
        </w:rPr>
        <w:t>建筑规划报建方案设计专篇内容</w:t>
      </w: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2880" w:firstLineChars="9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2880" w:firstLineChars="9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绿色建筑设计专篇</w:t>
      </w: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2880" w:firstLineChars="9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一、</w:t>
      </w:r>
      <w:r>
        <w:rPr>
          <w:rFonts w:hint="eastAsia" w:ascii="仿宋" w:hAnsi="仿宋" w:eastAsia="仿宋" w:cs="仿宋"/>
          <w:b w:val="0"/>
          <w:bCs w:val="0"/>
          <w:color w:val="000000" w:themeColor="text1"/>
          <w:sz w:val="32"/>
          <w:szCs w:val="32"/>
          <w:lang w:val="en-US" w:eastAsia="zh-CN"/>
          <w14:textFill>
            <w14:solidFill>
              <w14:schemeClr w14:val="tx1"/>
            </w14:solidFill>
          </w14:textFill>
        </w:rPr>
        <w:t>绿色建筑各目标值</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（一）</w:t>
      </w:r>
      <w:r>
        <w:rPr>
          <w:rFonts w:hint="eastAsia" w:ascii="仿宋" w:hAnsi="仿宋" w:eastAsia="仿宋" w:cs="仿宋"/>
          <w:b w:val="0"/>
          <w:bCs w:val="0"/>
          <w:color w:val="000000" w:themeColor="text1"/>
          <w:sz w:val="32"/>
          <w:szCs w:val="32"/>
          <w:lang w:val="en-US" w:eastAsia="zh-CN"/>
          <w14:textFill>
            <w14:solidFill>
              <w14:schemeClr w14:val="tx1"/>
            </w14:solidFill>
          </w14:textFill>
        </w:rPr>
        <w:t>绿色建筑等级</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（二</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设计计算节能率；</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（三）建筑运行碳排放降幅；</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（四）可再生能源替代率；</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（五）其他相关指标。</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11"/>
        <w:pageBreakBefore w:val="0"/>
        <w:widowControl/>
        <w:shd w:val="clear" w:color="auto" w:fill="FFFFFF"/>
        <w:tabs>
          <w:tab w:val="left" w:pos="1134"/>
        </w:tabs>
        <w:kinsoku/>
        <w:wordWrap/>
        <w:overflowPunct/>
        <w:topLinePunct w:val="0"/>
        <w:autoSpaceDE/>
        <w:autoSpaceDN/>
        <w:bidi w:val="0"/>
        <w:adjustRightInd/>
        <w:snapToGrid/>
        <w:spacing w:line="600" w:lineRule="exact"/>
        <w:ind w:left="600" w:firstLine="0" w:firstLine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绿色</w:t>
      </w:r>
      <w:r>
        <w:rPr>
          <w:rFonts w:hint="eastAsia" w:ascii="仿宋" w:hAnsi="仿宋" w:eastAsia="仿宋" w:cs="仿宋"/>
          <w:b w:val="0"/>
          <w:bCs w:val="0"/>
          <w:color w:val="000000" w:themeColor="text1"/>
          <w:sz w:val="32"/>
          <w:szCs w:val="32"/>
          <w14:textFill>
            <w14:solidFill>
              <w14:schemeClr w14:val="tx1"/>
            </w14:solidFill>
          </w14:textFill>
        </w:rPr>
        <w:t>建筑方案说明</w:t>
      </w: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各目标实现路径和相关内容</w:t>
      </w: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三、其他</w:t>
      </w: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pageBreakBefore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Style w:val="10"/>
          <w:rFonts w:hint="eastAsia" w:ascii="仿宋" w:hAnsi="仿宋" w:eastAsia="仿宋" w:cs="仿宋"/>
          <w:b w:val="0"/>
          <w:bCs w:val="0"/>
          <w:color w:val="000000" w:themeColor="text1"/>
          <w:sz w:val="32"/>
          <w:szCs w:val="32"/>
          <w14:textFill>
            <w14:solidFill>
              <w14:schemeClr w14:val="tx1"/>
            </w14:solidFill>
          </w14:textFill>
        </w:rPr>
        <w:t>附件</w:t>
      </w:r>
      <w:r>
        <w:rPr>
          <w:rStyle w:val="10"/>
          <w:rFonts w:hint="eastAsia" w:ascii="仿宋" w:hAnsi="仿宋" w:eastAsia="仿宋" w:cs="仿宋"/>
          <w:b w:val="0"/>
          <w:bCs w:val="0"/>
          <w:color w:val="000000" w:themeColor="text1"/>
          <w:sz w:val="32"/>
          <w:szCs w:val="32"/>
          <w:lang w:val="en-US" w:eastAsia="zh-CN"/>
          <w14:textFill>
            <w14:solidFill>
              <w14:schemeClr w14:val="tx1"/>
            </w14:solidFill>
          </w14:textFill>
        </w:rPr>
        <w:t>2</w:t>
      </w:r>
    </w:p>
    <w:p>
      <w:pPr>
        <w:pageBreakBefore w:val="0"/>
        <w:widowControl/>
        <w:kinsoku/>
        <w:wordWrap/>
        <w:overflowPunct/>
        <w:topLinePunct w:val="0"/>
        <w:autoSpaceDE/>
        <w:autoSpaceDN/>
        <w:bidi w:val="0"/>
        <w:adjustRightInd/>
        <w:snapToGrid/>
        <w:spacing w:after="312" w:afterLines="100" w:line="600" w:lineRule="exact"/>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丽水市</w:t>
      </w:r>
      <w:r>
        <w:rPr>
          <w:rFonts w:hint="eastAsia" w:ascii="仿宋" w:hAnsi="仿宋" w:eastAsia="仿宋" w:cs="仿宋"/>
          <w:b w:val="0"/>
          <w:bCs w:val="0"/>
          <w:color w:val="000000" w:themeColor="text1"/>
          <w:sz w:val="32"/>
          <w:szCs w:val="32"/>
          <w:lang w:eastAsia="zh-CN"/>
          <w14:textFill>
            <w14:solidFill>
              <w14:schemeClr w14:val="tx1"/>
            </w14:solidFill>
          </w14:textFill>
        </w:rPr>
        <w:t>建筑工业化</w:t>
      </w:r>
      <w:r>
        <w:rPr>
          <w:rFonts w:hint="eastAsia" w:ascii="仿宋" w:hAnsi="仿宋" w:eastAsia="仿宋" w:cs="仿宋"/>
          <w:b w:val="0"/>
          <w:bCs w:val="0"/>
          <w:color w:val="000000" w:themeColor="text1"/>
          <w:sz w:val="32"/>
          <w:szCs w:val="32"/>
          <w14:textFill>
            <w14:solidFill>
              <w14:schemeClr w14:val="tx1"/>
            </w14:solidFill>
          </w14:textFill>
        </w:rPr>
        <w:t>规划报建方案设计专篇内容</w:t>
      </w:r>
    </w:p>
    <w:p>
      <w:pPr>
        <w:pageBreakBefore w:val="0"/>
        <w:widowControl/>
        <w:kinsoku/>
        <w:wordWrap/>
        <w:overflowPunct/>
        <w:topLinePunct w:val="0"/>
        <w:autoSpaceDE/>
        <w:autoSpaceDN/>
        <w:bidi w:val="0"/>
        <w:adjustRightInd/>
        <w:snapToGrid/>
        <w:spacing w:after="312" w:afterLines="100" w:line="600" w:lineRule="exact"/>
        <w:jc w:val="center"/>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建筑工业化设计专篇</w:t>
      </w:r>
    </w:p>
    <w:p>
      <w:pPr>
        <w:pStyle w:val="11"/>
        <w:pageBreakBefore w:val="0"/>
        <w:widowControl/>
        <w:shd w:val="clear" w:color="auto" w:fill="FFFFFF"/>
        <w:tabs>
          <w:tab w:val="left" w:pos="1134"/>
        </w:tabs>
        <w:kinsoku/>
        <w:wordWrap/>
        <w:overflowPunct/>
        <w:topLinePunct w:val="0"/>
        <w:autoSpaceDE/>
        <w:autoSpaceDN/>
        <w:bidi w:val="0"/>
        <w:adjustRightInd/>
        <w:snapToGrid/>
        <w:spacing w:line="600" w:lineRule="exact"/>
        <w:ind w:left="568" w:firstLine="0" w:firstLine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一、</w:t>
      </w:r>
      <w:r>
        <w:rPr>
          <w:rFonts w:hint="eastAsia" w:ascii="仿宋" w:hAnsi="仿宋" w:eastAsia="仿宋" w:cs="仿宋"/>
          <w:b w:val="0"/>
          <w:bCs w:val="0"/>
          <w:color w:val="000000" w:themeColor="text1"/>
          <w:sz w:val="32"/>
          <w:szCs w:val="32"/>
          <w:lang w:eastAsia="zh-CN"/>
          <w14:textFill>
            <w14:solidFill>
              <w14:schemeClr w14:val="tx1"/>
            </w14:solidFill>
          </w14:textFill>
        </w:rPr>
        <w:t>建筑工业化</w:t>
      </w:r>
      <w:r>
        <w:rPr>
          <w:rFonts w:hint="eastAsia" w:ascii="仿宋" w:hAnsi="仿宋" w:eastAsia="仿宋" w:cs="仿宋"/>
          <w:b w:val="0"/>
          <w:bCs w:val="0"/>
          <w:color w:val="000000" w:themeColor="text1"/>
          <w:sz w:val="32"/>
          <w:szCs w:val="32"/>
          <w14:textFill>
            <w14:solidFill>
              <w14:schemeClr w14:val="tx1"/>
            </w14:solidFill>
          </w14:textFill>
        </w:rPr>
        <w:t>目标</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（一）</w:t>
      </w:r>
      <w:r>
        <w:rPr>
          <w:rFonts w:hint="eastAsia" w:ascii="仿宋" w:hAnsi="仿宋" w:eastAsia="仿宋" w:cs="仿宋"/>
          <w:b w:val="0"/>
          <w:bCs w:val="0"/>
          <w:color w:val="000000" w:themeColor="text1"/>
          <w:sz w:val="32"/>
          <w:szCs w:val="32"/>
          <w:lang w:eastAsia="zh-CN"/>
          <w14:textFill>
            <w14:solidFill>
              <w14:schemeClr w14:val="tx1"/>
            </w14:solidFill>
          </w14:textFill>
        </w:rPr>
        <w:t>结构类型；</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（二）建设全装修（包括是</w:t>
      </w:r>
      <w:r>
        <w:rPr>
          <w:rFonts w:hint="eastAsia" w:ascii="仿宋" w:hAnsi="仿宋" w:eastAsia="仿宋" w:cs="仿宋"/>
          <w:b w:val="0"/>
          <w:bCs w:val="0"/>
          <w:color w:val="000000" w:themeColor="text1"/>
          <w:sz w:val="32"/>
          <w:szCs w:val="32"/>
          <w:lang w:val="en-US" w:eastAsia="zh-CN"/>
          <w14:textFill>
            <w14:solidFill>
              <w14:schemeClr w14:val="tx1"/>
            </w14:solidFill>
          </w14:textFill>
        </w:rPr>
        <w:t>否施行装配化装修</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（三）实施楼栋、面积；</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（四）预估装配率；</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（五）其他相关指标。</w:t>
      </w: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p>
    <w:p>
      <w:pPr>
        <w:pStyle w:val="11"/>
        <w:pageBreakBefore w:val="0"/>
        <w:widowControl/>
        <w:shd w:val="clear" w:color="auto" w:fill="FFFFFF"/>
        <w:tabs>
          <w:tab w:val="left" w:pos="1134"/>
        </w:tabs>
        <w:kinsoku/>
        <w:wordWrap/>
        <w:overflowPunct/>
        <w:topLinePunct w:val="0"/>
        <w:autoSpaceDE/>
        <w:autoSpaceDN/>
        <w:bidi w:val="0"/>
        <w:adjustRightInd/>
        <w:snapToGrid/>
        <w:spacing w:line="600" w:lineRule="exact"/>
        <w:ind w:left="600" w:firstLine="0" w:firstLineChars="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二、建筑</w:t>
      </w:r>
      <w:r>
        <w:rPr>
          <w:rFonts w:hint="eastAsia" w:ascii="仿宋" w:hAnsi="仿宋" w:eastAsia="仿宋" w:cs="仿宋"/>
          <w:b w:val="0"/>
          <w:bCs w:val="0"/>
          <w:color w:val="000000" w:themeColor="text1"/>
          <w:sz w:val="32"/>
          <w:szCs w:val="32"/>
          <w:lang w:eastAsia="zh-CN"/>
          <w14:textFill>
            <w14:solidFill>
              <w14:schemeClr w14:val="tx1"/>
            </w14:solidFill>
          </w14:textFill>
        </w:rPr>
        <w:t>工业化</w:t>
      </w:r>
      <w:r>
        <w:rPr>
          <w:rFonts w:hint="eastAsia" w:ascii="仿宋" w:hAnsi="仿宋" w:eastAsia="仿宋" w:cs="仿宋"/>
          <w:b w:val="0"/>
          <w:bCs w:val="0"/>
          <w:color w:val="000000" w:themeColor="text1"/>
          <w:sz w:val="32"/>
          <w:szCs w:val="32"/>
          <w14:textFill>
            <w14:solidFill>
              <w14:schemeClr w14:val="tx1"/>
            </w14:solidFill>
          </w14:textFill>
        </w:rPr>
        <w:t>方案说明</w:t>
      </w:r>
    </w:p>
    <w:p>
      <w:pPr>
        <w:pStyle w:val="11"/>
        <w:pageBreakBefore w:val="0"/>
        <w:widowControl/>
        <w:shd w:val="clear" w:color="auto" w:fill="FFFFFF"/>
        <w:tabs>
          <w:tab w:val="left" w:pos="1134"/>
        </w:tabs>
        <w:kinsoku/>
        <w:wordWrap/>
        <w:overflowPunct/>
        <w:topLinePunct w:val="0"/>
        <w:autoSpaceDE/>
        <w:autoSpaceDN/>
        <w:bidi w:val="0"/>
        <w:adjustRightInd/>
        <w:snapToGrid/>
        <w:spacing w:line="600" w:lineRule="exact"/>
        <w:ind w:left="600" w:firstLine="0" w:firstLineChars="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各目标实现路径和相关内容</w:t>
      </w:r>
    </w:p>
    <w:p>
      <w:pPr>
        <w:pStyle w:val="11"/>
        <w:pageBreakBefore w:val="0"/>
        <w:widowControl/>
        <w:shd w:val="clear" w:color="auto" w:fill="FFFFFF"/>
        <w:tabs>
          <w:tab w:val="left" w:pos="1134"/>
        </w:tabs>
        <w:kinsoku/>
        <w:wordWrap/>
        <w:overflowPunct/>
        <w:topLinePunct w:val="0"/>
        <w:autoSpaceDE/>
        <w:autoSpaceDN/>
        <w:bidi w:val="0"/>
        <w:adjustRightInd/>
        <w:snapToGrid/>
        <w:spacing w:line="600" w:lineRule="exact"/>
        <w:ind w:left="600" w:firstLine="0" w:firstLineChars="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11"/>
        <w:pageBreakBefore w:val="0"/>
        <w:widowControl/>
        <w:shd w:val="clear" w:color="auto" w:fill="FFFFFF"/>
        <w:tabs>
          <w:tab w:val="left" w:pos="1134"/>
        </w:tabs>
        <w:kinsoku/>
        <w:wordWrap/>
        <w:overflowPunct/>
        <w:topLinePunct w:val="0"/>
        <w:autoSpaceDE/>
        <w:autoSpaceDN/>
        <w:bidi w:val="0"/>
        <w:adjustRightInd/>
        <w:snapToGrid/>
        <w:spacing w:line="600" w:lineRule="exact"/>
        <w:ind w:left="600" w:firstLine="0" w:firstLineChars="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三、其他</w:t>
      </w:r>
    </w:p>
    <w:p>
      <w:pPr>
        <w:pageBreakBefore w:val="0"/>
        <w:widowControl/>
        <w:shd w:val="clear" w:color="auto" w:fill="FFFFFF"/>
        <w:tabs>
          <w:tab w:val="left" w:pos="113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sectPr>
      <w:footerReference r:id="rId3" w:type="default"/>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im Sun">
    <w:altName w:val="MS Gothic"/>
    <w:panose1 w:val="00000000000000000000"/>
    <w:charset w:val="80"/>
    <w:family w:val="swiss"/>
    <w:pitch w:val="default"/>
    <w:sig w:usb0="00000000" w:usb1="00000000" w:usb2="00000010" w:usb3="00000000" w:csb0="0002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w:t>
    </w:r>
    <w:r>
      <w:t xml:space="preserve"> 4 -</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A5FB3F"/>
    <w:multiLevelType w:val="singleLevel"/>
    <w:tmpl w:val="E0A5FB3F"/>
    <w:lvl w:ilvl="0" w:tentative="0">
      <w:start w:val="1"/>
      <w:numFmt w:val="chineseCounting"/>
      <w:suff w:val="nothing"/>
      <w:lvlText w:val="（%1）"/>
      <w:lvlJc w:val="left"/>
      <w:pPr>
        <w:ind w:left="-10"/>
      </w:pPr>
      <w:rPr>
        <w:rFonts w:hint="eastAsia"/>
      </w:rPr>
    </w:lvl>
  </w:abstractNum>
  <w:abstractNum w:abstractNumId="1">
    <w:nsid w:val="EED81117"/>
    <w:multiLevelType w:val="singleLevel"/>
    <w:tmpl w:val="EED81117"/>
    <w:lvl w:ilvl="0" w:tentative="0">
      <w:start w:val="18"/>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kOWQ5NTg2NTY5NWU1NGRhNTVlNDcxMTQ2YTNjMjYifQ=="/>
  </w:docVars>
  <w:rsids>
    <w:rsidRoot w:val="1E14652B"/>
    <w:rsid w:val="00A3304E"/>
    <w:rsid w:val="00DF7C92"/>
    <w:rsid w:val="04FC48D2"/>
    <w:rsid w:val="057373CC"/>
    <w:rsid w:val="06CE6EA6"/>
    <w:rsid w:val="070E60F0"/>
    <w:rsid w:val="07660755"/>
    <w:rsid w:val="09546D2B"/>
    <w:rsid w:val="09FC45AE"/>
    <w:rsid w:val="0AD51339"/>
    <w:rsid w:val="0AEB7F3A"/>
    <w:rsid w:val="0CFD5B66"/>
    <w:rsid w:val="0D7908A3"/>
    <w:rsid w:val="0FC91F08"/>
    <w:rsid w:val="0FF440CD"/>
    <w:rsid w:val="10593B1B"/>
    <w:rsid w:val="11963726"/>
    <w:rsid w:val="12E34A1C"/>
    <w:rsid w:val="140E3BC6"/>
    <w:rsid w:val="14D43B13"/>
    <w:rsid w:val="15237B4F"/>
    <w:rsid w:val="15292DB1"/>
    <w:rsid w:val="15737469"/>
    <w:rsid w:val="15B95394"/>
    <w:rsid w:val="16E01DBD"/>
    <w:rsid w:val="17847ECF"/>
    <w:rsid w:val="19A27773"/>
    <w:rsid w:val="19B254B9"/>
    <w:rsid w:val="1A247F85"/>
    <w:rsid w:val="1A526F01"/>
    <w:rsid w:val="1A8A791A"/>
    <w:rsid w:val="1AA17232"/>
    <w:rsid w:val="1B6730CF"/>
    <w:rsid w:val="1C875020"/>
    <w:rsid w:val="1C892239"/>
    <w:rsid w:val="1E14652B"/>
    <w:rsid w:val="1E505746"/>
    <w:rsid w:val="1F397135"/>
    <w:rsid w:val="1F5960C1"/>
    <w:rsid w:val="1F8A4EEE"/>
    <w:rsid w:val="1FBC5501"/>
    <w:rsid w:val="200F052E"/>
    <w:rsid w:val="20A50C10"/>
    <w:rsid w:val="24155162"/>
    <w:rsid w:val="250E08B1"/>
    <w:rsid w:val="26A941B5"/>
    <w:rsid w:val="29E259F5"/>
    <w:rsid w:val="2AF74559"/>
    <w:rsid w:val="2BAE4AC7"/>
    <w:rsid w:val="2D8119C7"/>
    <w:rsid w:val="2FD20D53"/>
    <w:rsid w:val="3108211B"/>
    <w:rsid w:val="316F5F81"/>
    <w:rsid w:val="318425E7"/>
    <w:rsid w:val="329D4428"/>
    <w:rsid w:val="35B1287D"/>
    <w:rsid w:val="36684E46"/>
    <w:rsid w:val="36C9193B"/>
    <w:rsid w:val="386C2477"/>
    <w:rsid w:val="38953BFC"/>
    <w:rsid w:val="3B0504DA"/>
    <w:rsid w:val="3BB44F02"/>
    <w:rsid w:val="3BC1299F"/>
    <w:rsid w:val="3C0C4F24"/>
    <w:rsid w:val="3C1D1677"/>
    <w:rsid w:val="3CB03B9F"/>
    <w:rsid w:val="3D5E3786"/>
    <w:rsid w:val="3F20491B"/>
    <w:rsid w:val="403B04F8"/>
    <w:rsid w:val="440B6A2F"/>
    <w:rsid w:val="4425498E"/>
    <w:rsid w:val="470229D0"/>
    <w:rsid w:val="48537BC0"/>
    <w:rsid w:val="494866BD"/>
    <w:rsid w:val="4A914926"/>
    <w:rsid w:val="4B460AF7"/>
    <w:rsid w:val="4B880120"/>
    <w:rsid w:val="4BDA55C4"/>
    <w:rsid w:val="4C211D33"/>
    <w:rsid w:val="4CE56798"/>
    <w:rsid w:val="4E6653EF"/>
    <w:rsid w:val="4F1044E1"/>
    <w:rsid w:val="4F8E1A57"/>
    <w:rsid w:val="4FEA25BF"/>
    <w:rsid w:val="50334C5A"/>
    <w:rsid w:val="52715672"/>
    <w:rsid w:val="559F5E03"/>
    <w:rsid w:val="55D47119"/>
    <w:rsid w:val="56701CFC"/>
    <w:rsid w:val="56B7DAA1"/>
    <w:rsid w:val="56F565D9"/>
    <w:rsid w:val="56FC7776"/>
    <w:rsid w:val="56FE1384"/>
    <w:rsid w:val="57EE0B11"/>
    <w:rsid w:val="59D04BC3"/>
    <w:rsid w:val="59F20526"/>
    <w:rsid w:val="5A2F12C4"/>
    <w:rsid w:val="5ADA0AC0"/>
    <w:rsid w:val="5B316C8A"/>
    <w:rsid w:val="5CD47681"/>
    <w:rsid w:val="5DC72A1D"/>
    <w:rsid w:val="5EEE0888"/>
    <w:rsid w:val="60365631"/>
    <w:rsid w:val="61521CFE"/>
    <w:rsid w:val="617A3E24"/>
    <w:rsid w:val="61FA03FF"/>
    <w:rsid w:val="62974D5E"/>
    <w:rsid w:val="63F6712F"/>
    <w:rsid w:val="6530095B"/>
    <w:rsid w:val="65BDBA9E"/>
    <w:rsid w:val="66421828"/>
    <w:rsid w:val="69C56B13"/>
    <w:rsid w:val="6ABC71AD"/>
    <w:rsid w:val="6BBF4A39"/>
    <w:rsid w:val="6BD677A4"/>
    <w:rsid w:val="6C7F9869"/>
    <w:rsid w:val="6D5A2C9F"/>
    <w:rsid w:val="6DAE3E68"/>
    <w:rsid w:val="6DDD3303"/>
    <w:rsid w:val="6ED73D23"/>
    <w:rsid w:val="6FFD85F8"/>
    <w:rsid w:val="70016A1A"/>
    <w:rsid w:val="70756D15"/>
    <w:rsid w:val="70AA3521"/>
    <w:rsid w:val="741102FE"/>
    <w:rsid w:val="75E53235"/>
    <w:rsid w:val="75F06B3E"/>
    <w:rsid w:val="768E7C9A"/>
    <w:rsid w:val="76F07897"/>
    <w:rsid w:val="77F42F16"/>
    <w:rsid w:val="7AAB6246"/>
    <w:rsid w:val="7AED7FCC"/>
    <w:rsid w:val="7AFD0924"/>
    <w:rsid w:val="7D055912"/>
    <w:rsid w:val="7D0A3EAE"/>
    <w:rsid w:val="7E47500C"/>
    <w:rsid w:val="7EAFAE30"/>
    <w:rsid w:val="9E9E42EB"/>
    <w:rsid w:val="A3674B8A"/>
    <w:rsid w:val="BFB715EA"/>
    <w:rsid w:val="DFBFF496"/>
    <w:rsid w:val="DFFFCACE"/>
    <w:rsid w:val="E5B7E5AF"/>
    <w:rsid w:val="E9B310D8"/>
    <w:rsid w:val="FDEB9DCC"/>
    <w:rsid w:val="FEF2D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rFonts w:ascii="Calibri" w:hAnsi="Calibri" w:eastAsia="黑体"/>
      <w:b/>
      <w:bCs/>
      <w:kern w:val="44"/>
      <w:sz w:val="30"/>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0"/>
    <w:pPr>
      <w:jc w:val="left"/>
    </w:pPr>
    <w:rPr>
      <w:szCs w:val="20"/>
    </w:rPr>
  </w:style>
  <w:style w:type="paragraph" w:styleId="4">
    <w:name w:val="footer"/>
    <w:basedOn w:val="1"/>
    <w:unhideWhenUsed/>
    <w:qFormat/>
    <w:uiPriority w:val="0"/>
    <w:pPr>
      <w:tabs>
        <w:tab w:val="center" w:pos="4153"/>
        <w:tab w:val="right" w:pos="8306"/>
      </w:tabs>
      <w:snapToGrid w:val="0"/>
      <w:jc w:val="left"/>
    </w:pPr>
    <w:rPr>
      <w:rFonts w:ascii="Calibri" w:hAnsi="Calibri"/>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页眉 Char"/>
    <w:link w:val="5"/>
    <w:qFormat/>
    <w:uiPriority w:val="0"/>
    <w:rPr>
      <w:rFonts w:ascii="Calibri" w:hAnsi="Calibri"/>
      <w:sz w:val="18"/>
      <w:szCs w:val="18"/>
    </w:rPr>
  </w:style>
  <w:style w:type="paragraph" w:customStyle="1" w:styleId="11">
    <w:name w:val="列出段落"/>
    <w:basedOn w:val="1"/>
    <w:qFormat/>
    <w:uiPriority w:val="0"/>
    <w:pPr>
      <w:ind w:firstLine="420" w:firstLineChars="200"/>
    </w:pPr>
    <w:rPr>
      <w:rFonts w:ascii="Calibri" w:hAnsi="Calibri"/>
      <w:szCs w:val="22"/>
    </w:rPr>
  </w:style>
  <w:style w:type="paragraph" w:customStyle="1" w:styleId="12">
    <w:name w:val="CM19"/>
    <w:basedOn w:val="13"/>
    <w:next w:val="13"/>
    <w:qFormat/>
    <w:uiPriority w:val="0"/>
    <w:pPr>
      <w:spacing w:after="70"/>
    </w:pPr>
    <w:rPr>
      <w:rFonts w:cs="Times New Roman"/>
      <w:color w:val="auto"/>
    </w:rPr>
  </w:style>
  <w:style w:type="paragraph" w:customStyle="1" w:styleId="13">
    <w:name w:val="Default"/>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3965</Words>
  <Characters>4126</Characters>
  <Lines>0</Lines>
  <Paragraphs>0</Paragraphs>
  <TotalTime>6</TotalTime>
  <ScaleCrop>false</ScaleCrop>
  <LinksUpToDate>false</LinksUpToDate>
  <CharactersWithSpaces>4509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2023-02-22T21:40:00Z</dcterms:created>
  <dc:creator>王雁</dc:creator>
  <cp:lastModifiedBy>吴钦楷</cp:lastModifiedBy>
  <cp:lastPrinted>2023-12-02T13:57:00Z</cp:lastPrinted>
  <dcterms:modified xsi:type="dcterms:W3CDTF">2024-01-17T14:48:43Z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904505089A204EFFB7D078DC4D893F6C_13</vt:lpwstr>
  </property>
</Properties>
</file>