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560" w:lineRule="exact"/>
        <w:jc w:val="center"/>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pacing w:val="0"/>
          <w:w w:val="100"/>
          <w:kern w:val="2"/>
          <w:sz w:val="44"/>
          <w:szCs w:val="44"/>
          <w:lang w:val="en-US" w:eastAsia="zh-CN" w:bidi="ar-SA"/>
        </w:rPr>
      </w:pPr>
      <w:r>
        <w:rPr>
          <w:rFonts w:hint="eastAsia" w:ascii="方正小标宋简体" w:hAnsi="方正小标宋简体" w:eastAsia="方正小标宋简体" w:cs="方正小标宋简体"/>
          <w:color w:val="auto"/>
          <w:spacing w:val="0"/>
          <w:w w:val="100"/>
          <w:kern w:val="2"/>
          <w:sz w:val="44"/>
          <w:szCs w:val="44"/>
          <w:lang w:val="en-US" w:eastAsia="zh-CN" w:bidi="ar-SA"/>
        </w:rPr>
        <w:t>关于进一步做好固定资产投资项目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pacing w:val="0"/>
          <w:w w:val="100"/>
          <w:kern w:val="2"/>
          <w:sz w:val="44"/>
          <w:szCs w:val="44"/>
          <w:lang w:val="en-US" w:eastAsia="zh-CN" w:bidi="ar-SA"/>
        </w:rPr>
      </w:pPr>
      <w:r>
        <w:rPr>
          <w:rFonts w:hint="eastAsia" w:ascii="方正小标宋简体" w:hAnsi="方正小标宋简体" w:eastAsia="方正小标宋简体" w:cs="方正小标宋简体"/>
          <w:color w:val="auto"/>
          <w:spacing w:val="0"/>
          <w:w w:val="100"/>
          <w:kern w:val="2"/>
          <w:sz w:val="44"/>
          <w:szCs w:val="44"/>
          <w:lang w:val="en-US" w:eastAsia="zh-CN" w:bidi="ar-SA"/>
        </w:rPr>
        <w:t>节能审查工作的意见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_GB2312" w:hAnsi="宋体" w:eastAsia="楷体_GB2312" w:cs="Times New Roman"/>
          <w:color w:val="auto"/>
          <w:w w:val="100"/>
          <w:kern w:val="0"/>
          <w:sz w:val="32"/>
          <w:szCs w:val="32"/>
          <w:lang w:val="en-US" w:eastAsia="zh-CN" w:bidi="ar-SA"/>
        </w:rPr>
      </w:pPr>
      <w:r>
        <w:rPr>
          <w:rFonts w:hint="eastAsia" w:ascii="楷体_GB2312" w:hAnsi="宋体" w:eastAsia="楷体_GB2312" w:cs="Times New Roman"/>
          <w:color w:val="auto"/>
          <w:w w:val="100"/>
          <w:kern w:val="0"/>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jc w:val="both"/>
        <w:textAlignment w:val="auto"/>
        <w:rPr>
          <w:rFonts w:hint="eastAsia" w:ascii="仿宋_GB2312" w:hAnsi="仿宋_GB2312" w:eastAsia="仿宋_GB2312" w:cs="仿宋_GB2312"/>
          <w:color w:val="auto"/>
          <w:spacing w:val="6"/>
          <w:w w:val="10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仿宋_GB2312" w:cs="Times New Roman"/>
          <w:color w:val="auto"/>
          <w:kern w:val="2"/>
          <w:sz w:val="32"/>
          <w:szCs w:val="32"/>
          <w:lang w:val="en-US" w:eastAsia="zh-CN" w:bidi="ar-SA"/>
        </w:rPr>
        <w:t>为深入贯彻落实碳达峰、碳中和要求，进一步做好能耗双控，规范我市固定资产投资项目节能审查，</w:t>
      </w:r>
      <w:r>
        <w:rPr>
          <w:rFonts w:hint="default" w:ascii="Times New Roman" w:hAnsi="Times New Roman" w:eastAsia="仿宋_GB2312" w:cs="Times New Roman"/>
          <w:color w:val="auto"/>
          <w:kern w:val="2"/>
          <w:sz w:val="32"/>
          <w:szCs w:val="32"/>
          <w:lang w:val="en-US" w:eastAsia="zh-CN" w:bidi="ar-SA"/>
        </w:rPr>
        <w:t>根据</w:t>
      </w:r>
      <w:r>
        <w:rPr>
          <w:rFonts w:hint="default" w:ascii="Times New Roman" w:hAnsi="Times New Roman" w:eastAsia="仿宋_GB2312" w:cs="Times New Roman"/>
          <w:color w:val="auto"/>
          <w:kern w:val="2"/>
          <w:sz w:val="32"/>
          <w:szCs w:val="32"/>
          <w:lang w:val="en" w:eastAsia="zh-CN" w:bidi="ar-SA"/>
        </w:rPr>
        <w:t>省发改委</w:t>
      </w:r>
      <w:r>
        <w:rPr>
          <w:rFonts w:hint="default" w:ascii="Times New Roman" w:hAnsi="Times New Roman" w:eastAsia="仿宋_GB2312" w:cs="Times New Roman"/>
          <w:color w:val="auto"/>
          <w:kern w:val="2"/>
          <w:sz w:val="32"/>
          <w:szCs w:val="32"/>
          <w:lang w:val="en-US" w:eastAsia="zh-CN" w:bidi="ar-SA"/>
        </w:rPr>
        <w:t>《关于进一步加强固定资产投资项目和区域节能审查管理的意见》</w:t>
      </w:r>
      <w:r>
        <w:rPr>
          <w:rFonts w:hint="eastAsia" w:ascii="Times New Roman" w:hAnsi="Times New Roman" w:eastAsia="仿宋_GB2312" w:cs="Times New Roman"/>
          <w:color w:val="auto"/>
          <w:kern w:val="2"/>
          <w:sz w:val="32"/>
          <w:szCs w:val="32"/>
          <w:lang w:val="en-US" w:eastAsia="zh-CN" w:bidi="ar-SA"/>
        </w:rPr>
        <w:t>（浙发改能源〔2021〕42号）等有关规定，现就进一步做好我市固定资产投资项目节能审查工作提出如下意见。</w:t>
      </w:r>
    </w:p>
    <w:p>
      <w:pPr>
        <w:keepNext w:val="0"/>
        <w:keepLines w:val="0"/>
        <w:pageBreakBefore w:val="0"/>
        <w:widowControl w:val="0"/>
        <w:tabs>
          <w:tab w:val="right" w:pos="8205"/>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黑体" w:cs="Times New Roman"/>
          <w:color w:val="auto"/>
          <w:sz w:val="32"/>
          <w:szCs w:val="32"/>
          <w:lang w:val="en-US" w:eastAsia="zh-CN"/>
        </w:rPr>
        <w:t>一、实行分级分类管理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（一）国家发改委核报国务院审批或核准，以及国家发改委审批或核准的固定资产投资项目，其节能审查由省级节能主管部门负责实施。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color w:val="auto"/>
          <w:lang w:val="en-US" w:eastAsia="zh-CN"/>
        </w:rPr>
      </w:pPr>
      <w:r>
        <w:rPr>
          <w:rFonts w:hint="eastAsia" w:ascii="Times New Roman" w:hAnsi="Times New Roman" w:eastAsia="仿宋_GB2312" w:cs="Times New Roman"/>
          <w:color w:val="auto"/>
          <w:kern w:val="2"/>
          <w:sz w:val="32"/>
          <w:szCs w:val="32"/>
          <w:lang w:val="en-US" w:eastAsia="zh-CN" w:bidi="ar-SA"/>
        </w:rPr>
        <w:t>（二）除上述第一项外的年综合能源消费量5000吨标准煤以上的固定资产投资项目，由市级节能主管部门受省级节能主管部门委托负责实施节能审查。其中对</w:t>
      </w:r>
      <w:r>
        <w:rPr>
          <w:rFonts w:hint="eastAsia" w:ascii="Times New Roman" w:hAnsi="Times New Roman" w:eastAsia="仿宋_GB2312" w:cs="Times New Roman"/>
          <w:color w:val="auto"/>
          <w:sz w:val="32"/>
          <w:szCs w:val="32"/>
          <w:lang w:val="en-US" w:eastAsia="zh-CN"/>
        </w:rPr>
        <w:t>年综合能耗5万吨</w:t>
      </w:r>
      <w:r>
        <w:rPr>
          <w:rFonts w:hint="default" w:ascii="Times New Roman" w:hAnsi="Times New Roman" w:eastAsia="仿宋_GB2312" w:cs="Times New Roman"/>
          <w:color w:val="auto"/>
          <w:sz w:val="32"/>
          <w:szCs w:val="32"/>
          <w:lang w:val="en" w:eastAsia="zh-CN"/>
        </w:rPr>
        <w:t>标准煤</w:t>
      </w:r>
      <w:r>
        <w:rPr>
          <w:rFonts w:hint="eastAsia" w:ascii="Times New Roman" w:hAnsi="Times New Roman" w:eastAsia="仿宋_GB2312" w:cs="Times New Roman"/>
          <w:color w:val="auto"/>
          <w:sz w:val="32"/>
          <w:szCs w:val="32"/>
          <w:lang w:val="en-US" w:eastAsia="zh-CN"/>
        </w:rPr>
        <w:t>以上项目，</w:t>
      </w:r>
      <w:r>
        <w:rPr>
          <w:rFonts w:hint="eastAsia" w:ascii="Times New Roman" w:hAnsi="Times New Roman" w:eastAsia="仿宋_GB2312" w:cs="Times New Roman"/>
          <w:color w:val="auto"/>
          <w:kern w:val="2"/>
          <w:sz w:val="32"/>
          <w:szCs w:val="32"/>
          <w:lang w:val="en-US" w:eastAsia="zh-CN" w:bidi="ar-SA"/>
        </w:rPr>
        <w:t>市级在出具节能审查批复意见前，须报经省级节能主管部门审核确认。</w:t>
      </w:r>
    </w:p>
    <w:p>
      <w:pPr>
        <w:pStyle w:val="2"/>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cs="Times New Roman"/>
          <w:color w:val="auto"/>
          <w:kern w:val="2"/>
          <w:sz w:val="32"/>
          <w:szCs w:val="32"/>
          <w:lang w:val="en-US" w:eastAsia="zh-CN" w:bidi="ar-SA"/>
        </w:rPr>
        <w:t>（三）</w:t>
      </w:r>
      <w:r>
        <w:rPr>
          <w:rFonts w:hint="eastAsia" w:ascii="Times New Roman" w:hAnsi="Times New Roman" w:eastAsia="仿宋_GB2312" w:cs="Times New Roman"/>
          <w:color w:val="auto"/>
          <w:kern w:val="2"/>
          <w:sz w:val="32"/>
          <w:szCs w:val="32"/>
          <w:lang w:val="en-US" w:eastAsia="zh-CN" w:bidi="ar-SA"/>
        </w:rPr>
        <w:t>年综合能源消费量3000-5000吨标准煤的项目，由市级节能主管部门委托项目所在地县（市、区）节能主管部门负责实施节能审查。</w:t>
      </w:r>
      <w:r>
        <w:rPr>
          <w:rFonts w:hint="default" w:cs="Times New Roman"/>
          <w:color w:val="auto"/>
          <w:kern w:val="2"/>
          <w:sz w:val="32"/>
          <w:szCs w:val="32"/>
          <w:lang w:val="en" w:eastAsia="zh-CN" w:bidi="ar-SA"/>
        </w:rPr>
        <w:t>受委托节能审查机关在委托范围内，以市级节能主管部门名义实施行政许可</w:t>
      </w:r>
      <w:r>
        <w:rPr>
          <w:rFonts w:hint="eastAsia" w:cs="Times New Roman"/>
          <w:color w:val="auto"/>
          <w:kern w:val="2"/>
          <w:sz w:val="32"/>
          <w:szCs w:val="32"/>
          <w:lang w:val="en" w:eastAsia="zh-CN" w:bidi="ar-SA"/>
        </w:rPr>
        <w:t>，</w:t>
      </w:r>
      <w:r>
        <w:rPr>
          <w:rFonts w:hint="default" w:cs="Times New Roman"/>
          <w:color w:val="auto"/>
          <w:kern w:val="2"/>
          <w:sz w:val="32"/>
          <w:szCs w:val="32"/>
          <w:lang w:val="en" w:eastAsia="zh-CN" w:bidi="ar-SA"/>
        </w:rPr>
        <w:t>在出具节能审查意见后10日内向市级节能主管部门报备。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（四）年综合能源消费量1000-3000吨标准煤的项目</w:t>
      </w:r>
      <w:r>
        <w:rPr>
          <w:rFonts w:hint="default" w:ascii="Times New Roman" w:hAnsi="Times New Roman" w:eastAsia="仿宋_GB2312" w:cs="Times New Roman"/>
          <w:color w:val="auto"/>
          <w:kern w:val="2"/>
          <w:sz w:val="32"/>
          <w:szCs w:val="32"/>
          <w:lang w:val="en" w:eastAsia="zh-CN" w:bidi="ar-SA"/>
        </w:rPr>
        <w:t>，</w:t>
      </w:r>
      <w:r>
        <w:rPr>
          <w:rFonts w:hint="eastAsia" w:ascii="Times New Roman" w:hAnsi="Times New Roman" w:eastAsia="仿宋_GB2312" w:cs="Times New Roman"/>
          <w:color w:val="auto"/>
          <w:kern w:val="2"/>
          <w:sz w:val="32"/>
          <w:szCs w:val="32"/>
          <w:lang w:val="en-US" w:eastAsia="zh-CN" w:bidi="ar-SA"/>
        </w:rPr>
        <w:t>由项目所在地县（市、区）节能主管部门负责实施节能审查。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color w:val="auto"/>
          <w:shd w:val="clear" w:color="FFFFFF" w:fill="D9D9D9"/>
          <w:lang w:val="en-US" w:eastAsia="zh-CN"/>
        </w:rPr>
      </w:pPr>
      <w:r>
        <w:rPr>
          <w:rFonts w:hint="eastAsia" w:ascii="Times New Roman" w:hAnsi="Times New Roman" w:eastAsia="仿宋_GB2312" w:cs="Times New Roman"/>
          <w:color w:val="auto"/>
          <w:kern w:val="2"/>
          <w:sz w:val="32"/>
          <w:szCs w:val="32"/>
          <w:lang w:val="en-US" w:eastAsia="zh-CN" w:bidi="ar-SA"/>
        </w:rPr>
        <w:t>（五）对国家规定不单独进行节能审查的行业目录中的固定资产投资项目，以及年综合能源消费量不满1000吨标准煤的固定资产投资项目，不再单独进行节能审查。</w:t>
      </w:r>
      <w:r>
        <w:rPr>
          <w:rFonts w:hint="eastAsia" w:ascii="Times New Roman" w:hAnsi="Times New Roman" w:eastAsia="仿宋_GB2312" w:cs="Times New Roman"/>
          <w:color w:val="auto"/>
          <w:kern w:val="2"/>
          <w:sz w:val="32"/>
          <w:szCs w:val="32"/>
          <w:shd w:val="clear" w:color="auto" w:fill="auto"/>
          <w:lang w:val="en-US" w:eastAsia="zh-CN" w:bidi="ar-SA"/>
        </w:rPr>
        <w:t>政府投资项目应当在报送可行性研究报告时向项目所在地节能主管部门承诺备案</w:t>
      </w:r>
      <w:r>
        <w:rPr>
          <w:rFonts w:hint="default" w:ascii="Times New Roman" w:hAnsi="Times New Roman" w:eastAsia="仿宋_GB2312" w:cs="Times New Roman"/>
          <w:color w:val="auto"/>
          <w:kern w:val="2"/>
          <w:sz w:val="32"/>
          <w:szCs w:val="32"/>
          <w:shd w:val="clear" w:color="auto" w:fill="auto"/>
          <w:lang w:val="en" w:eastAsia="zh-CN" w:bidi="ar-SA"/>
        </w:rPr>
        <w:t>，</w:t>
      </w:r>
      <w:r>
        <w:rPr>
          <w:rFonts w:hint="eastAsia" w:ascii="Times New Roman" w:hAnsi="Times New Roman" w:eastAsia="仿宋_GB2312" w:cs="Times New Roman"/>
          <w:color w:val="auto"/>
          <w:kern w:val="2"/>
          <w:sz w:val="32"/>
          <w:szCs w:val="32"/>
          <w:shd w:val="clear" w:color="auto" w:fill="auto"/>
          <w:lang w:val="en-US" w:eastAsia="zh-CN" w:bidi="ar-SA"/>
        </w:rPr>
        <w:t>企业投资项目应当在开工建设前向项目所在地节能主管部门承诺备案</w:t>
      </w:r>
      <w:r>
        <w:rPr>
          <w:rFonts w:hint="default" w:ascii="Times New Roman" w:hAnsi="Times New Roman" w:eastAsia="仿宋_GB2312" w:cs="Times New Roman"/>
          <w:color w:val="auto"/>
          <w:kern w:val="2"/>
          <w:sz w:val="32"/>
          <w:szCs w:val="32"/>
          <w:shd w:val="clear" w:color="auto" w:fill="auto"/>
          <w:lang w:val="en" w:eastAsia="zh-CN" w:bidi="ar-SA"/>
        </w:rPr>
        <w:t>，</w:t>
      </w:r>
      <w:r>
        <w:rPr>
          <w:rFonts w:hint="eastAsia" w:ascii="Times New Roman" w:hAnsi="Times New Roman" w:eastAsia="仿宋_GB2312" w:cs="Times New Roman"/>
          <w:color w:val="auto"/>
          <w:kern w:val="2"/>
          <w:sz w:val="32"/>
          <w:szCs w:val="32"/>
          <w:shd w:val="clear" w:color="auto" w:fill="auto"/>
          <w:lang w:val="en-US" w:eastAsia="zh-CN" w:bidi="ar-SA"/>
        </w:rPr>
        <w:t>并按照相关节能标准、规范建设。</w:t>
      </w:r>
    </w:p>
    <w:p>
      <w:pPr>
        <w:keepNext w:val="0"/>
        <w:keepLines w:val="0"/>
        <w:pageBreakBefore w:val="0"/>
        <w:widowControl w:val="0"/>
        <w:tabs>
          <w:tab w:val="right" w:pos="8205"/>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二、严格把好项目准入关</w:t>
      </w:r>
    </w:p>
    <w:p>
      <w:pPr>
        <w:pStyle w:val="2"/>
        <w:keepNext w:val="0"/>
        <w:keepLines w:val="0"/>
        <w:pageBreakBefore w:val="0"/>
        <w:kinsoku/>
        <w:wordWrap/>
        <w:overflowPunct/>
        <w:topLinePunct w:val="0"/>
        <w:autoSpaceDE/>
        <w:autoSpaceDN/>
        <w:bidi w:val="0"/>
        <w:spacing w:line="560" w:lineRule="exact"/>
        <w:textAlignment w:val="auto"/>
        <w:rPr>
          <w:rFonts w:hint="default"/>
          <w:color w:val="auto"/>
          <w:lang w:val="en-US" w:eastAsia="zh-CN"/>
        </w:rPr>
      </w:pPr>
      <w:r>
        <w:rPr>
          <w:rFonts w:hint="eastAsia" w:cs="Times New Roman"/>
          <w:color w:val="auto"/>
          <w:kern w:val="2"/>
          <w:sz w:val="32"/>
          <w:szCs w:val="32"/>
          <w:lang w:eastAsia="zh-CN"/>
        </w:rPr>
        <w:t>（一）</w:t>
      </w:r>
      <w:r>
        <w:rPr>
          <w:rFonts w:hint="eastAsia" w:cs="Times New Roman"/>
          <w:color w:val="auto"/>
          <w:kern w:val="2"/>
          <w:sz w:val="32"/>
          <w:szCs w:val="32"/>
          <w:lang w:val="en-US" w:eastAsia="zh-CN"/>
        </w:rPr>
        <w:t>严格项目准入，</w:t>
      </w:r>
      <w:r>
        <w:rPr>
          <w:rFonts w:hint="default" w:ascii="Times New Roman" w:hAnsi="Times New Roman" w:eastAsia="仿宋_GB2312" w:cs="Times New Roman"/>
          <w:color w:val="auto"/>
          <w:kern w:val="2"/>
          <w:sz w:val="32"/>
          <w:szCs w:val="32"/>
        </w:rPr>
        <w:t>对不符合国家产业规划、产业政策、“三线一单”、产能置换、煤炭消费减量替代等要求的项目，坚决停批停建。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eastAsia="zh-CN"/>
        </w:rPr>
        <w:t>（二）</w:t>
      </w:r>
      <w:r>
        <w:rPr>
          <w:rFonts w:hint="eastAsia" w:ascii="Times New Roman" w:hAnsi="Times New Roman" w:eastAsia="仿宋_GB2312" w:cs="Times New Roman"/>
          <w:color w:val="auto"/>
          <w:kern w:val="2"/>
          <w:sz w:val="32"/>
          <w:szCs w:val="32"/>
          <w:lang w:val="en-US" w:eastAsia="zh-CN"/>
        </w:rPr>
        <w:t>加强重点专项规划、投资计划与能耗双控目标的衔接，各地各部门在</w:t>
      </w:r>
      <w:r>
        <w:rPr>
          <w:rFonts w:hint="default" w:ascii="Times New Roman" w:hAnsi="Times New Roman" w:eastAsia="仿宋_GB2312" w:cs="Times New Roman"/>
          <w:color w:val="auto"/>
          <w:kern w:val="2"/>
          <w:sz w:val="32"/>
          <w:szCs w:val="32"/>
        </w:rPr>
        <w:t>编制“十四五”用能需求较大的产业</w:t>
      </w:r>
      <w:r>
        <w:rPr>
          <w:rFonts w:hint="eastAsia" w:ascii="Times New Roman" w:hAnsi="Times New Roman" w:eastAsia="仿宋_GB2312" w:cs="Times New Roman"/>
          <w:color w:val="auto"/>
          <w:kern w:val="2"/>
          <w:sz w:val="32"/>
          <w:szCs w:val="32"/>
          <w:lang w:eastAsia="zh-CN"/>
        </w:rPr>
        <w:t>发展</w:t>
      </w:r>
      <w:r>
        <w:rPr>
          <w:rFonts w:hint="default" w:ascii="Times New Roman" w:hAnsi="Times New Roman" w:eastAsia="仿宋_GB2312" w:cs="Times New Roman"/>
          <w:color w:val="auto"/>
          <w:kern w:val="2"/>
          <w:sz w:val="32"/>
          <w:szCs w:val="32"/>
        </w:rPr>
        <w:t>规划</w:t>
      </w:r>
      <w:r>
        <w:rPr>
          <w:rFonts w:hint="eastAsia" w:ascii="Times New Roman" w:hAnsi="Times New Roman" w:eastAsia="仿宋_GB2312" w:cs="Times New Roman"/>
          <w:color w:val="auto"/>
          <w:kern w:val="2"/>
          <w:sz w:val="32"/>
          <w:szCs w:val="32"/>
          <w:lang w:eastAsia="zh-CN"/>
        </w:rPr>
        <w:t>，以及</w:t>
      </w:r>
      <w:r>
        <w:rPr>
          <w:rFonts w:hint="default" w:ascii="Times New Roman" w:hAnsi="Times New Roman" w:eastAsia="仿宋_GB2312" w:cs="Times New Roman"/>
          <w:color w:val="auto"/>
          <w:kern w:val="2"/>
          <w:sz w:val="32"/>
          <w:szCs w:val="32"/>
        </w:rPr>
        <w:t>制定重大</w:t>
      </w:r>
      <w:r>
        <w:rPr>
          <w:rFonts w:hint="eastAsia" w:ascii="Times New Roman" w:hAnsi="Times New Roman" w:eastAsia="仿宋_GB2312" w:cs="Times New Roman"/>
          <w:color w:val="auto"/>
          <w:kern w:val="2"/>
          <w:sz w:val="32"/>
          <w:szCs w:val="32"/>
          <w:lang w:eastAsia="zh-CN"/>
        </w:rPr>
        <w:t>产业</w:t>
      </w:r>
      <w:r>
        <w:rPr>
          <w:rFonts w:hint="default" w:ascii="Times New Roman" w:hAnsi="Times New Roman" w:eastAsia="仿宋_GB2312" w:cs="Times New Roman"/>
          <w:color w:val="auto"/>
          <w:kern w:val="2"/>
          <w:sz w:val="32"/>
          <w:szCs w:val="32"/>
        </w:rPr>
        <w:t>政策时，</w:t>
      </w:r>
      <w:r>
        <w:rPr>
          <w:rFonts w:hint="eastAsia" w:ascii="Times New Roman" w:hAnsi="Times New Roman" w:eastAsia="仿宋_GB2312" w:cs="Times New Roman"/>
          <w:color w:val="auto"/>
          <w:kern w:val="2"/>
          <w:sz w:val="32"/>
          <w:szCs w:val="32"/>
          <w:lang w:eastAsia="zh-CN"/>
        </w:rPr>
        <w:t>应同时</w:t>
      </w:r>
      <w:r>
        <w:rPr>
          <w:rFonts w:hint="eastAsia" w:ascii="Times New Roman" w:hAnsi="Times New Roman" w:eastAsia="仿宋_GB2312" w:cs="Times New Roman"/>
          <w:color w:val="auto"/>
          <w:kern w:val="2"/>
          <w:sz w:val="32"/>
          <w:szCs w:val="32"/>
          <w:lang w:val="en-US" w:eastAsia="zh-CN"/>
        </w:rPr>
        <w:t>征求同级节能主管部门的意见，</w:t>
      </w:r>
      <w:r>
        <w:rPr>
          <w:rFonts w:hint="default" w:ascii="Times New Roman" w:hAnsi="Times New Roman" w:eastAsia="仿宋_GB2312" w:cs="Times New Roman"/>
          <w:color w:val="auto"/>
          <w:kern w:val="2"/>
          <w:sz w:val="32"/>
          <w:szCs w:val="32"/>
        </w:rPr>
        <w:t>充</w:t>
      </w:r>
      <w:r>
        <w:rPr>
          <w:rFonts w:hint="default" w:ascii="Times New Roman" w:hAnsi="Times New Roman" w:eastAsia="仿宋_GB2312" w:cs="Times New Roman"/>
          <w:color w:val="auto"/>
          <w:sz w:val="32"/>
          <w:szCs w:val="32"/>
          <w:lang w:val="en-US" w:eastAsia="zh-CN"/>
        </w:rPr>
        <w:t>分考虑本地区</w:t>
      </w:r>
      <w:r>
        <w:rPr>
          <w:rFonts w:hint="eastAsia" w:ascii="Times New Roman" w:hAnsi="Times New Roman" w:eastAsia="仿宋_GB2312" w:cs="Times New Roman"/>
          <w:color w:val="auto"/>
          <w:sz w:val="32"/>
          <w:szCs w:val="32"/>
          <w:lang w:val="en-US" w:eastAsia="zh-CN"/>
        </w:rPr>
        <w:t>用能空间，促进多目标任务的平衡。</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kern w:val="2"/>
          <w:sz w:val="32"/>
          <w:szCs w:val="32"/>
          <w:lang w:eastAsia="zh-CN"/>
        </w:rPr>
        <w:t>（三）招引</w:t>
      </w:r>
      <w:r>
        <w:rPr>
          <w:rFonts w:hint="default" w:ascii="Times New Roman" w:hAnsi="Times New Roman" w:eastAsia="仿宋_GB2312" w:cs="Times New Roman"/>
          <w:color w:val="auto"/>
          <w:kern w:val="2"/>
          <w:sz w:val="32"/>
          <w:szCs w:val="32"/>
        </w:rPr>
        <w:t>重大项目</w:t>
      </w:r>
      <w:r>
        <w:rPr>
          <w:rFonts w:hint="eastAsia" w:ascii="Times New Roman" w:hAnsi="Times New Roman" w:eastAsia="仿宋_GB2312" w:cs="Times New Roman"/>
          <w:color w:val="auto"/>
          <w:kern w:val="2"/>
          <w:sz w:val="32"/>
          <w:szCs w:val="32"/>
          <w:lang w:eastAsia="zh-CN"/>
        </w:rPr>
        <w:t>或</w:t>
      </w:r>
      <w:r>
        <w:rPr>
          <w:rFonts w:hint="eastAsia" w:ascii="Times New Roman" w:hAnsi="Times New Roman" w:eastAsia="仿宋_GB2312" w:cs="Times New Roman"/>
          <w:color w:val="auto"/>
          <w:sz w:val="32"/>
          <w:szCs w:val="32"/>
          <w:lang w:val="en-US" w:eastAsia="zh-CN"/>
        </w:rPr>
        <w:t>申报省“4+1”重大项目投资年度实施计划、省“六个千亿”产业投资工程计划、省重大产业项目时，应当征求同级节能主管部门的意见，对投资项目的能效等情况进行审核评估，对未通过审核评估的，不得纳入相关投资项目计划。</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（四）</w:t>
      </w:r>
      <w:r>
        <w:rPr>
          <w:rFonts w:hint="eastAsia" w:ascii="Times New Roman" w:hAnsi="Times New Roman" w:eastAsia="仿宋_GB2312" w:cs="Times New Roman"/>
          <w:color w:val="auto"/>
          <w:sz w:val="32"/>
          <w:szCs w:val="32"/>
          <w:lang w:val="en-US" w:eastAsia="zh-CN"/>
        </w:rPr>
        <w:t>严格落实新上产业项目单位工业增加值能耗准入标准（“十四五”期间全省控制标准为0.52吨标准煤/万元）。对单位工业增加值能耗高于全省控制目标的新增用能项目，严格落实能耗减量或等量替代措施，通过用能权交易获得用能指标。对新增用煤项目，严格实施煤炭减量或等量替代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eastAsia="zh-CN" w:bidi="ar-SA"/>
        </w:rPr>
        <w:t>（五）如被省级或市级列入</w:t>
      </w:r>
      <w:r>
        <w:rPr>
          <w:rFonts w:hint="default" w:ascii="Times New Roman" w:hAnsi="Times New Roman" w:eastAsia="仿宋_GB2312" w:cs="Times New Roman"/>
          <w:color w:val="auto"/>
          <w:kern w:val="2"/>
          <w:sz w:val="32"/>
          <w:szCs w:val="32"/>
          <w:lang w:val="en" w:eastAsia="zh-CN" w:bidi="ar-SA"/>
        </w:rPr>
        <w:t>高耗能行业项目</w:t>
      </w:r>
      <w:r>
        <w:rPr>
          <w:rFonts w:hint="eastAsia" w:ascii="Times New Roman" w:hAnsi="Times New Roman" w:eastAsia="仿宋_GB2312" w:cs="Times New Roman"/>
          <w:color w:val="auto"/>
          <w:kern w:val="2"/>
          <w:sz w:val="32"/>
          <w:szCs w:val="32"/>
          <w:lang w:val="en-US" w:eastAsia="zh-CN" w:bidi="ar-SA"/>
        </w:rPr>
        <w:t>缓批限批区域，</w:t>
      </w:r>
      <w:r>
        <w:rPr>
          <w:rFonts w:hint="default" w:ascii="Times New Roman" w:hAnsi="Times New Roman" w:eastAsia="仿宋_GB2312" w:cs="Times New Roman"/>
          <w:color w:val="auto"/>
          <w:kern w:val="2"/>
          <w:sz w:val="32"/>
          <w:szCs w:val="32"/>
          <w:lang w:val="en" w:eastAsia="zh-CN" w:bidi="ar-SA"/>
        </w:rPr>
        <w:t>在</w:t>
      </w:r>
      <w:r>
        <w:rPr>
          <w:rFonts w:hint="eastAsia" w:ascii="Times New Roman" w:hAnsi="Times New Roman" w:eastAsia="仿宋_GB2312" w:cs="Times New Roman"/>
          <w:color w:val="auto"/>
          <w:kern w:val="2"/>
          <w:sz w:val="32"/>
          <w:szCs w:val="32"/>
          <w:lang w:val="en-US" w:eastAsia="zh-CN" w:bidi="ar-SA"/>
        </w:rPr>
        <w:t>缓批限批期间，有关投资主管部门应当按照管理权限暂停批准或者核准新增能耗的高耗能行业项目（其中单位工业增加能耗低于全省控制目标的项目除外）。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cs="Times New Roman"/>
          <w:color w:val="auto"/>
          <w:sz w:val="32"/>
          <w:szCs w:val="32"/>
          <w:lang w:val="en-US" w:eastAsia="zh-CN"/>
        </w:rPr>
      </w:pPr>
      <w:r>
        <w:rPr>
          <w:rFonts w:hint="eastAsia" w:ascii="Times New Roman" w:hAnsi="Times New Roman" w:eastAsia="仿宋_GB2312" w:cs="Times New Roman"/>
          <w:color w:val="auto"/>
          <w:kern w:val="2"/>
          <w:sz w:val="32"/>
          <w:szCs w:val="32"/>
          <w:shd w:val="clear" w:color="auto" w:fill="auto"/>
          <w:lang w:eastAsia="zh-CN" w:bidi="ar-SA"/>
        </w:rPr>
        <w:t>（六）加强企业投资项目备案、电力业扩报装等信息的衔接，对节能审查未批先建的</w:t>
      </w:r>
      <w:r>
        <w:rPr>
          <w:rFonts w:hint="eastAsia" w:ascii="Times New Roman" w:hAnsi="Times New Roman" w:eastAsia="仿宋_GB2312" w:cs="Times New Roman"/>
          <w:color w:val="auto"/>
          <w:kern w:val="2"/>
          <w:sz w:val="32"/>
          <w:szCs w:val="32"/>
          <w:shd w:val="clear" w:color="auto" w:fill="auto"/>
          <w:lang w:val="en-US" w:eastAsia="zh-CN" w:bidi="ar-SA"/>
        </w:rPr>
        <w:t>固定资产投资项目，</w:t>
      </w:r>
      <w:r>
        <w:rPr>
          <w:rFonts w:hint="default" w:ascii="Times New Roman" w:hAnsi="Times New Roman" w:eastAsia="仿宋_GB2312" w:cs="Times New Roman"/>
          <w:color w:val="auto"/>
          <w:kern w:val="2"/>
          <w:sz w:val="32"/>
          <w:szCs w:val="32"/>
          <w:shd w:val="clear" w:color="auto" w:fill="auto"/>
          <w:lang w:val="en" w:eastAsia="zh-CN" w:bidi="ar-SA"/>
        </w:rPr>
        <w:t>由</w:t>
      </w:r>
      <w:r>
        <w:rPr>
          <w:rFonts w:hint="eastAsia" w:ascii="Times New Roman" w:hAnsi="Times New Roman" w:eastAsia="仿宋_GB2312" w:cs="Times New Roman"/>
          <w:color w:val="auto"/>
          <w:kern w:val="2"/>
          <w:sz w:val="32"/>
          <w:szCs w:val="32"/>
          <w:shd w:val="clear" w:color="auto" w:fill="auto"/>
          <w:lang w:val="en-US" w:eastAsia="zh-CN" w:bidi="ar-SA"/>
        </w:rPr>
        <w:t>节能主管部门按照管理权限进行调查处置。</w:t>
      </w:r>
    </w:p>
    <w:p>
      <w:pPr>
        <w:keepNext w:val="0"/>
        <w:keepLines w:val="0"/>
        <w:pageBreakBefore w:val="0"/>
        <w:widowControl w:val="0"/>
        <w:tabs>
          <w:tab w:val="right" w:pos="8205"/>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三、规范节能审查程序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 w:eastAsia="zh-CN"/>
        </w:rPr>
      </w:pPr>
      <w:r>
        <w:rPr>
          <w:rFonts w:hint="eastAsia"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lang w:val="en-US" w:eastAsia="zh-CN"/>
        </w:rPr>
        <w:t>年综合能源消费量5000吨标准煤及以上的固定资产投资项目，由项目所在地节能主管部门对项目节能报告初审后上报市级节能主管部门。</w:t>
      </w:r>
      <w:r>
        <w:rPr>
          <w:rFonts w:hint="default" w:ascii="Times New Roman" w:hAnsi="Times New Roman" w:eastAsia="仿宋_GB2312" w:cs="Times New Roman"/>
          <w:color w:val="auto"/>
          <w:sz w:val="32"/>
          <w:szCs w:val="32"/>
          <w:lang w:val="en" w:eastAsia="zh-CN"/>
        </w:rPr>
        <w:t>市级节能主管部门</w:t>
      </w:r>
      <w:r>
        <w:rPr>
          <w:rFonts w:hint="eastAsia" w:ascii="Times New Roman" w:hAnsi="Times New Roman" w:eastAsia="仿宋_GB2312" w:cs="Times New Roman"/>
          <w:color w:val="auto"/>
          <w:sz w:val="32"/>
          <w:szCs w:val="32"/>
          <w:lang w:val="en-US" w:eastAsia="zh-CN"/>
        </w:rPr>
        <w:t>确认受理后，委托有关机构或组织专家组进行评审，并根据专家评审意见</w:t>
      </w:r>
      <w:r>
        <w:rPr>
          <w:rFonts w:hint="default" w:ascii="Times New Roman" w:hAnsi="Times New Roman" w:eastAsia="仿宋_GB2312" w:cs="Times New Roman"/>
          <w:color w:val="auto"/>
          <w:sz w:val="32"/>
          <w:szCs w:val="32"/>
          <w:lang w:val="en" w:eastAsia="zh-CN"/>
        </w:rPr>
        <w:t>、全市用能情况等，</w:t>
      </w:r>
      <w:r>
        <w:rPr>
          <w:rFonts w:hint="eastAsia" w:ascii="Times New Roman" w:hAnsi="Times New Roman" w:eastAsia="仿宋_GB2312" w:cs="Times New Roman"/>
          <w:color w:val="auto"/>
          <w:sz w:val="32"/>
          <w:szCs w:val="32"/>
          <w:lang w:val="en-US" w:eastAsia="zh-CN"/>
        </w:rPr>
        <w:t>决定是否出具节能审查意见</w:t>
      </w:r>
      <w:r>
        <w:rPr>
          <w:rFonts w:hint="default" w:ascii="Times New Roman" w:hAnsi="Times New Roman" w:eastAsia="仿宋_GB2312" w:cs="Times New Roman"/>
          <w:color w:val="auto"/>
          <w:sz w:val="32"/>
          <w:szCs w:val="32"/>
          <w:lang w:val="en" w:eastAsia="zh-CN"/>
        </w:rPr>
        <w:t>。</w:t>
      </w:r>
      <w:r>
        <w:rPr>
          <w:rFonts w:hint="eastAsia" w:ascii="仿宋_GB2312" w:hAnsi="仿宋_GB2312" w:eastAsia="仿宋_GB2312" w:cs="仿宋_GB2312"/>
          <w:sz w:val="32"/>
          <w:szCs w:val="32"/>
          <w:lang w:val="en-US" w:eastAsia="zh-CN"/>
        </w:rPr>
        <w:t>对八大高能耗项目或单位工业增加值能耗高于全省控制目标的新增用能项目，邀请经信、生态环境、供电等有关部门参加评审。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color w:val="auto"/>
          <w:lang w:val="en" w:eastAsia="zh-CN"/>
        </w:rPr>
      </w:pPr>
      <w:r>
        <w:rPr>
          <w:rFonts w:hint="eastAsia" w:ascii="Times New Roman" w:hAnsi="Times New Roman" w:eastAsia="仿宋_GB2312" w:cs="Times New Roman"/>
          <w:color w:val="auto"/>
          <w:kern w:val="2"/>
          <w:sz w:val="32"/>
          <w:szCs w:val="32"/>
          <w:lang w:eastAsia="zh-CN" w:bidi="ar-SA"/>
        </w:rPr>
        <w:t>（二）</w:t>
      </w:r>
      <w:r>
        <w:rPr>
          <w:rFonts w:hint="eastAsia" w:ascii="Times New Roman" w:hAnsi="Times New Roman" w:eastAsia="仿宋_GB2312" w:cs="Times New Roman"/>
          <w:color w:val="auto"/>
          <w:kern w:val="2"/>
          <w:sz w:val="32"/>
          <w:szCs w:val="32"/>
          <w:lang w:val="en-US" w:eastAsia="zh-CN" w:bidi="ar-SA"/>
        </w:rPr>
        <w:t>对年综合能源消费量超过5000吨标准煤以上的</w:t>
      </w:r>
      <w:r>
        <w:rPr>
          <w:rFonts w:hint="eastAsia" w:ascii="仿宋_GB2312" w:hAnsi="仿宋_GB2312" w:eastAsia="仿宋_GB2312" w:cs="仿宋_GB2312"/>
          <w:color w:val="auto"/>
          <w:sz w:val="32"/>
          <w:szCs w:val="32"/>
          <w:lang w:val="en-US" w:eastAsia="zh-CN"/>
        </w:rPr>
        <w:t>，原则上应提交</w:t>
      </w:r>
      <w:r>
        <w:rPr>
          <w:rFonts w:hint="eastAsia" w:ascii="Times New Roman" w:hAnsi="Times New Roman" w:eastAsia="仿宋_GB2312" w:cs="Times New Roman"/>
          <w:color w:val="auto"/>
          <w:sz w:val="32"/>
          <w:szCs w:val="32"/>
          <w:lang w:val="en-US" w:eastAsia="zh-CN"/>
        </w:rPr>
        <w:t>委主任办公会研究；年综合能源消费量超过5万吨标准煤以上的，原则上应</w:t>
      </w:r>
      <w:r>
        <w:rPr>
          <w:rFonts w:hint="eastAsia" w:ascii="仿宋_GB2312" w:hAnsi="仿宋_GB2312" w:eastAsia="仿宋_GB2312" w:cs="仿宋_GB2312"/>
          <w:color w:val="auto"/>
          <w:sz w:val="32"/>
          <w:szCs w:val="32"/>
          <w:lang w:val="en-US" w:eastAsia="zh-CN"/>
        </w:rPr>
        <w:t>报经市政府同意</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color w:val="auto"/>
          <w:lang w:val="en-US" w:eastAsia="zh-CN"/>
        </w:rPr>
      </w:pPr>
      <w:r>
        <w:rPr>
          <w:rFonts w:hint="eastAsia" w:ascii="Times New Roman" w:hAnsi="Times New Roman" w:eastAsia="仿宋_GB2312" w:cs="Times New Roman"/>
          <w:color w:val="auto"/>
          <w:kern w:val="2"/>
          <w:sz w:val="32"/>
          <w:szCs w:val="32"/>
          <w:lang w:eastAsia="zh-CN" w:bidi="ar-SA"/>
        </w:rPr>
        <w:t>（三）</w:t>
      </w:r>
      <w:r>
        <w:rPr>
          <w:rFonts w:hint="eastAsia" w:ascii="Times New Roman" w:hAnsi="Times New Roman" w:eastAsia="仿宋_GB2312" w:cs="Times New Roman"/>
          <w:color w:val="auto"/>
          <w:kern w:val="2"/>
          <w:sz w:val="32"/>
          <w:szCs w:val="32"/>
          <w:lang w:val="en-US" w:eastAsia="zh-CN" w:bidi="ar-SA"/>
        </w:rPr>
        <w:t>除涉及国家秘密的项目外</w:t>
      </w:r>
      <w:r>
        <w:rPr>
          <w:rFonts w:hint="default" w:ascii="Times New Roman" w:hAnsi="Times New Roman" w:eastAsia="仿宋_GB2312" w:cs="Times New Roman"/>
          <w:color w:val="auto"/>
          <w:kern w:val="2"/>
          <w:sz w:val="32"/>
          <w:szCs w:val="32"/>
          <w:lang w:val="en" w:eastAsia="zh-CN" w:bidi="ar-SA"/>
        </w:rPr>
        <w:t>，</w:t>
      </w:r>
      <w:r>
        <w:rPr>
          <w:rFonts w:hint="eastAsia" w:ascii="Times New Roman" w:hAnsi="Times New Roman" w:eastAsia="仿宋_GB2312" w:cs="Times New Roman"/>
          <w:color w:val="auto"/>
          <w:kern w:val="2"/>
          <w:sz w:val="32"/>
          <w:szCs w:val="32"/>
          <w:lang w:val="en-US" w:eastAsia="zh-CN" w:bidi="ar-SA"/>
        </w:rPr>
        <w:t>固定资产投资项目节能审查应纳入投资项目在线审批监管平台统一管理，实行网上申报、受理、审批和监管，实现审查过程和结果的可查询、可监督。</w:t>
      </w:r>
    </w:p>
    <w:p>
      <w:pPr>
        <w:keepNext w:val="0"/>
        <w:keepLines w:val="0"/>
        <w:pageBreakBefore w:val="0"/>
        <w:widowControl w:val="0"/>
        <w:tabs>
          <w:tab w:val="right" w:pos="8205"/>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黑体" w:cs="Times New Roman"/>
          <w:color w:val="auto"/>
          <w:sz w:val="32"/>
          <w:szCs w:val="32"/>
          <w:shd w:val="clear" w:color="auto" w:fill="auto"/>
          <w:lang w:val="en-US" w:eastAsia="zh-CN"/>
        </w:rPr>
      </w:pPr>
      <w:r>
        <w:rPr>
          <w:rFonts w:hint="eastAsia" w:ascii="Times New Roman" w:hAnsi="Times New Roman" w:eastAsia="黑体" w:cs="Times New Roman"/>
          <w:color w:val="auto"/>
          <w:sz w:val="32"/>
          <w:szCs w:val="32"/>
          <w:shd w:val="clear" w:color="auto" w:fill="auto"/>
          <w:lang w:val="en-US" w:eastAsia="zh-CN"/>
        </w:rPr>
        <w:t>四、加强项目节能验收</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color w:val="auto"/>
          <w:lang w:val="en-US" w:eastAsia="zh-CN"/>
        </w:rPr>
      </w:pPr>
      <w:r>
        <w:rPr>
          <w:rFonts w:hint="eastAsia"/>
          <w:color w:val="auto"/>
          <w:lang w:val="en-US" w:eastAsia="zh-CN"/>
        </w:rPr>
        <w:t>通过节能审查的固定资产投资项目投入生产、使用前，建设单位应当组织节能验收。项目通过节能验收后，建设单位应及时将节能验收报告、验收意见报送出具节能审查意见的节能主管部门。未经节能验收或者验收不合格的项目，建设单位不得擅自投入生产、使用，在完成整改后再次组织节能验收。</w:t>
      </w:r>
    </w:p>
    <w:p>
      <w:pPr>
        <w:keepNext w:val="0"/>
        <w:keepLines w:val="0"/>
        <w:pageBreakBefore w:val="0"/>
        <w:widowControl w:val="0"/>
        <w:tabs>
          <w:tab w:val="right" w:pos="8205"/>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黑体" w:cs="Times New Roman"/>
          <w:color w:val="auto"/>
          <w:sz w:val="32"/>
          <w:szCs w:val="32"/>
          <w:shd w:val="clear" w:color="auto" w:fill="auto"/>
          <w:lang w:val="en-US" w:eastAsia="zh-CN"/>
        </w:rPr>
        <w:t>五、强化事中事后监管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eastAsia="zh-CN" w:bidi="ar-SA"/>
        </w:rPr>
        <w:t>（一）</w:t>
      </w:r>
      <w:r>
        <w:rPr>
          <w:rFonts w:hint="eastAsia" w:ascii="Times New Roman" w:hAnsi="Times New Roman" w:eastAsia="仿宋_GB2312" w:cs="Times New Roman"/>
          <w:color w:val="auto"/>
          <w:kern w:val="2"/>
          <w:sz w:val="32"/>
          <w:szCs w:val="32"/>
          <w:shd w:val="clear" w:color="auto" w:fill="auto"/>
          <w:lang w:val="en-US" w:eastAsia="zh-CN" w:bidi="ar-SA"/>
        </w:rPr>
        <w:t>节能主管部门应当按照“谁审查、谁监管”的原则，对项目节能验收和节能审查意见落实情况进行监督检查，对本行政区域内重大项目节能审查意见落实情况进行不定期抽查。应将本行政区域内当年完成节能验收的项目作为专项监察事项，列入本年度或下一年度节能监察计划，重点核查能源消费总量、能效水平以及节能措施等是否达到节能审查意见批复时确定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eastAsia="zh-CN" w:bidi="ar-SA"/>
        </w:rPr>
        <w:t>（二）</w:t>
      </w:r>
      <w:r>
        <w:rPr>
          <w:rFonts w:hint="eastAsia" w:ascii="Times New Roman" w:hAnsi="Times New Roman" w:eastAsia="仿宋_GB2312" w:cs="Times New Roman"/>
          <w:color w:val="auto"/>
          <w:kern w:val="2"/>
          <w:sz w:val="32"/>
          <w:szCs w:val="32"/>
          <w:shd w:val="clear" w:color="auto" w:fill="auto"/>
          <w:lang w:val="en-US" w:eastAsia="zh-CN" w:bidi="ar-SA"/>
        </w:rPr>
        <w:t>及时落实节能审查变更、整改和撤销。通过节能审查的固定资产投资项目，其建设内容、产能规模、能效水平、用能方式等发生重大变化，或年综合能源消费量超过节能审查意见规定水平10%以上的，建设单位应当向节能审查机关提出变更申请。实行节能承诺备案管理的固定资产投资项目，建设内容、能效水平等发生变动，使年综合能源消费量超过1000吨标准煤以上的，建设单位应申请节能审查。以拆分项目、提供虚假材料等不正当手段通过节能审查的固定资产投资项目，由节能主管部门撤销项目的节能审查意见。未落实节能审查意见要求的项目，节能主管部门责令建设单位限期整改。不能改正或逾期不改正的，节能主管部门按照法律法规的有关规定进行处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eastAsia="zh-CN" w:bidi="ar-SA"/>
        </w:rPr>
        <w:t>（三）</w:t>
      </w:r>
      <w:r>
        <w:rPr>
          <w:rFonts w:hint="eastAsia" w:ascii="Times New Roman" w:hAnsi="Times New Roman" w:eastAsia="仿宋_GB2312" w:cs="Times New Roman"/>
          <w:color w:val="auto"/>
          <w:kern w:val="2"/>
          <w:sz w:val="32"/>
          <w:szCs w:val="32"/>
          <w:shd w:val="clear" w:color="auto" w:fill="auto"/>
          <w:lang w:val="en-US" w:eastAsia="zh-CN" w:bidi="ar-SA"/>
        </w:rPr>
        <w:t>各地节能主管部门要建立健全项目节能管理数据库，分类动态管理拟建项目、在建项目、已建项目。要加强节能审查信息的统计分析，按月度向市级节能主管部门报送本地区固定资产投资项目节能审查和承诺备案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（四）用好丽水市能源大数据中心和“节能降碳e本账”等平台，做好重点行业企业用能预算管理等工作，加快推动能源数字化改革。</w:t>
      </w:r>
    </w:p>
    <w:p>
      <w:pPr>
        <w:pStyle w:val="2"/>
        <w:keepNext w:val="0"/>
        <w:keepLines w:val="0"/>
        <w:pageBreakBefore w:val="0"/>
        <w:widowControl/>
        <w:kinsoku/>
        <w:wordWrap/>
        <w:overflowPunct/>
        <w:topLinePunct w:val="0"/>
        <w:autoSpaceDE/>
        <w:autoSpaceDN/>
        <w:bidi w:val="0"/>
        <w:adjustRightInd/>
        <w:snapToGrid/>
        <w:spacing w:line="560" w:lineRule="exact"/>
        <w:textAlignment w:val="auto"/>
        <w:rPr>
          <w:rFonts w:hint="default"/>
          <w:lang w:val="en-US" w:eastAsia="zh-CN"/>
        </w:rPr>
      </w:pPr>
      <w:r>
        <w:rPr>
          <w:rFonts w:hint="eastAsia" w:cs="Times New Roman"/>
          <w:color w:val="auto"/>
          <w:kern w:val="2"/>
          <w:sz w:val="32"/>
          <w:szCs w:val="32"/>
          <w:shd w:val="clear" w:color="auto" w:fill="auto"/>
          <w:lang w:val="en-US" w:eastAsia="zh-CN" w:bidi="ar-SA"/>
        </w:rPr>
        <w:t>本意见自2022年  月  日起施行。</w:t>
      </w:r>
    </w:p>
    <w:p>
      <w:pPr>
        <w:pStyle w:val="5"/>
        <w:keepNext w:val="0"/>
        <w:keepLines w:val="0"/>
        <w:pageBreakBefore w:val="0"/>
        <w:widowControl w:val="0"/>
        <w:kinsoku/>
        <w:wordWrap/>
        <w:overflowPunct/>
        <w:topLinePunct w:val="0"/>
        <w:autoSpaceDE/>
        <w:autoSpaceDN/>
        <w:bidi w:val="0"/>
        <w:spacing w:line="560" w:lineRule="exact"/>
        <w:ind w:firstLine="480" w:firstLineChars="200"/>
        <w:jc w:val="both"/>
        <w:textAlignment w:val="auto"/>
        <w:rPr>
          <w:rFonts w:hint="default"/>
          <w:color w:val="auto"/>
          <w:lang w:val="en-US" w:eastAsia="zh-CN"/>
        </w:rPr>
      </w:pPr>
    </w:p>
    <w:sectPr>
      <w:footerReference r:id="rId3" w:type="default"/>
      <w:pgSz w:w="11906" w:h="16838"/>
      <w:pgMar w:top="2098" w:right="1474" w:bottom="1984" w:left="1587" w:header="851" w:footer="1446"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D7F8CE-CA45-40D8-9D9A-9E0A9EB9C83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BF2DEB24-2C78-4F07-A585-BEEB296AE581}"/>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9EED26BE-3689-4E68-B925-2C05EB610CA9}"/>
  </w:font>
  <w:font w:name="楷体_GB2312">
    <w:altName w:val="楷体"/>
    <w:panose1 w:val="02010609030101010101"/>
    <w:charset w:val="86"/>
    <w:family w:val="auto"/>
    <w:pitch w:val="default"/>
    <w:sig w:usb0="00000000" w:usb1="00000000" w:usb2="00000000" w:usb3="00000000" w:csb0="00040000" w:csb1="00000000"/>
    <w:embedRegular r:id="rId4" w:fontKey="{333B14E9-11DE-4E09-8225-1654FB831CB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EFC771"/>
    <w:rsid w:val="03DB3C17"/>
    <w:rsid w:val="043807E0"/>
    <w:rsid w:val="05952E04"/>
    <w:rsid w:val="0BA51630"/>
    <w:rsid w:val="0C5FFA83"/>
    <w:rsid w:val="0DFF6812"/>
    <w:rsid w:val="0E9C0957"/>
    <w:rsid w:val="0F3776B3"/>
    <w:rsid w:val="0FAD719D"/>
    <w:rsid w:val="0FB7DCE7"/>
    <w:rsid w:val="135B4954"/>
    <w:rsid w:val="13FF7D30"/>
    <w:rsid w:val="143928BD"/>
    <w:rsid w:val="1596C6C5"/>
    <w:rsid w:val="15D93BCC"/>
    <w:rsid w:val="1751FBCC"/>
    <w:rsid w:val="1DBF90CA"/>
    <w:rsid w:val="1DBFDDC0"/>
    <w:rsid w:val="1DFA31F7"/>
    <w:rsid w:val="1E545DCC"/>
    <w:rsid w:val="1E703302"/>
    <w:rsid w:val="1F7307C3"/>
    <w:rsid w:val="1F7F24B0"/>
    <w:rsid w:val="1F7F486F"/>
    <w:rsid w:val="1F7F4C35"/>
    <w:rsid w:val="1FFFCBDA"/>
    <w:rsid w:val="22FB6214"/>
    <w:rsid w:val="23940C92"/>
    <w:rsid w:val="23EFD8E4"/>
    <w:rsid w:val="25B49D04"/>
    <w:rsid w:val="26FE31E5"/>
    <w:rsid w:val="27756467"/>
    <w:rsid w:val="293B62AD"/>
    <w:rsid w:val="2AEF932C"/>
    <w:rsid w:val="2BA668C4"/>
    <w:rsid w:val="2BB953BE"/>
    <w:rsid w:val="2BEF1EB5"/>
    <w:rsid w:val="2EFBF571"/>
    <w:rsid w:val="2F7BEAFE"/>
    <w:rsid w:val="2FBD1148"/>
    <w:rsid w:val="2FDA502F"/>
    <w:rsid w:val="2FDBC17B"/>
    <w:rsid w:val="2FE5A549"/>
    <w:rsid w:val="2FF748BA"/>
    <w:rsid w:val="2FFBB185"/>
    <w:rsid w:val="3163BB00"/>
    <w:rsid w:val="31AF395D"/>
    <w:rsid w:val="31FFDA17"/>
    <w:rsid w:val="33DEE4F7"/>
    <w:rsid w:val="33FCC430"/>
    <w:rsid w:val="33FECCAB"/>
    <w:rsid w:val="347B58BD"/>
    <w:rsid w:val="357769D8"/>
    <w:rsid w:val="376BF0D8"/>
    <w:rsid w:val="37BF3FE3"/>
    <w:rsid w:val="37F5E158"/>
    <w:rsid w:val="39F7E1F9"/>
    <w:rsid w:val="39FA5311"/>
    <w:rsid w:val="39FD9C47"/>
    <w:rsid w:val="3A3FA60C"/>
    <w:rsid w:val="3A473236"/>
    <w:rsid w:val="3A72BB84"/>
    <w:rsid w:val="3ABB1689"/>
    <w:rsid w:val="3B779832"/>
    <w:rsid w:val="3B7EE1C1"/>
    <w:rsid w:val="3BDB8391"/>
    <w:rsid w:val="3BDD62F9"/>
    <w:rsid w:val="3BE3FE7B"/>
    <w:rsid w:val="3CD70D82"/>
    <w:rsid w:val="3CFB8B24"/>
    <w:rsid w:val="3D5FC6BC"/>
    <w:rsid w:val="3D7D3AB4"/>
    <w:rsid w:val="3DBF22A0"/>
    <w:rsid w:val="3DDE1652"/>
    <w:rsid w:val="3DEFD624"/>
    <w:rsid w:val="3DFFC7C7"/>
    <w:rsid w:val="3E7AFBB6"/>
    <w:rsid w:val="3EFD7462"/>
    <w:rsid w:val="3EFF2E59"/>
    <w:rsid w:val="3F76BDBF"/>
    <w:rsid w:val="3F97F07C"/>
    <w:rsid w:val="3FBB5FCD"/>
    <w:rsid w:val="3FBC81CC"/>
    <w:rsid w:val="3FE11057"/>
    <w:rsid w:val="3FEE98C5"/>
    <w:rsid w:val="3FEF5A88"/>
    <w:rsid w:val="3FF5AFC5"/>
    <w:rsid w:val="3FF66142"/>
    <w:rsid w:val="3FF6F0DC"/>
    <w:rsid w:val="3FFFF1C0"/>
    <w:rsid w:val="40774A0C"/>
    <w:rsid w:val="44FC909E"/>
    <w:rsid w:val="45FBF5EA"/>
    <w:rsid w:val="46335F09"/>
    <w:rsid w:val="46DF85BF"/>
    <w:rsid w:val="479E38AE"/>
    <w:rsid w:val="47BF6D0E"/>
    <w:rsid w:val="4B7EB6B9"/>
    <w:rsid w:val="4BFF123C"/>
    <w:rsid w:val="4D6A60B5"/>
    <w:rsid w:val="4ED73D59"/>
    <w:rsid w:val="4EDE555C"/>
    <w:rsid w:val="4F30A2CC"/>
    <w:rsid w:val="4F7E7D13"/>
    <w:rsid w:val="4FBB36B2"/>
    <w:rsid w:val="4FF73D23"/>
    <w:rsid w:val="51ABC4C7"/>
    <w:rsid w:val="52C7C9E7"/>
    <w:rsid w:val="53BED3A4"/>
    <w:rsid w:val="53E7F100"/>
    <w:rsid w:val="53F5A0DE"/>
    <w:rsid w:val="53FA6E20"/>
    <w:rsid w:val="53FF3CAD"/>
    <w:rsid w:val="54FF1E49"/>
    <w:rsid w:val="55752EC8"/>
    <w:rsid w:val="558A1F29"/>
    <w:rsid w:val="56BD03A1"/>
    <w:rsid w:val="56CFF59C"/>
    <w:rsid w:val="56DAD37F"/>
    <w:rsid w:val="577DF016"/>
    <w:rsid w:val="57AF4DDE"/>
    <w:rsid w:val="57F63426"/>
    <w:rsid w:val="57FD1DB6"/>
    <w:rsid w:val="58749043"/>
    <w:rsid w:val="59DD0647"/>
    <w:rsid w:val="59F95923"/>
    <w:rsid w:val="5ABE1A5A"/>
    <w:rsid w:val="5B5B3D69"/>
    <w:rsid w:val="5B5F6644"/>
    <w:rsid w:val="5B77D16D"/>
    <w:rsid w:val="5BDA7A93"/>
    <w:rsid w:val="5BFC38CD"/>
    <w:rsid w:val="5BFCCCFB"/>
    <w:rsid w:val="5BFF7EF9"/>
    <w:rsid w:val="5BFF8756"/>
    <w:rsid w:val="5C7FA7D2"/>
    <w:rsid w:val="5CF918CF"/>
    <w:rsid w:val="5CFFF5B1"/>
    <w:rsid w:val="5D5FEE6D"/>
    <w:rsid w:val="5D7F5892"/>
    <w:rsid w:val="5DDB8782"/>
    <w:rsid w:val="5DF5B168"/>
    <w:rsid w:val="5E9FDE1F"/>
    <w:rsid w:val="5EB39700"/>
    <w:rsid w:val="5ECF927C"/>
    <w:rsid w:val="5EF65C54"/>
    <w:rsid w:val="5EFD87B3"/>
    <w:rsid w:val="5F4F1BEE"/>
    <w:rsid w:val="5F57907D"/>
    <w:rsid w:val="5F6E44D6"/>
    <w:rsid w:val="5F6F35FB"/>
    <w:rsid w:val="5F7F5BAC"/>
    <w:rsid w:val="5FB3A2D4"/>
    <w:rsid w:val="5FD3705E"/>
    <w:rsid w:val="5FD8C25A"/>
    <w:rsid w:val="5FE71D2D"/>
    <w:rsid w:val="5FED8348"/>
    <w:rsid w:val="5FF30D15"/>
    <w:rsid w:val="5FF8C819"/>
    <w:rsid w:val="5FFC89DE"/>
    <w:rsid w:val="5FFFE13E"/>
    <w:rsid w:val="6047746E"/>
    <w:rsid w:val="618B3426"/>
    <w:rsid w:val="61FFF8B9"/>
    <w:rsid w:val="62186279"/>
    <w:rsid w:val="63CB30D8"/>
    <w:rsid w:val="64AD9F00"/>
    <w:rsid w:val="64EB010A"/>
    <w:rsid w:val="65F649FF"/>
    <w:rsid w:val="65F813F3"/>
    <w:rsid w:val="66121116"/>
    <w:rsid w:val="66CF69AF"/>
    <w:rsid w:val="66FC938E"/>
    <w:rsid w:val="67145A2B"/>
    <w:rsid w:val="67A92BE4"/>
    <w:rsid w:val="67BFDA42"/>
    <w:rsid w:val="67CFD83A"/>
    <w:rsid w:val="67D6C8FD"/>
    <w:rsid w:val="67EFF576"/>
    <w:rsid w:val="6AEF7C20"/>
    <w:rsid w:val="6AF74D87"/>
    <w:rsid w:val="6B7D842E"/>
    <w:rsid w:val="6BDEC415"/>
    <w:rsid w:val="6C1665BB"/>
    <w:rsid w:val="6CBBF1D1"/>
    <w:rsid w:val="6CFCFB31"/>
    <w:rsid w:val="6D5D7AF9"/>
    <w:rsid w:val="6D7F1E69"/>
    <w:rsid w:val="6DDA1049"/>
    <w:rsid w:val="6E457BEB"/>
    <w:rsid w:val="6E8D62C4"/>
    <w:rsid w:val="6EAFDE82"/>
    <w:rsid w:val="6EFF9CEB"/>
    <w:rsid w:val="6F132B18"/>
    <w:rsid w:val="6F1F1F0C"/>
    <w:rsid w:val="6F5FAD7D"/>
    <w:rsid w:val="6F7BFD34"/>
    <w:rsid w:val="6F8FDEB5"/>
    <w:rsid w:val="6FAF88EE"/>
    <w:rsid w:val="6FB746C7"/>
    <w:rsid w:val="6FB9AE89"/>
    <w:rsid w:val="6FBB9BE0"/>
    <w:rsid w:val="6FBEBCBF"/>
    <w:rsid w:val="6FBF3E50"/>
    <w:rsid w:val="6FCDC37D"/>
    <w:rsid w:val="6FCF4711"/>
    <w:rsid w:val="6FCF6EA3"/>
    <w:rsid w:val="6FD59B9C"/>
    <w:rsid w:val="6FDB1624"/>
    <w:rsid w:val="6FDBFB33"/>
    <w:rsid w:val="6FDF21FE"/>
    <w:rsid w:val="6FDFB865"/>
    <w:rsid w:val="6FDFE2BC"/>
    <w:rsid w:val="6FF7110A"/>
    <w:rsid w:val="6FFB9915"/>
    <w:rsid w:val="6FFE19FD"/>
    <w:rsid w:val="6FFE5CBC"/>
    <w:rsid w:val="6FFF6A2C"/>
    <w:rsid w:val="6FFF70BA"/>
    <w:rsid w:val="6FFF8C3D"/>
    <w:rsid w:val="6FFF92DD"/>
    <w:rsid w:val="70CFF3C1"/>
    <w:rsid w:val="7276EA5B"/>
    <w:rsid w:val="72E9436E"/>
    <w:rsid w:val="737A81EF"/>
    <w:rsid w:val="73BDAA5D"/>
    <w:rsid w:val="73E7BC2C"/>
    <w:rsid w:val="73F8B4B8"/>
    <w:rsid w:val="73FEF657"/>
    <w:rsid w:val="753D817B"/>
    <w:rsid w:val="757FBCFA"/>
    <w:rsid w:val="75DF29D8"/>
    <w:rsid w:val="75E5B4FE"/>
    <w:rsid w:val="765F4E6E"/>
    <w:rsid w:val="76B4F2BC"/>
    <w:rsid w:val="76BF8B81"/>
    <w:rsid w:val="76F24B75"/>
    <w:rsid w:val="76F7285A"/>
    <w:rsid w:val="76FC98B8"/>
    <w:rsid w:val="76FDE132"/>
    <w:rsid w:val="76FE9D5C"/>
    <w:rsid w:val="77285D67"/>
    <w:rsid w:val="773F07FC"/>
    <w:rsid w:val="773F8B5B"/>
    <w:rsid w:val="777B4CC0"/>
    <w:rsid w:val="777FE767"/>
    <w:rsid w:val="779D9926"/>
    <w:rsid w:val="779F07B4"/>
    <w:rsid w:val="77AF4641"/>
    <w:rsid w:val="77AF5179"/>
    <w:rsid w:val="77BDE229"/>
    <w:rsid w:val="77DE3D4F"/>
    <w:rsid w:val="77F5A95E"/>
    <w:rsid w:val="77F77713"/>
    <w:rsid w:val="77F77874"/>
    <w:rsid w:val="77FD72FF"/>
    <w:rsid w:val="77FE3A8E"/>
    <w:rsid w:val="77FF3DC3"/>
    <w:rsid w:val="787D73E3"/>
    <w:rsid w:val="78DF81CA"/>
    <w:rsid w:val="78F4009D"/>
    <w:rsid w:val="78FB6452"/>
    <w:rsid w:val="790ED1F9"/>
    <w:rsid w:val="7957BFF9"/>
    <w:rsid w:val="79771EA5"/>
    <w:rsid w:val="797F288E"/>
    <w:rsid w:val="799B1009"/>
    <w:rsid w:val="79E7C1C1"/>
    <w:rsid w:val="79FF3FBD"/>
    <w:rsid w:val="7A6F2A00"/>
    <w:rsid w:val="7A7EECE4"/>
    <w:rsid w:val="7A9F85C2"/>
    <w:rsid w:val="7AD78C08"/>
    <w:rsid w:val="7ADFD2F3"/>
    <w:rsid w:val="7AF7B6AA"/>
    <w:rsid w:val="7AFB1259"/>
    <w:rsid w:val="7AFF4CED"/>
    <w:rsid w:val="7B6D7BB2"/>
    <w:rsid w:val="7B778768"/>
    <w:rsid w:val="7B7BF3D0"/>
    <w:rsid w:val="7B7F262E"/>
    <w:rsid w:val="7B7F8BA5"/>
    <w:rsid w:val="7B8CF2EA"/>
    <w:rsid w:val="7BA7870F"/>
    <w:rsid w:val="7BE581D0"/>
    <w:rsid w:val="7BEB271C"/>
    <w:rsid w:val="7BF119FE"/>
    <w:rsid w:val="7BF89F85"/>
    <w:rsid w:val="7BFE75B1"/>
    <w:rsid w:val="7BFF1F9C"/>
    <w:rsid w:val="7BFFF504"/>
    <w:rsid w:val="7C2D3B26"/>
    <w:rsid w:val="7C7F317D"/>
    <w:rsid w:val="7CFF4A1A"/>
    <w:rsid w:val="7D4FD960"/>
    <w:rsid w:val="7D5F0276"/>
    <w:rsid w:val="7D5F8BF5"/>
    <w:rsid w:val="7D7CA780"/>
    <w:rsid w:val="7DBB0791"/>
    <w:rsid w:val="7DBD774A"/>
    <w:rsid w:val="7DBDAEAD"/>
    <w:rsid w:val="7DBFBD9A"/>
    <w:rsid w:val="7DD4E6A9"/>
    <w:rsid w:val="7DDA180E"/>
    <w:rsid w:val="7DDF67B3"/>
    <w:rsid w:val="7DE364F1"/>
    <w:rsid w:val="7DED5944"/>
    <w:rsid w:val="7DEF1874"/>
    <w:rsid w:val="7DF2F492"/>
    <w:rsid w:val="7DF8BC9C"/>
    <w:rsid w:val="7DF9CD11"/>
    <w:rsid w:val="7DFD40B9"/>
    <w:rsid w:val="7DFEE003"/>
    <w:rsid w:val="7DFF5F1D"/>
    <w:rsid w:val="7DFF640D"/>
    <w:rsid w:val="7DFF9E37"/>
    <w:rsid w:val="7E20823E"/>
    <w:rsid w:val="7E5F5ACD"/>
    <w:rsid w:val="7E77B34F"/>
    <w:rsid w:val="7E9FEAEE"/>
    <w:rsid w:val="7ED71A5D"/>
    <w:rsid w:val="7EDF4B55"/>
    <w:rsid w:val="7EEF87DA"/>
    <w:rsid w:val="7EF53143"/>
    <w:rsid w:val="7EFF9EFB"/>
    <w:rsid w:val="7EFFCF30"/>
    <w:rsid w:val="7EFFE334"/>
    <w:rsid w:val="7F2F3844"/>
    <w:rsid w:val="7F317630"/>
    <w:rsid w:val="7F3E84A3"/>
    <w:rsid w:val="7F4DB68C"/>
    <w:rsid w:val="7F540BEE"/>
    <w:rsid w:val="7F5F972A"/>
    <w:rsid w:val="7F5FD783"/>
    <w:rsid w:val="7F663760"/>
    <w:rsid w:val="7F70CF8C"/>
    <w:rsid w:val="7F72E001"/>
    <w:rsid w:val="7F776BD0"/>
    <w:rsid w:val="7F7A4FF9"/>
    <w:rsid w:val="7F7F609A"/>
    <w:rsid w:val="7F995454"/>
    <w:rsid w:val="7F9BBE11"/>
    <w:rsid w:val="7F9E8902"/>
    <w:rsid w:val="7F9F73CE"/>
    <w:rsid w:val="7FAB6C4B"/>
    <w:rsid w:val="7FAF1DB7"/>
    <w:rsid w:val="7FB7D378"/>
    <w:rsid w:val="7FBE2326"/>
    <w:rsid w:val="7FBE699C"/>
    <w:rsid w:val="7FCF97EC"/>
    <w:rsid w:val="7FD984F1"/>
    <w:rsid w:val="7FDB9F33"/>
    <w:rsid w:val="7FDDC417"/>
    <w:rsid w:val="7FDF4B77"/>
    <w:rsid w:val="7FE6A172"/>
    <w:rsid w:val="7FE6E4BD"/>
    <w:rsid w:val="7FED4239"/>
    <w:rsid w:val="7FEE7406"/>
    <w:rsid w:val="7FEFBEE0"/>
    <w:rsid w:val="7FF242C3"/>
    <w:rsid w:val="7FF5E53E"/>
    <w:rsid w:val="7FF6B159"/>
    <w:rsid w:val="7FF922B2"/>
    <w:rsid w:val="7FFABC38"/>
    <w:rsid w:val="7FFC3E3C"/>
    <w:rsid w:val="7FFD8189"/>
    <w:rsid w:val="7FFD97FF"/>
    <w:rsid w:val="7FFDBFBC"/>
    <w:rsid w:val="7FFDCA70"/>
    <w:rsid w:val="7FFDCBBE"/>
    <w:rsid w:val="7FFE8749"/>
    <w:rsid w:val="7FFE8AB2"/>
    <w:rsid w:val="7FFE902A"/>
    <w:rsid w:val="7FFECDBE"/>
    <w:rsid w:val="7FFF12FA"/>
    <w:rsid w:val="7FFF178C"/>
    <w:rsid w:val="7FFF3978"/>
    <w:rsid w:val="7FFF6C70"/>
    <w:rsid w:val="7FFF6E42"/>
    <w:rsid w:val="7FFF9269"/>
    <w:rsid w:val="85DE6E99"/>
    <w:rsid w:val="85FD4369"/>
    <w:rsid w:val="8CFB477B"/>
    <w:rsid w:val="8DEC18FA"/>
    <w:rsid w:val="8FDD5ECF"/>
    <w:rsid w:val="8FFF6F9C"/>
    <w:rsid w:val="93BD7E79"/>
    <w:rsid w:val="93F7F7EE"/>
    <w:rsid w:val="97CBF0AA"/>
    <w:rsid w:val="97FF0BBD"/>
    <w:rsid w:val="99FD3456"/>
    <w:rsid w:val="9BDCD8A5"/>
    <w:rsid w:val="9C3F28E0"/>
    <w:rsid w:val="9DEFB598"/>
    <w:rsid w:val="9DFE8276"/>
    <w:rsid w:val="9DFEBE82"/>
    <w:rsid w:val="9E79E119"/>
    <w:rsid w:val="9ED525A4"/>
    <w:rsid w:val="9EF9B395"/>
    <w:rsid w:val="9F635A92"/>
    <w:rsid w:val="9FAFCFA6"/>
    <w:rsid w:val="9FDBC737"/>
    <w:rsid w:val="9FFBC039"/>
    <w:rsid w:val="A5FF6F75"/>
    <w:rsid w:val="A77BD206"/>
    <w:rsid w:val="A7DF08DE"/>
    <w:rsid w:val="A7DF4533"/>
    <w:rsid w:val="A7F35C53"/>
    <w:rsid w:val="A9F7E0E5"/>
    <w:rsid w:val="AA7D53F5"/>
    <w:rsid w:val="ABDBB784"/>
    <w:rsid w:val="ABF4386B"/>
    <w:rsid w:val="AD5B503F"/>
    <w:rsid w:val="AD8F7E69"/>
    <w:rsid w:val="AE371874"/>
    <w:rsid w:val="AF2CAEA2"/>
    <w:rsid w:val="AF7C6B7D"/>
    <w:rsid w:val="AFFCFDF9"/>
    <w:rsid w:val="B06F13E0"/>
    <w:rsid w:val="B13B5EBF"/>
    <w:rsid w:val="B2D77E44"/>
    <w:rsid w:val="B3FDAD78"/>
    <w:rsid w:val="B4FF1CE2"/>
    <w:rsid w:val="B56FA45E"/>
    <w:rsid w:val="B5DBF274"/>
    <w:rsid w:val="B5ED7222"/>
    <w:rsid w:val="B65AE66D"/>
    <w:rsid w:val="B6C795B8"/>
    <w:rsid w:val="B6E251BC"/>
    <w:rsid w:val="B7277D03"/>
    <w:rsid w:val="B74F54D3"/>
    <w:rsid w:val="B77709B9"/>
    <w:rsid w:val="B77F0732"/>
    <w:rsid w:val="B7AF87C5"/>
    <w:rsid w:val="B7BDFF86"/>
    <w:rsid w:val="B7CEE1D3"/>
    <w:rsid w:val="B7CF5F08"/>
    <w:rsid w:val="B7FD3287"/>
    <w:rsid w:val="B8BA65A7"/>
    <w:rsid w:val="B8FE622D"/>
    <w:rsid w:val="B9C78D20"/>
    <w:rsid w:val="B9D8B20F"/>
    <w:rsid w:val="B9DEB9F5"/>
    <w:rsid w:val="B9FDA42A"/>
    <w:rsid w:val="B9FF7E31"/>
    <w:rsid w:val="BAFDD6FF"/>
    <w:rsid w:val="BAFFCA75"/>
    <w:rsid w:val="BB2FCED8"/>
    <w:rsid w:val="BB4FB511"/>
    <w:rsid w:val="BBBF7840"/>
    <w:rsid w:val="BDBC0B7D"/>
    <w:rsid w:val="BDEBA0CE"/>
    <w:rsid w:val="BDFE5736"/>
    <w:rsid w:val="BE1C763C"/>
    <w:rsid w:val="BE77F065"/>
    <w:rsid w:val="BE7F629A"/>
    <w:rsid w:val="BEAA3988"/>
    <w:rsid w:val="BEBF1C31"/>
    <w:rsid w:val="BEC5ACB1"/>
    <w:rsid w:val="BEE7A7FE"/>
    <w:rsid w:val="BEFF15EC"/>
    <w:rsid w:val="BF2F0FED"/>
    <w:rsid w:val="BFB3E195"/>
    <w:rsid w:val="BFBF1BA0"/>
    <w:rsid w:val="BFBF50ED"/>
    <w:rsid w:val="BFCDAD00"/>
    <w:rsid w:val="BFCF0035"/>
    <w:rsid w:val="BFCFDB8F"/>
    <w:rsid w:val="BFD7338A"/>
    <w:rsid w:val="BFDF78C8"/>
    <w:rsid w:val="BFE95BCE"/>
    <w:rsid w:val="BFEDAEB1"/>
    <w:rsid w:val="BFFB51A8"/>
    <w:rsid w:val="BFFD5B3E"/>
    <w:rsid w:val="BFFEFC85"/>
    <w:rsid w:val="BFFF1F67"/>
    <w:rsid w:val="C5FEC848"/>
    <w:rsid w:val="C67F80F3"/>
    <w:rsid w:val="C76F555B"/>
    <w:rsid w:val="C7B75780"/>
    <w:rsid w:val="C7BF33D7"/>
    <w:rsid w:val="C9FDCBD5"/>
    <w:rsid w:val="CB1F4257"/>
    <w:rsid w:val="CBDE4BE4"/>
    <w:rsid w:val="CC7F6A1D"/>
    <w:rsid w:val="CD331D22"/>
    <w:rsid w:val="CDED1A96"/>
    <w:rsid w:val="CE2EFD89"/>
    <w:rsid w:val="CE577ECA"/>
    <w:rsid w:val="CEF7C645"/>
    <w:rsid w:val="CEFF7117"/>
    <w:rsid w:val="CF0F130F"/>
    <w:rsid w:val="CF855150"/>
    <w:rsid w:val="CFB91083"/>
    <w:rsid w:val="CFBE5149"/>
    <w:rsid w:val="D3FBAF23"/>
    <w:rsid w:val="D5FFD6D7"/>
    <w:rsid w:val="D77F040D"/>
    <w:rsid w:val="D77FCAB7"/>
    <w:rsid w:val="D78D1CA9"/>
    <w:rsid w:val="D7E9AC0C"/>
    <w:rsid w:val="D7FF8E3D"/>
    <w:rsid w:val="D8EA003A"/>
    <w:rsid w:val="D8FFB479"/>
    <w:rsid w:val="D9AF740C"/>
    <w:rsid w:val="D9F7303A"/>
    <w:rsid w:val="DA7EBA0A"/>
    <w:rsid w:val="DAF1F608"/>
    <w:rsid w:val="DB732ACA"/>
    <w:rsid w:val="DBB0CD1D"/>
    <w:rsid w:val="DBDF6780"/>
    <w:rsid w:val="DBEECC4C"/>
    <w:rsid w:val="DD4608C8"/>
    <w:rsid w:val="DDBB8664"/>
    <w:rsid w:val="DDBBB9F0"/>
    <w:rsid w:val="DDFFE2E0"/>
    <w:rsid w:val="DE6F758C"/>
    <w:rsid w:val="DEACB5A2"/>
    <w:rsid w:val="DEB611F7"/>
    <w:rsid w:val="DEDC8129"/>
    <w:rsid w:val="DEF6BA9F"/>
    <w:rsid w:val="DEFECD35"/>
    <w:rsid w:val="DF672705"/>
    <w:rsid w:val="DF6A72A2"/>
    <w:rsid w:val="DF7A357F"/>
    <w:rsid w:val="DF7FAB45"/>
    <w:rsid w:val="DF9A4957"/>
    <w:rsid w:val="DFAFAD7C"/>
    <w:rsid w:val="DFBF2AC8"/>
    <w:rsid w:val="DFBF8F04"/>
    <w:rsid w:val="DFBFC9D8"/>
    <w:rsid w:val="DFBFEC33"/>
    <w:rsid w:val="DFDF1A41"/>
    <w:rsid w:val="DFEC133B"/>
    <w:rsid w:val="DFEDC86F"/>
    <w:rsid w:val="DFEFC771"/>
    <w:rsid w:val="DFF3A9ED"/>
    <w:rsid w:val="DFF5C22C"/>
    <w:rsid w:val="DFF7E1F3"/>
    <w:rsid w:val="DFF7E306"/>
    <w:rsid w:val="DFFEDA2F"/>
    <w:rsid w:val="DFFEEB5B"/>
    <w:rsid w:val="DFFF45B5"/>
    <w:rsid w:val="DFFFAD50"/>
    <w:rsid w:val="E1FDB5CB"/>
    <w:rsid w:val="E2F510F4"/>
    <w:rsid w:val="E3FF856B"/>
    <w:rsid w:val="E3FF8DB7"/>
    <w:rsid w:val="E5DDC902"/>
    <w:rsid w:val="E5EFE5AB"/>
    <w:rsid w:val="E6FF3322"/>
    <w:rsid w:val="E73315E9"/>
    <w:rsid w:val="E7B317BC"/>
    <w:rsid w:val="E7CF0C04"/>
    <w:rsid w:val="E7F363DA"/>
    <w:rsid w:val="E7FD31F4"/>
    <w:rsid w:val="E7FF5C74"/>
    <w:rsid w:val="E9FF5FAC"/>
    <w:rsid w:val="EA7F1E8A"/>
    <w:rsid w:val="EB572E0C"/>
    <w:rsid w:val="EB5DFCE9"/>
    <w:rsid w:val="EB6FB6EC"/>
    <w:rsid w:val="EB77250A"/>
    <w:rsid w:val="EB97D5C5"/>
    <w:rsid w:val="EBAE7598"/>
    <w:rsid w:val="EBBB0B81"/>
    <w:rsid w:val="EBDF0BB2"/>
    <w:rsid w:val="EBE5AB3C"/>
    <w:rsid w:val="EBEB7F0F"/>
    <w:rsid w:val="EBF19B6F"/>
    <w:rsid w:val="EBFF53DC"/>
    <w:rsid w:val="ECDB1DFF"/>
    <w:rsid w:val="ECFFADA9"/>
    <w:rsid w:val="ED2F497F"/>
    <w:rsid w:val="EDA6A550"/>
    <w:rsid w:val="EDCF01E7"/>
    <w:rsid w:val="EDDD6144"/>
    <w:rsid w:val="EDFB8A4C"/>
    <w:rsid w:val="EDFE9CC9"/>
    <w:rsid w:val="EDFFA590"/>
    <w:rsid w:val="EE551B11"/>
    <w:rsid w:val="EEFE2665"/>
    <w:rsid w:val="EEFE54B3"/>
    <w:rsid w:val="EF3F5CAC"/>
    <w:rsid w:val="EF7AB3F3"/>
    <w:rsid w:val="EF7E9601"/>
    <w:rsid w:val="EF7F5436"/>
    <w:rsid w:val="EF7F7BA8"/>
    <w:rsid w:val="EF7FC9E5"/>
    <w:rsid w:val="EF7FFE98"/>
    <w:rsid w:val="EFBD7439"/>
    <w:rsid w:val="EFDFD83C"/>
    <w:rsid w:val="EFE7E837"/>
    <w:rsid w:val="EFE8684E"/>
    <w:rsid w:val="EFF125C1"/>
    <w:rsid w:val="EFF376CE"/>
    <w:rsid w:val="EFF3A7E9"/>
    <w:rsid w:val="EFF72933"/>
    <w:rsid w:val="EFFADA31"/>
    <w:rsid w:val="EFFDDC8C"/>
    <w:rsid w:val="EFFE37BC"/>
    <w:rsid w:val="EFFF5044"/>
    <w:rsid w:val="EFFFB4A6"/>
    <w:rsid w:val="EFFFCE4C"/>
    <w:rsid w:val="EFFFCFDA"/>
    <w:rsid w:val="F1678656"/>
    <w:rsid w:val="F2ED595E"/>
    <w:rsid w:val="F3F58611"/>
    <w:rsid w:val="F478C2A4"/>
    <w:rsid w:val="F47D9B03"/>
    <w:rsid w:val="F534A061"/>
    <w:rsid w:val="F568B399"/>
    <w:rsid w:val="F5693568"/>
    <w:rsid w:val="F57EB289"/>
    <w:rsid w:val="F5B72C62"/>
    <w:rsid w:val="F5D7EEB2"/>
    <w:rsid w:val="F5F52855"/>
    <w:rsid w:val="F6BFBCDB"/>
    <w:rsid w:val="F6DF6A14"/>
    <w:rsid w:val="F6F52BEF"/>
    <w:rsid w:val="F6FC0F40"/>
    <w:rsid w:val="F6FF9653"/>
    <w:rsid w:val="F6FFFEBA"/>
    <w:rsid w:val="F7330F4E"/>
    <w:rsid w:val="F76F9017"/>
    <w:rsid w:val="F79ED2F1"/>
    <w:rsid w:val="F7AF26C8"/>
    <w:rsid w:val="F7EA15F3"/>
    <w:rsid w:val="F7F1FDB4"/>
    <w:rsid w:val="F7FBFAB9"/>
    <w:rsid w:val="F7FF7C29"/>
    <w:rsid w:val="F7FFADAF"/>
    <w:rsid w:val="F8FF638E"/>
    <w:rsid w:val="F91F964B"/>
    <w:rsid w:val="F93F7340"/>
    <w:rsid w:val="F9D74CE2"/>
    <w:rsid w:val="F9FBE721"/>
    <w:rsid w:val="F9FD53D1"/>
    <w:rsid w:val="F9FF0D8D"/>
    <w:rsid w:val="FA3B1C45"/>
    <w:rsid w:val="FA3E3288"/>
    <w:rsid w:val="FA75FA37"/>
    <w:rsid w:val="FB13A370"/>
    <w:rsid w:val="FB3FFEEA"/>
    <w:rsid w:val="FB6FF89B"/>
    <w:rsid w:val="FB770048"/>
    <w:rsid w:val="FB7E21C7"/>
    <w:rsid w:val="FB7E8F08"/>
    <w:rsid w:val="FB7F8500"/>
    <w:rsid w:val="FB93542C"/>
    <w:rsid w:val="FB9C4143"/>
    <w:rsid w:val="FBA98513"/>
    <w:rsid w:val="FBAF6DCB"/>
    <w:rsid w:val="FBB905CD"/>
    <w:rsid w:val="FBD33809"/>
    <w:rsid w:val="FBEF7D99"/>
    <w:rsid w:val="FBF6F948"/>
    <w:rsid w:val="FBFBF6BC"/>
    <w:rsid w:val="FBFD1F18"/>
    <w:rsid w:val="FBFDD4C9"/>
    <w:rsid w:val="FBFF7099"/>
    <w:rsid w:val="FBFFB062"/>
    <w:rsid w:val="FBFFC9AB"/>
    <w:rsid w:val="FBFFEF24"/>
    <w:rsid w:val="FC6DEA08"/>
    <w:rsid w:val="FC7B7F2F"/>
    <w:rsid w:val="FC8DDD8F"/>
    <w:rsid w:val="FC96B4F8"/>
    <w:rsid w:val="FCCFF717"/>
    <w:rsid w:val="FCECFA61"/>
    <w:rsid w:val="FCF3CB07"/>
    <w:rsid w:val="FCFA15FB"/>
    <w:rsid w:val="FCFDBCDB"/>
    <w:rsid w:val="FD3702E9"/>
    <w:rsid w:val="FD3DD1FC"/>
    <w:rsid w:val="FD3F3774"/>
    <w:rsid w:val="FD5F1B24"/>
    <w:rsid w:val="FD71F460"/>
    <w:rsid w:val="FD7712AD"/>
    <w:rsid w:val="FD7BB57F"/>
    <w:rsid w:val="FD7D7A98"/>
    <w:rsid w:val="FD9E630A"/>
    <w:rsid w:val="FDBFE872"/>
    <w:rsid w:val="FDD5BF94"/>
    <w:rsid w:val="FDDDC5FC"/>
    <w:rsid w:val="FDDEE5A4"/>
    <w:rsid w:val="FDDF4ACE"/>
    <w:rsid w:val="FDF8361F"/>
    <w:rsid w:val="FDF9484A"/>
    <w:rsid w:val="FDFAD9CA"/>
    <w:rsid w:val="FDFD6627"/>
    <w:rsid w:val="FDFF78BD"/>
    <w:rsid w:val="FE6B5361"/>
    <w:rsid w:val="FE6EAAF5"/>
    <w:rsid w:val="FE7B8958"/>
    <w:rsid w:val="FE7F05C9"/>
    <w:rsid w:val="FE7F56B3"/>
    <w:rsid w:val="FE7FB803"/>
    <w:rsid w:val="FEA1182E"/>
    <w:rsid w:val="FEBB5A1B"/>
    <w:rsid w:val="FEBDE532"/>
    <w:rsid w:val="FEBFB127"/>
    <w:rsid w:val="FEDE3567"/>
    <w:rsid w:val="FEEE0118"/>
    <w:rsid w:val="FEFBBA51"/>
    <w:rsid w:val="FEFBEE6A"/>
    <w:rsid w:val="FEFFD15C"/>
    <w:rsid w:val="FF2B3116"/>
    <w:rsid w:val="FF31914E"/>
    <w:rsid w:val="FF3BCAD6"/>
    <w:rsid w:val="FF4E9D1B"/>
    <w:rsid w:val="FF4F3A4A"/>
    <w:rsid w:val="FF5E7092"/>
    <w:rsid w:val="FF6762E7"/>
    <w:rsid w:val="FF6E47D3"/>
    <w:rsid w:val="FF6FBB2C"/>
    <w:rsid w:val="FF75AF17"/>
    <w:rsid w:val="FF7AA795"/>
    <w:rsid w:val="FF7EC1BB"/>
    <w:rsid w:val="FF7F7E56"/>
    <w:rsid w:val="FF7FC654"/>
    <w:rsid w:val="FF878D7B"/>
    <w:rsid w:val="FF9CC14A"/>
    <w:rsid w:val="FF9F117C"/>
    <w:rsid w:val="FFAD9371"/>
    <w:rsid w:val="FFB7857F"/>
    <w:rsid w:val="FFBBF406"/>
    <w:rsid w:val="FFBF04F8"/>
    <w:rsid w:val="FFBFDC27"/>
    <w:rsid w:val="FFD91E25"/>
    <w:rsid w:val="FFDD79CA"/>
    <w:rsid w:val="FFDDBA04"/>
    <w:rsid w:val="FFDE0A70"/>
    <w:rsid w:val="FFDEBE95"/>
    <w:rsid w:val="FFDF2810"/>
    <w:rsid w:val="FFDFE3D1"/>
    <w:rsid w:val="FFE3197B"/>
    <w:rsid w:val="FFE73541"/>
    <w:rsid w:val="FFF7B55B"/>
    <w:rsid w:val="FFFA797A"/>
    <w:rsid w:val="FFFB3101"/>
    <w:rsid w:val="FFFB8B8E"/>
    <w:rsid w:val="FFFBBB55"/>
    <w:rsid w:val="FFFBBB5B"/>
    <w:rsid w:val="FFFC9D9B"/>
    <w:rsid w:val="FFFDDA61"/>
    <w:rsid w:val="FFFE362C"/>
    <w:rsid w:val="FFFECC86"/>
    <w:rsid w:val="FFFF3D20"/>
    <w:rsid w:val="FFFF4E3C"/>
    <w:rsid w:val="FFFF626D"/>
    <w:rsid w:val="FFFF6ABE"/>
    <w:rsid w:val="FFFF8313"/>
    <w:rsid w:val="FFFF8DDD"/>
    <w:rsid w:val="FFFFA41F"/>
    <w:rsid w:val="FFFFA509"/>
    <w:rsid w:val="FFFFB5F2"/>
    <w:rsid w:val="FFFFCC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9"/>
    <w:pPr>
      <w:keepNext/>
      <w:keepLines/>
      <w:spacing w:before="140" w:after="140"/>
      <w:ind w:firstLine="640"/>
      <w:outlineLvl w:val="0"/>
    </w:pPr>
    <w:rPr>
      <w:rFonts w:eastAsia="黑体"/>
      <w:kern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文本"/>
    <w:basedOn w:val="1"/>
    <w:qFormat/>
    <w:uiPriority w:val="0"/>
    <w:pPr>
      <w:widowControl/>
      <w:spacing w:before="0" w:beforeAutospacing="0" w:after="0" w:afterAutospacing="0" w:line="580" w:lineRule="exact"/>
      <w:ind w:left="0" w:right="0" w:firstLine="200" w:firstLineChars="200"/>
      <w:jc w:val="both"/>
    </w:pPr>
    <w:rPr>
      <w:rFonts w:hint="default" w:ascii="Times New Roman" w:hAnsi="Times New Roman" w:eastAsia="仿宋_GB2312" w:cs="Times New Roman"/>
      <w:bCs/>
      <w:kern w:val="2"/>
      <w:sz w:val="32"/>
      <w:szCs w:val="32"/>
      <w:lang w:val="en-US" w:eastAsia="zh-CN" w:bidi="ar"/>
    </w:rPr>
  </w:style>
  <w:style w:type="paragraph" w:styleId="4">
    <w:name w:val="Normal Indent"/>
    <w:basedOn w:val="1"/>
    <w:qFormat/>
    <w:uiPriority w:val="0"/>
    <w:pPr>
      <w:spacing w:line="240" w:lineRule="atLeast"/>
      <w:ind w:firstLine="420" w:firstLineChars="200"/>
      <w:jc w:val="both"/>
    </w:pPr>
    <w:rPr>
      <w:rFonts w:eastAsia="宋体" w:cs="Times New Roman"/>
      <w:spacing w:val="-6"/>
      <w:sz w:val="21"/>
      <w:szCs w:val="24"/>
    </w:rPr>
  </w:style>
  <w:style w:type="paragraph" w:styleId="5">
    <w:name w:val="toa heading"/>
    <w:basedOn w:val="1"/>
    <w:next w:val="1"/>
    <w:qFormat/>
    <w:uiPriority w:val="0"/>
    <w:rPr>
      <w:rFonts w:ascii="Arial" w:hAnsi="Arial"/>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2365</Words>
  <Characters>2411</Characters>
  <Lines>1</Lines>
  <Paragraphs>1</Paragraphs>
  <TotalTime>13</TotalTime>
  <ScaleCrop>false</ScaleCrop>
  <LinksUpToDate>false</LinksUpToDate>
  <CharactersWithSpaces>2415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2022-01-09T18:07:00Z</dcterms:created>
  <dc:creator>quzhou</dc:creator>
  <cp:lastModifiedBy>Icarus</cp:lastModifiedBy>
  <cp:lastPrinted>2022-03-10T10:49:00Z</cp:lastPrinted>
  <dcterms:modified xsi:type="dcterms:W3CDTF">2022-04-14T02:57:34Z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9575AD64234F49868AB6325B1A474D8D</vt:lpwstr>
  </property>
  <property fmtid="{D5CDD505-2E9C-101B-9397-08002B2CF9AE}" pid="4" name="woTemplateTypoMode">
    <vt:lpwstr>web</vt:lpwstr>
  </property>
  <property fmtid="{D5CDD505-2E9C-101B-9397-08002B2CF9AE}" pid="5" name="woTemplate">
    <vt:r8>1</vt:r8>
  </property>
</Properties>
</file>