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jc w:val="center"/>
        <w:rPr>
          <w:rFonts w:ascii="方正大标宋简体" w:eastAsia="方正大标宋简体"/>
          <w:color w:val="000000" w:themeColor="text1"/>
          <w:sz w:val="44"/>
          <w:szCs w:val="44"/>
          <w14:textFill>
            <w14:solidFill>
              <w14:schemeClr w14:val="tx1"/>
            </w14:solidFill>
          </w14:textFill>
        </w:rPr>
      </w:pPr>
      <w:bookmarkStart w:id="6" w:name="_GoBack"/>
      <w:bookmarkEnd w:id="6"/>
      <w:r>
        <w:rPr>
          <w:rFonts w:hint="eastAsia" w:ascii="方正大标宋简体" w:eastAsia="方正大标宋简体"/>
          <w:color w:val="000000" w:themeColor="text1"/>
          <w:sz w:val="44"/>
          <w:szCs w:val="44"/>
          <w14:textFill>
            <w14:solidFill>
              <w14:schemeClr w14:val="tx1"/>
            </w14:solidFill>
          </w14:textFill>
        </w:rPr>
        <w:t>丽水市中医药事业发展“十四五”规划</w:t>
      </w:r>
    </w:p>
    <w:p>
      <w:pPr>
        <w:overflowPunct w:val="0"/>
        <w:spacing w:line="600" w:lineRule="exact"/>
        <w:jc w:val="center"/>
        <w:rPr>
          <w:rFonts w:ascii="方正大标宋简体" w:eastAsia="方正大标宋简体"/>
          <w:color w:val="000000" w:themeColor="text1"/>
          <w:sz w:val="36"/>
          <w:szCs w:val="44"/>
          <w14:textFill>
            <w14:solidFill>
              <w14:schemeClr w14:val="tx1"/>
            </w14:solidFill>
          </w14:textFill>
        </w:rPr>
      </w:pPr>
      <w:r>
        <w:rPr>
          <w:rFonts w:hint="eastAsia" w:ascii="方正大标宋简体" w:eastAsia="方正大标宋简体"/>
          <w:color w:val="000000" w:themeColor="text1"/>
          <w:sz w:val="36"/>
          <w:szCs w:val="44"/>
          <w14:textFill>
            <w14:solidFill>
              <w14:schemeClr w14:val="tx1"/>
            </w14:solidFill>
          </w14:textFill>
        </w:rPr>
        <w:t>（征求意见稿）</w:t>
      </w:r>
    </w:p>
    <w:p>
      <w:pPr>
        <w:overflowPunct w:val="0"/>
        <w:spacing w:line="600" w:lineRule="exact"/>
        <w:jc w:val="center"/>
        <w:rPr>
          <w:rFonts w:ascii="仿宋_GB2312" w:eastAsia="仿宋_GB2312"/>
          <w:color w:val="000000" w:themeColor="text1"/>
          <w:sz w:val="32"/>
          <w:szCs w:val="44"/>
          <w14:textFill>
            <w14:solidFill>
              <w14:schemeClr w14:val="tx1"/>
            </w14:solidFill>
          </w14:textFill>
        </w:rPr>
      </w:pPr>
    </w:p>
    <w:p>
      <w:pPr>
        <w:overflowPunct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为全面深入贯彻习近平总书记关于中医药工作的重要论述精神，落实省委书记袁家军在全省中医药大会上的批示要求，促进我市中医药传承创新发展，发挥中医药特色优势，打造中医药强市。根据《中共浙江省委 浙江省人民政府关于促进中医药传承创新发展的实施意见》《浙江省中医药发展“十四五”规划》《丽水市卫生健康事业发展“十四五”规划》《丽水市国民经济和社会发展第十四个五年规划和二</w:t>
      </w:r>
      <w:r>
        <w:rPr>
          <w:rFonts w:hint="eastAsia" w:ascii="微软雅黑" w:hAnsi="微软雅黑" w:eastAsia="微软雅黑" w:cs="微软雅黑"/>
          <w:color w:val="000000" w:themeColor="text1"/>
          <w:sz w:val="32"/>
          <w:szCs w:val="32"/>
          <w14:textFill>
            <w14:solidFill>
              <w14:schemeClr w14:val="tx1"/>
            </w14:solidFill>
          </w14:textFill>
        </w:rPr>
        <w:t>〇</w:t>
      </w:r>
      <w:r>
        <w:rPr>
          <w:rFonts w:hint="eastAsia" w:ascii="仿宋_GB2312" w:hAnsi="仿宋_GB2312" w:eastAsia="仿宋_GB2312" w:cs="仿宋_GB2312"/>
          <w:color w:val="000000" w:themeColor="text1"/>
          <w:sz w:val="32"/>
          <w:szCs w:val="32"/>
          <w14:textFill>
            <w14:solidFill>
              <w14:schemeClr w14:val="tx1"/>
            </w14:solidFill>
          </w14:textFill>
        </w:rPr>
        <w:t>三五年远景目标纲要》等文件精神</w:t>
      </w:r>
      <w:r>
        <w:rPr>
          <w:rFonts w:hint="eastAsia" w:ascii="仿宋_GB2312" w:eastAsia="仿宋_GB2312"/>
          <w:color w:val="000000" w:themeColor="text1"/>
          <w:sz w:val="32"/>
          <w:szCs w:val="32"/>
          <w14:textFill>
            <w14:solidFill>
              <w14:schemeClr w14:val="tx1"/>
            </w14:solidFill>
          </w14:textFill>
        </w:rPr>
        <w:t>，结合丽水市中医药事业发展实际，特编制《丽水市中医药事业发展“十四五”规划》。</w:t>
      </w:r>
    </w:p>
    <w:p>
      <w:pPr>
        <w:overflowPunct w:val="0"/>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一</w:t>
      </w:r>
      <w:r>
        <w:rPr>
          <w:rFonts w:hint="eastAsia" w:ascii="黑体" w:hAnsi="黑体" w:eastAsia="黑体"/>
          <w:color w:val="000000" w:themeColor="text1"/>
          <w:sz w:val="32"/>
          <w:szCs w:val="32"/>
          <w14:textFill>
            <w14:solidFill>
              <w14:schemeClr w14:val="tx1"/>
            </w14:solidFill>
          </w14:textFill>
        </w:rPr>
        <w:t>、</w:t>
      </w:r>
      <w:r>
        <w:rPr>
          <w:rFonts w:ascii="黑体" w:hAnsi="黑体" w:eastAsia="黑体"/>
          <w:color w:val="000000" w:themeColor="text1"/>
          <w:sz w:val="32"/>
          <w:szCs w:val="32"/>
          <w14:textFill>
            <w14:solidFill>
              <w14:schemeClr w14:val="tx1"/>
            </w14:solidFill>
          </w14:textFill>
        </w:rPr>
        <w:t>规划背景</w:t>
      </w:r>
    </w:p>
    <w:p>
      <w:pPr>
        <w:overflowPunct w:val="0"/>
        <w:spacing w:line="560" w:lineRule="exact"/>
        <w:ind w:firstLine="643" w:firstLineChars="200"/>
        <w:rPr>
          <w:rFonts w:ascii="楷体_GB2312" w:hAnsi="黑体" w:eastAsia="楷体_GB2312"/>
          <w:b/>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（一）现实基础</w:t>
      </w:r>
    </w:p>
    <w:p>
      <w:pPr>
        <w:overflowPunct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“十三五”以来，我市全面贯彻习近平总书记关于中医药工作的重要论述精神，落实</w:t>
      </w:r>
      <w:r>
        <w:rPr>
          <w:rFonts w:hint="eastAsia" w:ascii="仿宋_GB2312" w:eastAsia="仿宋_GB2312"/>
          <w:color w:val="000000" w:themeColor="text1"/>
          <w:sz w:val="32"/>
          <w:szCs w:val="32"/>
          <w:lang w:eastAsia="zh-CN"/>
          <w14:textFill>
            <w14:solidFill>
              <w14:schemeClr w14:val="tx1"/>
            </w14:solidFill>
          </w14:textFill>
        </w:rPr>
        <w:t>党中央、国务院</w:t>
      </w:r>
      <w:r>
        <w:rPr>
          <w:rFonts w:hint="eastAsia" w:ascii="仿宋_GB2312" w:eastAsia="仿宋_GB2312"/>
          <w:color w:val="000000" w:themeColor="text1"/>
          <w:sz w:val="32"/>
          <w:szCs w:val="32"/>
          <w14:textFill>
            <w14:solidFill>
              <w14:schemeClr w14:val="tx1"/>
            </w14:solidFill>
          </w14:textFill>
        </w:rPr>
        <w:t>、省委省政府和市委市政府关于中医药的战略决策部署，以高水平推进健康丽水建设为引领，坚持中西医并重工作方针，坚持以人民健康为中心，传承精华，守正创新，着力发挥中医药特色和优势，持续提升中医药服务能力和水平，基本完成“十三五”规划确定的主要目标和任务，推动中医药事业健康快速发展。</w:t>
      </w:r>
    </w:p>
    <w:p>
      <w:pPr>
        <w:overflowPunct w:val="0"/>
        <w:spacing w:line="560" w:lineRule="exact"/>
        <w:ind w:firstLine="643" w:firstLineChars="200"/>
        <w:rPr>
          <w:rFonts w:ascii="仿宋_GB2312" w:eastAsia="仿宋_GB2312"/>
          <w:color w:val="000000" w:themeColor="text1"/>
          <w:sz w:val="32"/>
          <w:szCs w:val="28"/>
          <w14:textFill>
            <w14:solidFill>
              <w14:schemeClr w14:val="tx1"/>
            </w14:solidFill>
          </w14:textFill>
        </w:rPr>
      </w:pPr>
      <w:r>
        <w:rPr>
          <w:rFonts w:hint="eastAsia" w:ascii="仿宋_GB2312" w:eastAsia="仿宋_GB2312"/>
          <w:b/>
          <w:color w:val="000000" w:themeColor="text1"/>
          <w:sz w:val="32"/>
          <w:szCs w:val="28"/>
          <w14:textFill>
            <w14:solidFill>
              <w14:schemeClr w14:val="tx1"/>
            </w14:solidFill>
          </w14:textFill>
        </w:rPr>
        <w:t>1</w:t>
      </w:r>
      <w:r>
        <w:rPr>
          <w:rFonts w:ascii="仿宋_GB2312" w:eastAsia="仿宋_GB2312"/>
          <w:b/>
          <w:color w:val="000000" w:themeColor="text1"/>
          <w:sz w:val="32"/>
          <w:szCs w:val="28"/>
          <w14:textFill>
            <w14:solidFill>
              <w14:schemeClr w14:val="tx1"/>
            </w14:solidFill>
          </w14:textFill>
        </w:rPr>
        <w:t>.</w:t>
      </w:r>
      <w:r>
        <w:rPr>
          <w:rFonts w:hint="eastAsia" w:ascii="仿宋_GB2312" w:eastAsia="仿宋_GB2312"/>
          <w:b/>
          <w:color w:val="000000" w:themeColor="text1"/>
          <w:sz w:val="32"/>
          <w:szCs w:val="28"/>
          <w14:textFill>
            <w14:solidFill>
              <w14:schemeClr w14:val="tx1"/>
            </w14:solidFill>
          </w14:textFill>
        </w:rPr>
        <w:t>中医药服务体系不断健全。</w:t>
      </w:r>
      <w:r>
        <w:rPr>
          <w:rFonts w:hint="eastAsia" w:ascii="仿宋_GB2312" w:eastAsia="仿宋_GB2312"/>
          <w:color w:val="000000" w:themeColor="text1"/>
          <w:sz w:val="32"/>
          <w:szCs w:val="32"/>
          <w14:textFill>
            <w14:solidFill>
              <w14:schemeClr w14:val="tx1"/>
            </w14:solidFill>
          </w14:textFill>
        </w:rPr>
        <w:t>“十三五”期末，</w:t>
      </w:r>
      <w:r>
        <w:rPr>
          <w:rFonts w:hint="eastAsia" w:ascii="仿宋_GB2312" w:eastAsia="仿宋_GB2312"/>
          <w:color w:val="000000" w:themeColor="text1"/>
          <w:sz w:val="32"/>
          <w:szCs w:val="28"/>
          <w14:textFill>
            <w14:solidFill>
              <w14:schemeClr w14:val="tx1"/>
            </w14:solidFill>
          </w14:textFill>
        </w:rPr>
        <w:t>全市共有中医医疗机构112家，其中公立中医院8家、民营中医院2家、中医门诊部5家、中医诊所9</w:t>
      </w:r>
      <w:r>
        <w:rPr>
          <w:rFonts w:ascii="仿宋_GB2312" w:eastAsia="仿宋_GB2312"/>
          <w:color w:val="000000" w:themeColor="text1"/>
          <w:sz w:val="32"/>
          <w:szCs w:val="28"/>
          <w14:textFill>
            <w14:solidFill>
              <w14:schemeClr w14:val="tx1"/>
            </w14:solidFill>
          </w14:textFill>
        </w:rPr>
        <w:t>7</w:t>
      </w:r>
      <w:r>
        <w:rPr>
          <w:rFonts w:hint="eastAsia" w:ascii="仿宋_GB2312" w:eastAsia="仿宋_GB2312"/>
          <w:color w:val="000000" w:themeColor="text1"/>
          <w:sz w:val="32"/>
          <w:szCs w:val="28"/>
          <w14:textFill>
            <w14:solidFill>
              <w14:schemeClr w14:val="tx1"/>
            </w14:solidFill>
          </w14:textFill>
        </w:rPr>
        <w:t>家。全市共有公立中医医院床位</w:t>
      </w:r>
      <w:r>
        <w:rPr>
          <w:rFonts w:ascii="仿宋_GB2312" w:eastAsia="仿宋_GB2312"/>
          <w:color w:val="000000" w:themeColor="text1"/>
          <w:sz w:val="32"/>
          <w:szCs w:val="28"/>
          <w14:textFill>
            <w14:solidFill>
              <w14:schemeClr w14:val="tx1"/>
            </w14:solidFill>
          </w14:textFill>
        </w:rPr>
        <w:t>1632</w:t>
      </w:r>
      <w:r>
        <w:rPr>
          <w:rFonts w:hint="eastAsia" w:ascii="仿宋_GB2312" w:eastAsia="仿宋_GB2312"/>
          <w:color w:val="000000" w:themeColor="text1"/>
          <w:sz w:val="32"/>
          <w:szCs w:val="28"/>
          <w14:textFill>
            <w14:solidFill>
              <w14:schemeClr w14:val="tx1"/>
            </w14:solidFill>
          </w14:textFill>
        </w:rPr>
        <w:t>张，中医类别执业（助理）</w:t>
      </w:r>
      <w:r>
        <w:rPr>
          <w:rFonts w:hint="eastAsia" w:ascii="仿宋_GB2312" w:eastAsia="仿宋_GB2312"/>
          <w:sz w:val="32"/>
          <w:szCs w:val="28"/>
        </w:rPr>
        <w:t>医师1</w:t>
      </w:r>
      <w:r>
        <w:rPr>
          <w:rFonts w:ascii="仿宋_GB2312" w:eastAsia="仿宋_GB2312"/>
          <w:sz w:val="32"/>
          <w:szCs w:val="28"/>
        </w:rPr>
        <w:t>368</w:t>
      </w:r>
      <w:r>
        <w:rPr>
          <w:rFonts w:hint="eastAsia" w:ascii="仿宋_GB2312" w:eastAsia="仿宋_GB2312"/>
          <w:sz w:val="32"/>
          <w:szCs w:val="28"/>
        </w:rPr>
        <w:t>人，每千人口中医类别执业（助理）医师人数达到0.5</w:t>
      </w:r>
      <w:r>
        <w:rPr>
          <w:rFonts w:ascii="仿宋_GB2312" w:eastAsia="仿宋_GB2312"/>
          <w:sz w:val="32"/>
          <w:szCs w:val="28"/>
        </w:rPr>
        <w:t>4</w:t>
      </w:r>
      <w:r>
        <w:rPr>
          <w:rFonts w:hint="eastAsia" w:ascii="仿宋_GB2312" w:eastAsia="仿宋_GB2312"/>
          <w:sz w:val="32"/>
          <w:szCs w:val="28"/>
        </w:rPr>
        <w:t>人，每千人口公立中医医院床位数达到0.6</w:t>
      </w:r>
      <w:r>
        <w:rPr>
          <w:rFonts w:ascii="仿宋_GB2312" w:eastAsia="仿宋_GB2312"/>
          <w:sz w:val="32"/>
          <w:szCs w:val="28"/>
        </w:rPr>
        <w:t>0</w:t>
      </w:r>
      <w:r>
        <w:rPr>
          <w:rFonts w:hint="eastAsia" w:ascii="仿宋_GB2312" w:eastAsia="仿宋_GB2312"/>
          <w:sz w:val="32"/>
          <w:szCs w:val="28"/>
        </w:rPr>
        <w:t>张。全市共有6个县级中医医院</w:t>
      </w:r>
      <w:r>
        <w:rPr>
          <w:rFonts w:hint="eastAsia" w:ascii="仿宋_GB2312" w:eastAsia="仿宋_GB2312"/>
          <w:color w:val="000000" w:themeColor="text1"/>
          <w:sz w:val="32"/>
          <w:szCs w:val="28"/>
          <w14:textFill>
            <w14:solidFill>
              <w14:schemeClr w14:val="tx1"/>
            </w14:solidFill>
          </w14:textFill>
        </w:rPr>
        <w:t>牵头成立县域医共体，建成标准化中医馆12</w:t>
      </w:r>
      <w:r>
        <w:rPr>
          <w:rFonts w:ascii="仿宋_GB2312" w:eastAsia="仿宋_GB2312"/>
          <w:color w:val="000000" w:themeColor="text1"/>
          <w:sz w:val="32"/>
          <w:szCs w:val="28"/>
          <w14:textFill>
            <w14:solidFill>
              <w14:schemeClr w14:val="tx1"/>
            </w14:solidFill>
          </w14:textFill>
        </w:rPr>
        <w:t>8家</w:t>
      </w:r>
      <w:r>
        <w:rPr>
          <w:rFonts w:hint="eastAsia" w:ascii="仿宋_GB2312" w:eastAsia="仿宋_GB2312"/>
          <w:color w:val="000000" w:themeColor="text1"/>
          <w:sz w:val="32"/>
          <w:szCs w:val="28"/>
          <w14:textFill>
            <w14:solidFill>
              <w14:schemeClr w14:val="tx1"/>
            </w14:solidFill>
          </w14:textFill>
        </w:rPr>
        <w:t>。青田县中医医院医疗用房改造并投入使用，莲都区中医院正式挂牌成立，龙泉市中医院启动迁建工程，松阳县中医院已完成迁建征地。中医药服务体系不断健全，综合实力大幅提升。</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3495"/>
        <w:gridCol w:w="1437"/>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580" w:type="dxa"/>
            <w:gridSpan w:val="5"/>
          </w:tcPr>
          <w:p>
            <w:pPr>
              <w:overflowPunct w:val="0"/>
              <w:spacing w:line="38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8"/>
                <w14:textFill>
                  <w14:solidFill>
                    <w14:schemeClr w14:val="tx1"/>
                  </w14:solidFill>
                </w14:textFill>
              </w:rPr>
              <w:t>全市中医医疗机构数量情况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813" w:type="dxa"/>
            <w:vMerge w:val="restart"/>
            <w:vAlign w:val="center"/>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序号</w:t>
            </w:r>
          </w:p>
        </w:tc>
        <w:tc>
          <w:tcPr>
            <w:tcW w:w="3495" w:type="dxa"/>
            <w:vMerge w:val="restart"/>
            <w:vAlign w:val="center"/>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类别</w:t>
            </w:r>
          </w:p>
        </w:tc>
        <w:tc>
          <w:tcPr>
            <w:tcW w:w="1437" w:type="dxa"/>
            <w:vMerge w:val="restart"/>
            <w:tcBorders>
              <w:right w:val="nil"/>
            </w:tcBorders>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机构数</w:t>
            </w:r>
          </w:p>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（个）</w:t>
            </w:r>
          </w:p>
        </w:tc>
        <w:tc>
          <w:tcPr>
            <w:tcW w:w="2835" w:type="dxa"/>
            <w:gridSpan w:val="2"/>
            <w:tcBorders>
              <w:left w:val="nil"/>
            </w:tcBorders>
          </w:tcPr>
          <w:p>
            <w:pPr>
              <w:overflowPunct w:val="0"/>
              <w:spacing w:line="360" w:lineRule="exact"/>
              <w:rPr>
                <w:rFonts w:ascii="仿宋_GB2312" w:eastAsia="仿宋_GB2312"/>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13" w:type="dxa"/>
            <w:vMerge w:val="continue"/>
          </w:tcPr>
          <w:p>
            <w:pPr>
              <w:overflowPunct w:val="0"/>
              <w:spacing w:line="360" w:lineRule="exact"/>
              <w:rPr>
                <w:rFonts w:ascii="仿宋_GB2312" w:eastAsia="仿宋_GB2312"/>
                <w:color w:val="000000" w:themeColor="text1"/>
                <w:sz w:val="28"/>
                <w14:textFill>
                  <w14:solidFill>
                    <w14:schemeClr w14:val="tx1"/>
                  </w14:solidFill>
                </w14:textFill>
              </w:rPr>
            </w:pPr>
          </w:p>
        </w:tc>
        <w:tc>
          <w:tcPr>
            <w:tcW w:w="3495" w:type="dxa"/>
            <w:vMerge w:val="continue"/>
          </w:tcPr>
          <w:p>
            <w:pPr>
              <w:overflowPunct w:val="0"/>
              <w:spacing w:line="360" w:lineRule="exact"/>
              <w:rPr>
                <w:rFonts w:ascii="仿宋_GB2312" w:eastAsia="仿宋_GB2312"/>
                <w:color w:val="000000" w:themeColor="text1"/>
                <w:sz w:val="28"/>
                <w14:textFill>
                  <w14:solidFill>
                    <w14:schemeClr w14:val="tx1"/>
                  </w14:solidFill>
                </w14:textFill>
              </w:rPr>
            </w:pPr>
          </w:p>
        </w:tc>
        <w:tc>
          <w:tcPr>
            <w:tcW w:w="1437" w:type="dxa"/>
            <w:vMerge w:val="continue"/>
          </w:tcPr>
          <w:p>
            <w:pPr>
              <w:overflowPunct w:val="0"/>
              <w:spacing w:line="360" w:lineRule="exact"/>
              <w:rPr>
                <w:rFonts w:ascii="仿宋_GB2312" w:eastAsia="仿宋_GB2312"/>
                <w:color w:val="000000" w:themeColor="text1"/>
                <w:sz w:val="28"/>
                <w14:textFill>
                  <w14:solidFill>
                    <w14:schemeClr w14:val="tx1"/>
                  </w14:solidFill>
                </w14:textFill>
              </w:rPr>
            </w:pPr>
          </w:p>
        </w:tc>
        <w:tc>
          <w:tcPr>
            <w:tcW w:w="1418"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公立</w:t>
            </w:r>
          </w:p>
        </w:tc>
        <w:tc>
          <w:tcPr>
            <w:tcW w:w="1417"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民营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13" w:type="dxa"/>
            <w:vMerge w:val="restart"/>
            <w:vAlign w:val="center"/>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ascii="仿宋_GB2312" w:eastAsia="仿宋_GB2312"/>
                <w:color w:val="000000" w:themeColor="text1"/>
                <w:sz w:val="28"/>
                <w14:textFill>
                  <w14:solidFill>
                    <w14:schemeClr w14:val="tx1"/>
                  </w14:solidFill>
                </w14:textFill>
              </w:rPr>
              <w:t>1</w:t>
            </w:r>
          </w:p>
        </w:tc>
        <w:tc>
          <w:tcPr>
            <w:tcW w:w="3495"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中医医院</w:t>
            </w:r>
          </w:p>
        </w:tc>
        <w:tc>
          <w:tcPr>
            <w:tcW w:w="1437"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ascii="仿宋_GB2312" w:eastAsia="仿宋_GB2312"/>
                <w:color w:val="000000" w:themeColor="text1"/>
                <w:sz w:val="28"/>
                <w14:textFill>
                  <w14:solidFill>
                    <w14:schemeClr w14:val="tx1"/>
                  </w14:solidFill>
                </w14:textFill>
              </w:rPr>
              <w:t>10</w:t>
            </w:r>
          </w:p>
        </w:tc>
        <w:tc>
          <w:tcPr>
            <w:tcW w:w="1418"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ascii="仿宋_GB2312" w:eastAsia="仿宋_GB2312"/>
                <w:color w:val="000000" w:themeColor="text1"/>
                <w:sz w:val="28"/>
                <w14:textFill>
                  <w14:solidFill>
                    <w14:schemeClr w14:val="tx1"/>
                  </w14:solidFill>
                </w14:textFill>
              </w:rPr>
              <w:t>8</w:t>
            </w:r>
          </w:p>
        </w:tc>
        <w:tc>
          <w:tcPr>
            <w:tcW w:w="1417"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ascii="仿宋_GB2312" w:eastAsia="仿宋_GB2312"/>
                <w:color w:val="000000" w:themeColor="text1"/>
                <w:sz w:val="2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813" w:type="dxa"/>
            <w:vMerge w:val="continue"/>
            <w:vAlign w:val="center"/>
          </w:tcPr>
          <w:p>
            <w:pPr>
              <w:overflowPunct w:val="0"/>
              <w:spacing w:line="360" w:lineRule="exact"/>
              <w:jc w:val="center"/>
              <w:rPr>
                <w:rFonts w:ascii="仿宋_GB2312" w:eastAsia="仿宋_GB2312"/>
                <w:color w:val="000000" w:themeColor="text1"/>
                <w:sz w:val="28"/>
                <w14:textFill>
                  <w14:solidFill>
                    <w14:schemeClr w14:val="tx1"/>
                  </w14:solidFill>
                </w14:textFill>
              </w:rPr>
            </w:pPr>
          </w:p>
        </w:tc>
        <w:tc>
          <w:tcPr>
            <w:tcW w:w="3495"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其中：三级甲等</w:t>
            </w:r>
          </w:p>
        </w:tc>
        <w:tc>
          <w:tcPr>
            <w:tcW w:w="1437"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ascii="仿宋_GB2312" w:eastAsia="仿宋_GB2312"/>
                <w:color w:val="000000" w:themeColor="text1"/>
                <w:sz w:val="28"/>
                <w14:textFill>
                  <w14:solidFill>
                    <w14:schemeClr w14:val="tx1"/>
                  </w14:solidFill>
                </w14:textFill>
              </w:rPr>
              <w:t>1</w:t>
            </w:r>
          </w:p>
        </w:tc>
        <w:tc>
          <w:tcPr>
            <w:tcW w:w="1418"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ascii="仿宋_GB2312" w:eastAsia="仿宋_GB2312"/>
                <w:color w:val="000000" w:themeColor="text1"/>
                <w:sz w:val="28"/>
                <w14:textFill>
                  <w14:solidFill>
                    <w14:schemeClr w14:val="tx1"/>
                  </w14:solidFill>
                </w14:textFill>
              </w:rPr>
              <w:t>1</w:t>
            </w:r>
          </w:p>
        </w:tc>
        <w:tc>
          <w:tcPr>
            <w:tcW w:w="1417"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ascii="仿宋_GB2312" w:eastAsia="仿宋_GB2312"/>
                <w:color w:val="000000" w:themeColor="text1"/>
                <w:sz w:val="2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813" w:type="dxa"/>
            <w:vMerge w:val="continue"/>
            <w:vAlign w:val="center"/>
          </w:tcPr>
          <w:p>
            <w:pPr>
              <w:overflowPunct w:val="0"/>
              <w:spacing w:line="360" w:lineRule="exact"/>
              <w:jc w:val="center"/>
              <w:rPr>
                <w:rFonts w:ascii="仿宋_GB2312" w:eastAsia="仿宋_GB2312"/>
                <w:color w:val="000000" w:themeColor="text1"/>
                <w:sz w:val="28"/>
                <w14:textFill>
                  <w14:solidFill>
                    <w14:schemeClr w14:val="tx1"/>
                  </w14:solidFill>
                </w14:textFill>
              </w:rPr>
            </w:pPr>
          </w:p>
        </w:tc>
        <w:tc>
          <w:tcPr>
            <w:tcW w:w="3495"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二级甲等</w:t>
            </w:r>
          </w:p>
        </w:tc>
        <w:tc>
          <w:tcPr>
            <w:tcW w:w="1437"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ascii="仿宋_GB2312" w:eastAsia="仿宋_GB2312"/>
                <w:color w:val="000000" w:themeColor="text1"/>
                <w:sz w:val="28"/>
                <w14:textFill>
                  <w14:solidFill>
                    <w14:schemeClr w14:val="tx1"/>
                  </w14:solidFill>
                </w14:textFill>
              </w:rPr>
              <w:t>5</w:t>
            </w:r>
          </w:p>
        </w:tc>
        <w:tc>
          <w:tcPr>
            <w:tcW w:w="1418"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ascii="仿宋_GB2312" w:eastAsia="仿宋_GB2312"/>
                <w:color w:val="000000" w:themeColor="text1"/>
                <w:sz w:val="28"/>
                <w14:textFill>
                  <w14:solidFill>
                    <w14:schemeClr w14:val="tx1"/>
                  </w14:solidFill>
                </w14:textFill>
              </w:rPr>
              <w:t>5</w:t>
            </w:r>
          </w:p>
        </w:tc>
        <w:tc>
          <w:tcPr>
            <w:tcW w:w="1417"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ascii="仿宋_GB2312" w:eastAsia="仿宋_GB2312"/>
                <w:color w:val="000000" w:themeColor="text1"/>
                <w:sz w:val="2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813" w:type="dxa"/>
            <w:vMerge w:val="continue"/>
            <w:vAlign w:val="center"/>
          </w:tcPr>
          <w:p>
            <w:pPr>
              <w:overflowPunct w:val="0"/>
              <w:spacing w:line="360" w:lineRule="exact"/>
              <w:jc w:val="center"/>
              <w:rPr>
                <w:rFonts w:ascii="仿宋_GB2312" w:eastAsia="仿宋_GB2312"/>
                <w:color w:val="000000" w:themeColor="text1"/>
                <w:sz w:val="28"/>
                <w14:textFill>
                  <w14:solidFill>
                    <w14:schemeClr w14:val="tx1"/>
                  </w14:solidFill>
                </w14:textFill>
              </w:rPr>
            </w:pPr>
          </w:p>
        </w:tc>
        <w:tc>
          <w:tcPr>
            <w:tcW w:w="3495"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二级乙等</w:t>
            </w:r>
          </w:p>
        </w:tc>
        <w:tc>
          <w:tcPr>
            <w:tcW w:w="1437"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ascii="仿宋_GB2312" w:eastAsia="仿宋_GB2312"/>
                <w:color w:val="000000" w:themeColor="text1"/>
                <w:sz w:val="28"/>
                <w14:textFill>
                  <w14:solidFill>
                    <w14:schemeClr w14:val="tx1"/>
                  </w14:solidFill>
                </w14:textFill>
              </w:rPr>
              <w:t>2</w:t>
            </w:r>
          </w:p>
        </w:tc>
        <w:tc>
          <w:tcPr>
            <w:tcW w:w="1418"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ascii="仿宋_GB2312" w:eastAsia="仿宋_GB2312"/>
                <w:color w:val="000000" w:themeColor="text1"/>
                <w:sz w:val="28"/>
                <w14:textFill>
                  <w14:solidFill>
                    <w14:schemeClr w14:val="tx1"/>
                  </w14:solidFill>
                </w14:textFill>
              </w:rPr>
              <w:t>2</w:t>
            </w:r>
          </w:p>
        </w:tc>
        <w:tc>
          <w:tcPr>
            <w:tcW w:w="1417"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ascii="仿宋_GB2312" w:eastAsia="仿宋_GB2312"/>
                <w:color w:val="000000" w:themeColor="text1"/>
                <w:sz w:val="2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3" w:type="dxa"/>
            <w:vMerge w:val="continue"/>
            <w:vAlign w:val="center"/>
          </w:tcPr>
          <w:p>
            <w:pPr>
              <w:overflowPunct w:val="0"/>
              <w:spacing w:line="360" w:lineRule="exact"/>
              <w:jc w:val="center"/>
              <w:rPr>
                <w:rFonts w:ascii="仿宋_GB2312" w:eastAsia="仿宋_GB2312"/>
                <w:color w:val="000000" w:themeColor="text1"/>
                <w:sz w:val="28"/>
                <w14:textFill>
                  <w14:solidFill>
                    <w14:schemeClr w14:val="tx1"/>
                  </w14:solidFill>
                </w14:textFill>
              </w:rPr>
            </w:pPr>
          </w:p>
        </w:tc>
        <w:tc>
          <w:tcPr>
            <w:tcW w:w="3495"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未评等级</w:t>
            </w:r>
          </w:p>
        </w:tc>
        <w:tc>
          <w:tcPr>
            <w:tcW w:w="1437"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ascii="仿宋_GB2312" w:eastAsia="仿宋_GB2312"/>
                <w:color w:val="000000" w:themeColor="text1"/>
                <w:sz w:val="28"/>
                <w14:textFill>
                  <w14:solidFill>
                    <w14:schemeClr w14:val="tx1"/>
                  </w14:solidFill>
                </w14:textFill>
              </w:rPr>
              <w:t>2</w:t>
            </w:r>
          </w:p>
        </w:tc>
        <w:tc>
          <w:tcPr>
            <w:tcW w:w="1418"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ascii="仿宋_GB2312" w:eastAsia="仿宋_GB2312"/>
                <w:color w:val="000000" w:themeColor="text1"/>
                <w:sz w:val="28"/>
                <w14:textFill>
                  <w14:solidFill>
                    <w14:schemeClr w14:val="tx1"/>
                  </w14:solidFill>
                </w14:textFill>
              </w:rPr>
              <w:t>0</w:t>
            </w:r>
          </w:p>
        </w:tc>
        <w:tc>
          <w:tcPr>
            <w:tcW w:w="1417"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ascii="仿宋_GB2312" w:eastAsia="仿宋_GB2312"/>
                <w:color w:val="000000" w:themeColor="text1"/>
                <w:sz w:val="2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3" w:type="dxa"/>
            <w:vAlign w:val="center"/>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ascii="仿宋_GB2312" w:eastAsia="仿宋_GB2312"/>
                <w:color w:val="000000" w:themeColor="text1"/>
                <w:sz w:val="28"/>
                <w14:textFill>
                  <w14:solidFill>
                    <w14:schemeClr w14:val="tx1"/>
                  </w14:solidFill>
                </w14:textFill>
              </w:rPr>
              <w:t>2</w:t>
            </w:r>
          </w:p>
        </w:tc>
        <w:tc>
          <w:tcPr>
            <w:tcW w:w="3495"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中医门诊部</w:t>
            </w:r>
          </w:p>
        </w:tc>
        <w:tc>
          <w:tcPr>
            <w:tcW w:w="1437"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5</w:t>
            </w:r>
          </w:p>
        </w:tc>
        <w:tc>
          <w:tcPr>
            <w:tcW w:w="1418"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ascii="仿宋_GB2312" w:eastAsia="仿宋_GB2312"/>
                <w:color w:val="000000" w:themeColor="text1"/>
                <w:sz w:val="28"/>
                <w14:textFill>
                  <w14:solidFill>
                    <w14:schemeClr w14:val="tx1"/>
                  </w14:solidFill>
                </w14:textFill>
              </w:rPr>
              <w:t>0</w:t>
            </w:r>
          </w:p>
        </w:tc>
        <w:tc>
          <w:tcPr>
            <w:tcW w:w="1417"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13" w:type="dxa"/>
            <w:vAlign w:val="center"/>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ascii="仿宋_GB2312" w:eastAsia="仿宋_GB2312"/>
                <w:color w:val="000000" w:themeColor="text1"/>
                <w:sz w:val="28"/>
                <w14:textFill>
                  <w14:solidFill>
                    <w14:schemeClr w14:val="tx1"/>
                  </w14:solidFill>
                </w14:textFill>
              </w:rPr>
              <w:t>3</w:t>
            </w:r>
          </w:p>
        </w:tc>
        <w:tc>
          <w:tcPr>
            <w:tcW w:w="3495"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中医诊所</w:t>
            </w:r>
          </w:p>
        </w:tc>
        <w:tc>
          <w:tcPr>
            <w:tcW w:w="1437"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9</w:t>
            </w:r>
            <w:r>
              <w:rPr>
                <w:rFonts w:ascii="仿宋_GB2312" w:eastAsia="仿宋_GB2312"/>
                <w:color w:val="000000" w:themeColor="text1"/>
                <w:sz w:val="28"/>
                <w14:textFill>
                  <w14:solidFill>
                    <w14:schemeClr w14:val="tx1"/>
                  </w14:solidFill>
                </w14:textFill>
              </w:rPr>
              <w:t>7</w:t>
            </w:r>
          </w:p>
        </w:tc>
        <w:tc>
          <w:tcPr>
            <w:tcW w:w="1418"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ascii="仿宋_GB2312" w:eastAsia="仿宋_GB2312"/>
                <w:color w:val="000000" w:themeColor="text1"/>
                <w:sz w:val="28"/>
                <w14:textFill>
                  <w14:solidFill>
                    <w14:schemeClr w14:val="tx1"/>
                  </w14:solidFill>
                </w14:textFill>
              </w:rPr>
              <w:t>0</w:t>
            </w:r>
          </w:p>
        </w:tc>
        <w:tc>
          <w:tcPr>
            <w:tcW w:w="1417"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9</w:t>
            </w:r>
            <w:r>
              <w:rPr>
                <w:rFonts w:ascii="仿宋_GB2312" w:eastAsia="仿宋_GB2312"/>
                <w:color w:val="000000" w:themeColor="text1"/>
                <w:sz w:val="28"/>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813" w:type="dxa"/>
            <w:vAlign w:val="center"/>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ascii="仿宋_GB2312" w:eastAsia="仿宋_GB2312"/>
                <w:color w:val="000000" w:themeColor="text1"/>
                <w:sz w:val="28"/>
                <w14:textFill>
                  <w14:solidFill>
                    <w14:schemeClr w14:val="tx1"/>
                  </w14:solidFill>
                </w14:textFill>
              </w:rPr>
              <w:t>4</w:t>
            </w:r>
          </w:p>
        </w:tc>
        <w:tc>
          <w:tcPr>
            <w:tcW w:w="3495"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合计</w:t>
            </w:r>
          </w:p>
        </w:tc>
        <w:tc>
          <w:tcPr>
            <w:tcW w:w="1437"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1</w:t>
            </w:r>
            <w:r>
              <w:rPr>
                <w:rFonts w:ascii="仿宋_GB2312" w:eastAsia="仿宋_GB2312"/>
                <w:color w:val="000000" w:themeColor="text1"/>
                <w:sz w:val="28"/>
                <w14:textFill>
                  <w14:solidFill>
                    <w14:schemeClr w14:val="tx1"/>
                  </w14:solidFill>
                </w14:textFill>
              </w:rPr>
              <w:t>12</w:t>
            </w:r>
          </w:p>
        </w:tc>
        <w:tc>
          <w:tcPr>
            <w:tcW w:w="1418"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ascii="仿宋_GB2312" w:eastAsia="仿宋_GB2312"/>
                <w:color w:val="000000" w:themeColor="text1"/>
                <w:sz w:val="28"/>
                <w14:textFill>
                  <w14:solidFill>
                    <w14:schemeClr w14:val="tx1"/>
                  </w14:solidFill>
                </w14:textFill>
              </w:rPr>
              <w:t>8</w:t>
            </w:r>
          </w:p>
        </w:tc>
        <w:tc>
          <w:tcPr>
            <w:tcW w:w="1417" w:type="dxa"/>
          </w:tcPr>
          <w:p>
            <w:pPr>
              <w:overflowPunct w:val="0"/>
              <w:spacing w:line="360" w:lineRule="exact"/>
              <w:jc w:val="center"/>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1</w:t>
            </w:r>
            <w:r>
              <w:rPr>
                <w:rFonts w:ascii="仿宋_GB2312" w:eastAsia="仿宋_GB2312"/>
                <w:color w:val="000000" w:themeColor="text1"/>
                <w:sz w:val="28"/>
                <w14:textFill>
                  <w14:solidFill>
                    <w14:schemeClr w14:val="tx1"/>
                  </w14:solidFill>
                </w14:textFill>
              </w:rPr>
              <w:t>04</w:t>
            </w:r>
          </w:p>
        </w:tc>
      </w:tr>
    </w:tbl>
    <w:p>
      <w:pPr>
        <w:overflowPunct w:val="0"/>
        <w:spacing w:line="560" w:lineRule="exact"/>
        <w:ind w:firstLine="643" w:firstLineChars="200"/>
        <w:rPr>
          <w:rFonts w:ascii="仿宋_GB2312" w:eastAsia="仿宋_GB2312"/>
          <w:color w:val="000000" w:themeColor="text1"/>
          <w:sz w:val="32"/>
          <w:szCs w:val="28"/>
          <w14:textFill>
            <w14:solidFill>
              <w14:schemeClr w14:val="tx1"/>
            </w14:solidFill>
          </w14:textFill>
        </w:rPr>
      </w:pPr>
      <w:r>
        <w:rPr>
          <w:rFonts w:hint="eastAsia" w:ascii="仿宋_GB2312" w:eastAsia="仿宋_GB2312"/>
          <w:b/>
          <w:color w:val="000000" w:themeColor="text1"/>
          <w:sz w:val="32"/>
          <w:szCs w:val="28"/>
          <w14:textFill>
            <w14:solidFill>
              <w14:schemeClr w14:val="tx1"/>
            </w14:solidFill>
          </w14:textFill>
        </w:rPr>
        <w:t>2</w:t>
      </w:r>
      <w:r>
        <w:rPr>
          <w:rFonts w:ascii="仿宋_GB2312" w:eastAsia="仿宋_GB2312"/>
          <w:b/>
          <w:color w:val="000000" w:themeColor="text1"/>
          <w:sz w:val="32"/>
          <w:szCs w:val="28"/>
          <w14:textFill>
            <w14:solidFill>
              <w14:schemeClr w14:val="tx1"/>
            </w14:solidFill>
          </w14:textFill>
        </w:rPr>
        <w:t>.</w:t>
      </w:r>
      <w:r>
        <w:rPr>
          <w:rFonts w:hint="eastAsia" w:ascii="仿宋_GB2312" w:eastAsia="仿宋_GB2312"/>
          <w:b/>
          <w:color w:val="000000" w:themeColor="text1"/>
          <w:sz w:val="32"/>
          <w:szCs w:val="28"/>
          <w14:textFill>
            <w14:solidFill>
              <w14:schemeClr w14:val="tx1"/>
            </w14:solidFill>
          </w14:textFill>
        </w:rPr>
        <w:t>中医药特色优势不断凸显。</w:t>
      </w:r>
      <w:r>
        <w:rPr>
          <w:rFonts w:hint="eastAsia" w:ascii="仿宋_GB2312" w:eastAsia="仿宋_GB2312"/>
          <w:color w:val="000000" w:themeColor="text1"/>
          <w:sz w:val="32"/>
          <w:szCs w:val="32"/>
          <w14:textFill>
            <w14:solidFill>
              <w14:schemeClr w14:val="tx1"/>
            </w14:solidFill>
          </w14:textFill>
        </w:rPr>
        <w:t>“十三五”期间，我市不断深化中医药服务内涵建设，强化医院绩效考核管理，推进医疗卫生服务领域“最多跑一次”改革，优化医院服务流程和服务模式，推广应用中医优势病种诊疗方案和中医临床路径，发挥中医药独特优势。丽水市中医院成为国家中医类别医师资格考试实践技能考试基地，在2</w:t>
      </w:r>
      <w:r>
        <w:rPr>
          <w:rFonts w:ascii="仿宋_GB2312" w:eastAsia="仿宋_GB2312"/>
          <w:color w:val="000000" w:themeColor="text1"/>
          <w:sz w:val="32"/>
          <w:szCs w:val="32"/>
          <w14:textFill>
            <w14:solidFill>
              <w14:schemeClr w14:val="tx1"/>
            </w14:solidFill>
          </w14:textFill>
        </w:rPr>
        <w:t>019年度全国三级公立中医医院绩效考核中</w:t>
      </w:r>
      <w:r>
        <w:rPr>
          <w:rFonts w:hint="eastAsia" w:ascii="仿宋_GB2312" w:eastAsia="仿宋_GB2312"/>
          <w:color w:val="000000" w:themeColor="text1"/>
          <w:sz w:val="32"/>
          <w:szCs w:val="32"/>
          <w14:textFill>
            <w14:solidFill>
              <w14:schemeClr w14:val="tx1"/>
            </w14:solidFill>
          </w14:textFill>
        </w:rPr>
        <w:t>全国</w:t>
      </w:r>
      <w:r>
        <w:rPr>
          <w:rFonts w:ascii="仿宋_GB2312" w:eastAsia="仿宋_GB2312"/>
          <w:color w:val="000000" w:themeColor="text1"/>
          <w:sz w:val="32"/>
          <w:szCs w:val="32"/>
          <w14:textFill>
            <w14:solidFill>
              <w14:schemeClr w14:val="tx1"/>
            </w14:solidFill>
          </w14:textFill>
        </w:rPr>
        <w:t>排名第</w:t>
      </w:r>
      <w:r>
        <w:rPr>
          <w:rFonts w:hint="eastAsia" w:ascii="仿宋_GB2312" w:eastAsia="仿宋_GB2312"/>
          <w:color w:val="000000" w:themeColor="text1"/>
          <w:sz w:val="32"/>
          <w:szCs w:val="32"/>
          <w14:textFill>
            <w14:solidFill>
              <w14:schemeClr w14:val="tx1"/>
            </w14:solidFill>
          </w14:textFill>
        </w:rPr>
        <w:t>5</w:t>
      </w:r>
      <w:r>
        <w:rPr>
          <w:rFonts w:ascii="仿宋_GB2312" w:eastAsia="仿宋_GB2312"/>
          <w:color w:val="000000" w:themeColor="text1"/>
          <w:sz w:val="32"/>
          <w:szCs w:val="32"/>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，A等级。</w:t>
      </w:r>
      <w:r>
        <w:rPr>
          <w:rFonts w:hint="eastAsia" w:ascii="仿宋_GB2312" w:eastAsia="仿宋_GB2312"/>
          <w:color w:val="000000" w:themeColor="text1"/>
          <w:sz w:val="32"/>
          <w:szCs w:val="28"/>
          <w14:textFill>
            <w14:solidFill>
              <w14:schemeClr w14:val="tx1"/>
            </w14:solidFill>
          </w14:textFill>
        </w:rPr>
        <w:t>青田县、缙云县、松阳县成功创成全国基层中医药工作先进单位。丽水市中医院等6家中医医院（含1家民族医院）创成国家基层常见病多发病中医药适宜技术推广基地。依托丽水市人口健康信息化平台，成功建成丽水市中医</w:t>
      </w:r>
      <w:r>
        <w:rPr>
          <w:rFonts w:hint="eastAsia" w:ascii="仿宋_GB2312" w:eastAsia="仿宋_GB2312"/>
          <w:color w:val="000000" w:themeColor="text1"/>
          <w:sz w:val="32"/>
          <w:szCs w:val="28"/>
          <w:lang w:eastAsia="zh-CN"/>
          <w14:textFill>
            <w14:solidFill>
              <w14:schemeClr w14:val="tx1"/>
            </w14:solidFill>
          </w14:textFill>
        </w:rPr>
        <w:t>辨证</w:t>
      </w:r>
      <w:r>
        <w:rPr>
          <w:rFonts w:hint="eastAsia" w:ascii="仿宋_GB2312" w:eastAsia="仿宋_GB2312"/>
          <w:color w:val="000000" w:themeColor="text1"/>
          <w:sz w:val="32"/>
          <w:szCs w:val="28"/>
          <w14:textFill>
            <w14:solidFill>
              <w14:schemeClr w14:val="tx1"/>
            </w14:solidFill>
          </w14:textFill>
        </w:rPr>
        <w:t>论治综合创新平台，通过“云中药房”为基层医疗机构提供中药调配、代煎以及免费配送到家服务。</w:t>
      </w:r>
    </w:p>
    <w:p>
      <w:pPr>
        <w:overflowPunct w:val="0"/>
        <w:spacing w:before="156" w:beforeLines="50" w:line="560" w:lineRule="exact"/>
        <w:ind w:firstLine="643" w:firstLineChars="200"/>
        <w:rPr>
          <w:rFonts w:ascii="仿宋_GB2312" w:eastAsia="仿宋_GB2312"/>
          <w:color w:val="000000" w:themeColor="text1"/>
          <w:sz w:val="32"/>
          <w:szCs w:val="28"/>
          <w14:textFill>
            <w14:solidFill>
              <w14:schemeClr w14:val="tx1"/>
            </w14:solidFill>
          </w14:textFill>
        </w:rPr>
      </w:pPr>
      <w:r>
        <w:rPr>
          <w:rFonts w:hint="eastAsia" w:ascii="仿宋_GB2312" w:eastAsia="仿宋_GB2312"/>
          <w:b/>
          <w:color w:val="000000" w:themeColor="text1"/>
          <w:sz w:val="32"/>
          <w:szCs w:val="28"/>
          <w14:textFill>
            <w14:solidFill>
              <w14:schemeClr w14:val="tx1"/>
            </w14:solidFill>
          </w14:textFill>
        </w:rPr>
        <w:t>3</w:t>
      </w:r>
      <w:r>
        <w:rPr>
          <w:rFonts w:ascii="仿宋_GB2312" w:eastAsia="仿宋_GB2312"/>
          <w:b/>
          <w:color w:val="000000" w:themeColor="text1"/>
          <w:sz w:val="32"/>
          <w:szCs w:val="28"/>
          <w14:textFill>
            <w14:solidFill>
              <w14:schemeClr w14:val="tx1"/>
            </w14:solidFill>
          </w14:textFill>
        </w:rPr>
        <w:t>.</w:t>
      </w:r>
      <w:r>
        <w:rPr>
          <w:rFonts w:hint="eastAsia" w:ascii="仿宋_GB2312" w:eastAsia="仿宋_GB2312"/>
          <w:b/>
          <w:color w:val="000000" w:themeColor="text1"/>
          <w:sz w:val="32"/>
          <w:szCs w:val="28"/>
          <w14:textFill>
            <w14:solidFill>
              <w14:schemeClr w14:val="tx1"/>
            </w14:solidFill>
          </w14:textFill>
        </w:rPr>
        <w:t>中医药疫病防治取得重大成绩。</w:t>
      </w:r>
      <w:r>
        <w:rPr>
          <w:rFonts w:hint="eastAsia" w:ascii="仿宋_GB2312" w:eastAsia="仿宋_GB2312"/>
          <w:color w:val="000000" w:themeColor="text1"/>
          <w:sz w:val="32"/>
          <w:szCs w:val="32"/>
          <w14:textFill>
            <w14:solidFill>
              <w14:schemeClr w14:val="tx1"/>
            </w14:solidFill>
          </w14:textFill>
        </w:rPr>
        <w:t>在抗击新冠肺炎疫情防控期间，我市积极组织市中医院专家制定了《丽水市新型冠状病毒感染的肺炎中医药防治方案》，关口前移，第一时间中医药介入，选派中医师入驻市集中救治点全程参与新冠肺炎患者诊疗，出院患者使用中药康复汤剂，所有病例未出现病毒核酸复阳情况。在国外疫情</w:t>
      </w:r>
      <w:r>
        <w:rPr>
          <w:rFonts w:hint="eastAsia" w:ascii="仿宋_GB2312" w:eastAsia="仿宋_GB2312"/>
          <w:color w:val="000000" w:themeColor="text1"/>
          <w:sz w:val="32"/>
          <w:szCs w:val="32"/>
          <w:lang w:eastAsia="zh-CN"/>
          <w14:textFill>
            <w14:solidFill>
              <w14:schemeClr w14:val="tx1"/>
            </w14:solidFill>
          </w14:textFill>
        </w:rPr>
        <w:t>暴发</w:t>
      </w:r>
      <w:r>
        <w:rPr>
          <w:rFonts w:hint="eastAsia" w:ascii="仿宋_GB2312" w:eastAsia="仿宋_GB2312"/>
          <w:color w:val="000000" w:themeColor="text1"/>
          <w:sz w:val="32"/>
          <w:szCs w:val="32"/>
          <w14:textFill>
            <w14:solidFill>
              <w14:schemeClr w14:val="tx1"/>
            </w14:solidFill>
          </w14:textFill>
        </w:rPr>
        <w:t>的第一时间将中医药预防方剂的药方公布给各国侨团和邮寄给意大利等欧洲侨团，共计5万余人使用中药预防方剂。向医务人员和防控一线工作人员全面使用中药预防汤剂，为医务人员和防控一线人员实现零感染发挥了重要作用。丽水市中医院自主研发的防感合剂获省药监局制剂备案批准，并投入生产供市民预防新冠肺炎，充分彰显了中医药的独特优势。</w:t>
      </w:r>
    </w:p>
    <w:p>
      <w:pPr>
        <w:overflowPunct w:val="0"/>
        <w:spacing w:line="560" w:lineRule="exact"/>
        <w:ind w:firstLine="643"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32"/>
          <w:szCs w:val="28"/>
          <w14:textFill>
            <w14:solidFill>
              <w14:schemeClr w14:val="tx1"/>
            </w14:solidFill>
          </w14:textFill>
        </w:rPr>
        <w:t>4.中医药人才队伍不断壮大。</w:t>
      </w:r>
      <w:r>
        <w:rPr>
          <w:rFonts w:hint="eastAsia" w:ascii="仿宋_GB2312" w:eastAsia="仿宋_GB2312"/>
          <w:color w:val="000000" w:themeColor="text1"/>
          <w:sz w:val="32"/>
          <w:szCs w:val="32"/>
          <w14:textFill>
            <w14:solidFill>
              <w14:schemeClr w14:val="tx1"/>
            </w14:solidFill>
          </w14:textFill>
        </w:rPr>
        <w:t>“十三五”期间，以高层次人才引育为重心，以名中医师带徒和名中医传承工作室建设为平台，加强中医住院医师规范化培训，大力开展中医药人才传承培养。“十三五”期末</w:t>
      </w:r>
      <w:r>
        <w:rPr>
          <w:rFonts w:hint="eastAsia" w:ascii="仿宋_GB2312" w:eastAsia="仿宋_GB2312"/>
          <w:color w:val="000000" w:themeColor="text1"/>
          <w:sz w:val="32"/>
          <w:szCs w:val="28"/>
          <w14:textFill>
            <w14:solidFill>
              <w14:schemeClr w14:val="tx1"/>
            </w14:solidFill>
          </w14:textFill>
        </w:rPr>
        <w:t>，全市共计</w:t>
      </w:r>
      <w:r>
        <w:rPr>
          <w:rFonts w:hint="eastAsia" w:ascii="仿宋_GB2312" w:eastAsia="仿宋_GB2312"/>
          <w:color w:val="000000" w:themeColor="text1"/>
          <w:sz w:val="32"/>
          <w:szCs w:val="32"/>
          <w14:textFill>
            <w14:solidFill>
              <w14:schemeClr w14:val="tx1"/>
            </w14:solidFill>
          </w14:textFill>
        </w:rPr>
        <w:t>16人入选全国“岐黄工程”人才培养项目，26人入选全省“杏林工程”人才培养项目，新增省级名中医</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人、省级基层名中医5人。</w:t>
      </w:r>
      <w:r>
        <w:rPr>
          <w:rFonts w:hint="eastAsia" w:ascii="仿宋_GB2312" w:eastAsia="仿宋_GB2312"/>
          <w:color w:val="000000" w:themeColor="text1"/>
          <w:sz w:val="32"/>
          <w:szCs w:val="28"/>
          <w14:textFill>
            <w14:solidFill>
              <w14:schemeClr w14:val="tx1"/>
            </w14:solidFill>
          </w14:textFill>
        </w:rPr>
        <w:t>新成立省级名老中医专家传承工作室2个。开展了2轮丽水市市级名中医师带徒，共90人考核合格取得出师证。举办了4期“西学中”培训班，其中2个班培训期满，共计182人通过结业考核，考核合格率达97.85%。开展了“护学中”培训班，共计102人通过考核顺利结业。深入开展中医（中西医结合）本科专业人才定向委培，共招录2</w:t>
      </w:r>
      <w:r>
        <w:rPr>
          <w:rFonts w:ascii="仿宋_GB2312" w:eastAsia="仿宋_GB2312"/>
          <w:color w:val="000000" w:themeColor="text1"/>
          <w:sz w:val="32"/>
          <w:szCs w:val="28"/>
          <w14:textFill>
            <w14:solidFill>
              <w14:schemeClr w14:val="tx1"/>
            </w14:solidFill>
          </w14:textFill>
        </w:rPr>
        <w:t>03</w:t>
      </w:r>
      <w:r>
        <w:rPr>
          <w:rFonts w:hint="eastAsia" w:ascii="仿宋_GB2312" w:eastAsia="仿宋_GB2312"/>
          <w:color w:val="000000" w:themeColor="text1"/>
          <w:sz w:val="32"/>
          <w:szCs w:val="28"/>
          <w14:textFill>
            <w14:solidFill>
              <w14:schemeClr w14:val="tx1"/>
            </w14:solidFill>
          </w14:textFill>
        </w:rPr>
        <w:t>人，为提升基层中医药服务能力储备人力资源。</w:t>
      </w:r>
    </w:p>
    <w:p>
      <w:pPr>
        <w:overflowPunct w:val="0"/>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28"/>
          <w14:textFill>
            <w14:solidFill>
              <w14:schemeClr w14:val="tx1"/>
            </w14:solidFill>
          </w14:textFill>
        </w:rPr>
        <w:t>5</w:t>
      </w:r>
      <w:r>
        <w:rPr>
          <w:rFonts w:ascii="仿宋_GB2312" w:eastAsia="仿宋_GB2312"/>
          <w:b/>
          <w:color w:val="000000" w:themeColor="text1"/>
          <w:sz w:val="32"/>
          <w:szCs w:val="28"/>
          <w14:textFill>
            <w14:solidFill>
              <w14:schemeClr w14:val="tx1"/>
            </w14:solidFill>
          </w14:textFill>
        </w:rPr>
        <w:t>.</w:t>
      </w:r>
      <w:r>
        <w:rPr>
          <w:rFonts w:hint="eastAsia" w:ascii="仿宋_GB2312" w:eastAsia="仿宋_GB2312"/>
          <w:b/>
          <w:color w:val="000000" w:themeColor="text1"/>
          <w:sz w:val="32"/>
          <w:szCs w:val="28"/>
          <w14:textFill>
            <w14:solidFill>
              <w14:schemeClr w14:val="tx1"/>
            </w14:solidFill>
          </w14:textFill>
        </w:rPr>
        <w:t>中医药科技创新能力得到提升。</w:t>
      </w:r>
      <w:r>
        <w:rPr>
          <w:rFonts w:hint="eastAsia" w:ascii="仿宋_GB2312" w:eastAsia="仿宋_GB2312"/>
          <w:color w:val="000000" w:themeColor="text1"/>
          <w:sz w:val="32"/>
          <w:szCs w:val="32"/>
          <w14:textFill>
            <w14:solidFill>
              <w14:schemeClr w14:val="tx1"/>
            </w14:solidFill>
          </w14:textFill>
        </w:rPr>
        <w:t>“十三五”期间，新增浙江省“十三五”中医药重点学科建设项目2个、重点专科建设项目1</w:t>
      </w:r>
      <w:r>
        <w:rPr>
          <w:rFonts w:ascii="仿宋_GB2312" w:eastAsia="仿宋_GB2312"/>
          <w:color w:val="000000" w:themeColor="text1"/>
          <w:sz w:val="32"/>
          <w:szCs w:val="32"/>
          <w14:textFill>
            <w14:solidFill>
              <w14:schemeClr w14:val="tx1"/>
            </w14:solidFill>
          </w14:textFill>
        </w:rPr>
        <w:t>3个</w:t>
      </w:r>
      <w:r>
        <w:rPr>
          <w:rFonts w:hint="eastAsia" w:ascii="仿宋_GB2312" w:eastAsia="仿宋_GB2312"/>
          <w:color w:val="000000" w:themeColor="text1"/>
          <w:sz w:val="32"/>
          <w:szCs w:val="32"/>
          <w14:textFill>
            <w14:solidFill>
              <w14:schemeClr w14:val="tx1"/>
            </w14:solidFill>
          </w14:textFill>
        </w:rPr>
        <w:t>。市级中医药重点（扶持）学科1</w:t>
      </w:r>
      <w:r>
        <w:rPr>
          <w:rFonts w:ascii="仿宋_GB2312" w:eastAsia="仿宋_GB2312"/>
          <w:color w:val="000000" w:themeColor="text1"/>
          <w:sz w:val="32"/>
          <w:szCs w:val="32"/>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个、县级龙头学科（中医）7个。丽水市结核病临床医学研究中心列入第一批丽水市临床医学研究中心培育项目，新增畲医药防治心脑血管病科技创新团队和丽水市中西医结合肺病学研究重点科技创新团队。新立项省部级中医药课题5项、市厅级课题</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themeColor="text1"/>
          <w:sz w:val="32"/>
          <w:szCs w:val="32"/>
          <w14:textFill>
            <w14:solidFill>
              <w14:schemeClr w14:val="tx1"/>
            </w14:solidFill>
          </w14:textFill>
        </w:rPr>
        <w:t>项。获得省部级中医药科学技术奖1</w:t>
      </w:r>
      <w:r>
        <w:rPr>
          <w:rFonts w:ascii="仿宋_GB2312"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项、市厅级中医药科学技术奖</w:t>
      </w:r>
      <w:r>
        <w:rPr>
          <w:rFonts w:ascii="仿宋_GB2312" w:eastAsia="仿宋_GB2312"/>
          <w:color w:val="000000" w:themeColor="text1"/>
          <w:sz w:val="32"/>
          <w:szCs w:val="32"/>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项。成功举办中医药类继续教育项目国家级1</w:t>
      </w: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项、省级1</w:t>
      </w:r>
      <w:r>
        <w:rPr>
          <w:rFonts w:ascii="仿宋_GB2312"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项。开展畲医药各类课题研究2</w:t>
      </w: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项，出版畲医药学专著5部。</w:t>
      </w:r>
    </w:p>
    <w:p>
      <w:pPr>
        <w:overflowPunct w:val="0"/>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28"/>
          <w14:textFill>
            <w14:solidFill>
              <w14:schemeClr w14:val="tx1"/>
            </w14:solidFill>
          </w14:textFill>
        </w:rPr>
        <w:t>6</w:t>
      </w:r>
      <w:r>
        <w:rPr>
          <w:rFonts w:ascii="仿宋_GB2312" w:eastAsia="仿宋_GB2312"/>
          <w:b/>
          <w:color w:val="000000" w:themeColor="text1"/>
          <w:sz w:val="32"/>
          <w:szCs w:val="28"/>
          <w14:textFill>
            <w14:solidFill>
              <w14:schemeClr w14:val="tx1"/>
            </w14:solidFill>
          </w14:textFill>
        </w:rPr>
        <w:t>.</w:t>
      </w:r>
      <w:r>
        <w:rPr>
          <w:rFonts w:hint="eastAsia" w:ascii="仿宋_GB2312" w:eastAsia="仿宋_GB2312"/>
          <w:b/>
          <w:color w:val="000000" w:themeColor="text1"/>
          <w:sz w:val="32"/>
          <w:szCs w:val="28"/>
          <w14:textFill>
            <w14:solidFill>
              <w14:schemeClr w14:val="tx1"/>
            </w14:solidFill>
          </w14:textFill>
        </w:rPr>
        <w:t>中医药文化氛围不断浓厚。</w:t>
      </w:r>
      <w:r>
        <w:rPr>
          <w:rFonts w:hint="eastAsia" w:ascii="仿宋_GB2312" w:eastAsia="仿宋_GB2312"/>
          <w:color w:val="000000" w:themeColor="text1"/>
          <w:sz w:val="32"/>
          <w:szCs w:val="32"/>
          <w14:textFill>
            <w14:solidFill>
              <w14:schemeClr w14:val="tx1"/>
            </w14:solidFill>
          </w14:textFill>
        </w:rPr>
        <w:t>积极开展中医中药中国行、中医药“四进”等系列活动。出台了《丽水市中医药文化推进行动方案（2019-2025年）》，编印了《丽水市中医中药进党校知识读本》，出版</w:t>
      </w:r>
      <w:r>
        <w:rPr>
          <w:rFonts w:hint="eastAsia" w:ascii="仿宋_GB2312" w:hAnsi="Calibri" w:eastAsia="仿宋_GB2312" w:cs="Times New Roman"/>
          <w:color w:val="000000" w:themeColor="text1"/>
          <w:sz w:val="32"/>
          <w:szCs w:val="32"/>
          <w14:textFill>
            <w14:solidFill>
              <w14:schemeClr w14:val="tx1"/>
            </w14:solidFill>
          </w14:textFill>
        </w:rPr>
        <w:t>了《中草药民间单方验方大全》</w:t>
      </w:r>
      <w:r>
        <w:rPr>
          <w:rFonts w:hint="eastAsia" w:ascii="仿宋_GB2312" w:eastAsia="仿宋_GB2312"/>
          <w:color w:val="000000" w:themeColor="text1"/>
          <w:sz w:val="32"/>
          <w:szCs w:val="32"/>
          <w14:textFill>
            <w14:solidFill>
              <w14:schemeClr w14:val="tx1"/>
            </w14:solidFill>
          </w14:textFill>
        </w:rPr>
        <w:t>。建立了9个首批中小学中医药与健康教育社会实践基地，并开展实践活动。丽水景宁畲族自治县畲医畲药展示馆等7家单位被评为浙江省中医药文化养生旅游示范基地。录制电视台“养生谈”节目200余期，举办“绿谷养生大讲堂”100余期，全面普及中医药科普知识。</w:t>
      </w:r>
    </w:p>
    <w:p>
      <w:pPr>
        <w:overflowPunct w:val="0"/>
        <w:spacing w:line="360" w:lineRule="auto"/>
        <w:jc w:val="center"/>
        <w:rPr>
          <w:rFonts w:ascii="黑体" w:hAnsi="黑体" w:eastAsia="黑体"/>
          <w:color w:val="000000" w:themeColor="text1"/>
          <w:sz w:val="32"/>
          <w:szCs w:val="28"/>
          <w14:textFill>
            <w14:solidFill>
              <w14:schemeClr w14:val="tx1"/>
            </w14:solidFill>
          </w14:textFill>
        </w:rPr>
      </w:pPr>
      <w:r>
        <w:rPr>
          <w:rFonts w:hint="eastAsia" w:ascii="黑体" w:hAnsi="黑体" w:eastAsia="黑体"/>
          <w:color w:val="000000" w:themeColor="text1"/>
          <w:sz w:val="32"/>
          <w:szCs w:val="28"/>
          <w14:textFill>
            <w14:solidFill>
              <w14:schemeClr w14:val="tx1"/>
            </w14:solidFill>
          </w14:textFill>
        </w:rPr>
        <w:t>“十三五”期间主要指标完成情况</w:t>
      </w:r>
    </w:p>
    <w:tbl>
      <w:tblPr>
        <w:tblStyle w:val="10"/>
        <w:tblW w:w="9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4812"/>
        <w:gridCol w:w="967"/>
        <w:gridCol w:w="1375"/>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815" w:type="dxa"/>
            <w:vAlign w:val="center"/>
          </w:tcPr>
          <w:p>
            <w:pPr>
              <w:tabs>
                <w:tab w:val="left" w:pos="644"/>
              </w:tabs>
              <w:overflowPunct w:val="0"/>
              <w:spacing w:line="440" w:lineRule="exact"/>
              <w:jc w:val="center"/>
              <w:rPr>
                <w:rFonts w:ascii="黑体" w:hAnsi="黑体" w:eastAsia="黑体" w:cs="Times New Roman"/>
                <w:sz w:val="28"/>
                <w:szCs w:val="28"/>
              </w:rPr>
            </w:pPr>
            <w:r>
              <w:rPr>
                <w:rFonts w:hint="eastAsia" w:ascii="黑体" w:hAnsi="黑体" w:eastAsia="黑体" w:cs="Times New Roman"/>
                <w:sz w:val="28"/>
                <w:szCs w:val="28"/>
              </w:rPr>
              <w:t>序号</w:t>
            </w:r>
          </w:p>
        </w:tc>
        <w:tc>
          <w:tcPr>
            <w:tcW w:w="4812" w:type="dxa"/>
            <w:vAlign w:val="center"/>
          </w:tcPr>
          <w:p>
            <w:pPr>
              <w:tabs>
                <w:tab w:val="left" w:pos="644"/>
              </w:tabs>
              <w:overflowPunct w:val="0"/>
              <w:spacing w:line="440" w:lineRule="exact"/>
              <w:jc w:val="center"/>
              <w:rPr>
                <w:rFonts w:ascii="黑体" w:hAnsi="黑体" w:eastAsia="黑体" w:cs="Times New Roman"/>
                <w:sz w:val="28"/>
                <w:szCs w:val="28"/>
              </w:rPr>
            </w:pPr>
            <w:r>
              <w:rPr>
                <w:rFonts w:hint="eastAsia" w:ascii="黑体" w:hAnsi="黑体" w:eastAsia="黑体" w:cs="Times New Roman"/>
                <w:sz w:val="28"/>
                <w:szCs w:val="28"/>
              </w:rPr>
              <w:t>指标名称</w:t>
            </w:r>
          </w:p>
        </w:tc>
        <w:tc>
          <w:tcPr>
            <w:tcW w:w="967" w:type="dxa"/>
            <w:vAlign w:val="center"/>
          </w:tcPr>
          <w:p>
            <w:pPr>
              <w:tabs>
                <w:tab w:val="left" w:pos="644"/>
              </w:tabs>
              <w:overflowPunct w:val="0"/>
              <w:spacing w:line="440" w:lineRule="exact"/>
              <w:jc w:val="center"/>
              <w:rPr>
                <w:rFonts w:ascii="黑体" w:hAnsi="黑体" w:eastAsia="黑体" w:cs="Times New Roman"/>
                <w:sz w:val="28"/>
                <w:szCs w:val="28"/>
              </w:rPr>
            </w:pPr>
            <w:r>
              <w:rPr>
                <w:rFonts w:hint="eastAsia" w:ascii="黑体" w:hAnsi="黑体" w:eastAsia="黑体" w:cs="Times New Roman"/>
                <w:sz w:val="28"/>
                <w:szCs w:val="28"/>
              </w:rPr>
              <w:t>单位</w:t>
            </w:r>
          </w:p>
        </w:tc>
        <w:tc>
          <w:tcPr>
            <w:tcW w:w="1375" w:type="dxa"/>
            <w:vAlign w:val="center"/>
          </w:tcPr>
          <w:p>
            <w:pPr>
              <w:tabs>
                <w:tab w:val="left" w:pos="644"/>
              </w:tabs>
              <w:overflowPunct w:val="0"/>
              <w:spacing w:line="440" w:lineRule="exact"/>
              <w:jc w:val="center"/>
              <w:rPr>
                <w:rFonts w:ascii="黑体" w:hAnsi="黑体" w:eastAsia="黑体" w:cs="Times New Roman"/>
                <w:sz w:val="28"/>
                <w:szCs w:val="28"/>
              </w:rPr>
            </w:pPr>
            <w:r>
              <w:rPr>
                <w:rFonts w:hint="eastAsia" w:ascii="黑体" w:hAnsi="黑体" w:eastAsia="黑体" w:cs="Times New Roman"/>
                <w:sz w:val="28"/>
                <w:szCs w:val="28"/>
              </w:rPr>
              <w:t>十三五</w:t>
            </w:r>
          </w:p>
          <w:p>
            <w:pPr>
              <w:tabs>
                <w:tab w:val="left" w:pos="644"/>
              </w:tabs>
              <w:overflowPunct w:val="0"/>
              <w:spacing w:line="440" w:lineRule="exact"/>
              <w:jc w:val="center"/>
              <w:rPr>
                <w:rFonts w:ascii="黑体" w:hAnsi="黑体" w:eastAsia="黑体" w:cs="Times New Roman"/>
                <w:sz w:val="28"/>
                <w:szCs w:val="28"/>
              </w:rPr>
            </w:pPr>
            <w:r>
              <w:rPr>
                <w:rFonts w:hint="eastAsia" w:ascii="黑体" w:hAnsi="黑体" w:eastAsia="黑体" w:cs="Times New Roman"/>
                <w:sz w:val="28"/>
                <w:szCs w:val="28"/>
              </w:rPr>
              <w:t>目标值</w:t>
            </w:r>
          </w:p>
        </w:tc>
        <w:tc>
          <w:tcPr>
            <w:tcW w:w="1415" w:type="dxa"/>
            <w:vAlign w:val="center"/>
          </w:tcPr>
          <w:p>
            <w:pPr>
              <w:tabs>
                <w:tab w:val="left" w:pos="644"/>
              </w:tabs>
              <w:overflowPunct w:val="0"/>
              <w:spacing w:line="440" w:lineRule="exact"/>
              <w:jc w:val="center"/>
              <w:rPr>
                <w:rFonts w:ascii="黑体" w:hAnsi="黑体" w:eastAsia="黑体"/>
                <w:sz w:val="28"/>
                <w:szCs w:val="28"/>
              </w:rPr>
            </w:pPr>
            <w:r>
              <w:rPr>
                <w:rFonts w:hint="eastAsia" w:ascii="黑体" w:hAnsi="黑体" w:eastAsia="黑体"/>
                <w:sz w:val="28"/>
                <w:szCs w:val="28"/>
              </w:rPr>
              <w:t>完成情况</w:t>
            </w:r>
          </w:p>
          <w:p>
            <w:pPr>
              <w:tabs>
                <w:tab w:val="left" w:pos="644"/>
              </w:tabs>
              <w:overflowPunct w:val="0"/>
              <w:spacing w:line="440" w:lineRule="exact"/>
              <w:jc w:val="center"/>
              <w:rPr>
                <w:rFonts w:ascii="黑体" w:hAnsi="黑体" w:eastAsia="黑体"/>
                <w:sz w:val="28"/>
                <w:szCs w:val="28"/>
              </w:rPr>
            </w:pPr>
            <w:r>
              <w:rPr>
                <w:rFonts w:hint="eastAsia" w:ascii="黑体" w:hAnsi="黑体" w:eastAsia="黑体"/>
                <w:sz w:val="28"/>
                <w:szCs w:val="28"/>
              </w:rPr>
              <w:t>2</w:t>
            </w:r>
            <w:r>
              <w:rPr>
                <w:rFonts w:ascii="黑体" w:hAnsi="黑体" w:eastAsia="黑体"/>
                <w:sz w:val="28"/>
                <w:szCs w:val="28"/>
              </w:rPr>
              <w:t>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15" w:type="dxa"/>
            <w:vAlign w:val="center"/>
          </w:tcPr>
          <w:p>
            <w:pPr>
              <w:tabs>
                <w:tab w:val="left" w:pos="644"/>
              </w:tabs>
              <w:overflowPunct w:val="0"/>
              <w:spacing w:line="48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1</w:t>
            </w:r>
          </w:p>
        </w:tc>
        <w:tc>
          <w:tcPr>
            <w:tcW w:w="4812" w:type="dxa"/>
            <w:vAlign w:val="center"/>
          </w:tcPr>
          <w:p>
            <w:pPr>
              <w:tabs>
                <w:tab w:val="left" w:pos="644"/>
              </w:tabs>
              <w:overflowPunct w:val="0"/>
              <w:spacing w:line="400" w:lineRule="exact"/>
              <w:jc w:val="left"/>
              <w:rPr>
                <w:rFonts w:ascii="仿宋_GB2312" w:hAnsi="宋体" w:eastAsia="仿宋_GB2312" w:cs="Times New Roman"/>
                <w:sz w:val="28"/>
                <w:szCs w:val="28"/>
              </w:rPr>
            </w:pPr>
            <w:r>
              <w:rPr>
                <w:rFonts w:hint="eastAsia" w:ascii="仿宋_GB2312" w:hAnsi="Calibri" w:eastAsia="仿宋_GB2312" w:cs="Times New Roman"/>
                <w:sz w:val="28"/>
                <w:szCs w:val="28"/>
              </w:rPr>
              <w:t>中医经费占卫生事业经费的比例</w:t>
            </w:r>
          </w:p>
        </w:tc>
        <w:tc>
          <w:tcPr>
            <w:tcW w:w="967" w:type="dxa"/>
            <w:vAlign w:val="center"/>
          </w:tcPr>
          <w:p>
            <w:pPr>
              <w:tabs>
                <w:tab w:val="left" w:pos="644"/>
              </w:tabs>
              <w:overflowPunct w:val="0"/>
              <w:spacing w:line="400" w:lineRule="exact"/>
              <w:jc w:val="center"/>
              <w:rPr>
                <w:rFonts w:ascii="仿宋_GB2312" w:hAnsi="宋体" w:eastAsia="仿宋_GB2312" w:cs="Times New Roman"/>
                <w:sz w:val="28"/>
                <w:szCs w:val="28"/>
              </w:rPr>
            </w:pPr>
            <w:r>
              <w:rPr>
                <w:rFonts w:hint="eastAsia" w:ascii="仿宋_GB2312" w:hAnsi="Calibri" w:eastAsia="仿宋_GB2312" w:cs="Times New Roman"/>
                <w:sz w:val="28"/>
                <w:szCs w:val="28"/>
              </w:rPr>
              <w:t>%</w:t>
            </w:r>
          </w:p>
        </w:tc>
        <w:tc>
          <w:tcPr>
            <w:tcW w:w="1375" w:type="dxa"/>
            <w:vAlign w:val="center"/>
          </w:tcPr>
          <w:p>
            <w:pPr>
              <w:shd w:val="clear" w:color="auto" w:fill="FFFFFF"/>
              <w:overflowPunct w:val="0"/>
              <w:spacing w:line="4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&gt;10</w:t>
            </w:r>
          </w:p>
        </w:tc>
        <w:tc>
          <w:tcPr>
            <w:tcW w:w="1415" w:type="dxa"/>
            <w:vAlign w:val="center"/>
          </w:tcPr>
          <w:p>
            <w:pPr>
              <w:shd w:val="clear" w:color="auto" w:fill="FFFFFF"/>
              <w:overflowPunct w:val="0"/>
              <w:spacing w:line="400" w:lineRule="exact"/>
              <w:jc w:val="center"/>
              <w:rPr>
                <w:rFonts w:ascii="仿宋_GB2312" w:hAnsi="宋体" w:eastAsia="仿宋_GB2312"/>
                <w:sz w:val="28"/>
                <w:szCs w:val="28"/>
              </w:rPr>
            </w:pPr>
            <w:r>
              <w:rPr>
                <w:rFonts w:ascii="仿宋_GB2312" w:hAnsi="宋体" w:eastAsia="仿宋_GB2312"/>
                <w:sz w:val="28"/>
                <w:szCs w:val="28"/>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15" w:type="dxa"/>
            <w:vAlign w:val="center"/>
          </w:tcPr>
          <w:p>
            <w:pPr>
              <w:tabs>
                <w:tab w:val="left" w:pos="644"/>
              </w:tabs>
              <w:overflowPunct w:val="0"/>
              <w:spacing w:line="48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2</w:t>
            </w:r>
          </w:p>
        </w:tc>
        <w:tc>
          <w:tcPr>
            <w:tcW w:w="4812" w:type="dxa"/>
            <w:vAlign w:val="center"/>
          </w:tcPr>
          <w:p>
            <w:pPr>
              <w:tabs>
                <w:tab w:val="left" w:pos="644"/>
              </w:tabs>
              <w:overflowPunct w:val="0"/>
              <w:spacing w:line="400" w:lineRule="exact"/>
              <w:jc w:val="left"/>
              <w:rPr>
                <w:rFonts w:ascii="仿宋_GB2312" w:hAnsi="宋体" w:eastAsia="仿宋_GB2312" w:cs="Times New Roman"/>
                <w:sz w:val="28"/>
                <w:szCs w:val="28"/>
              </w:rPr>
            </w:pPr>
            <w:r>
              <w:rPr>
                <w:rFonts w:hint="eastAsia" w:ascii="仿宋_GB2312" w:hAnsi="宋体" w:eastAsia="仿宋_GB2312" w:cs="Times New Roman"/>
                <w:sz w:val="28"/>
                <w:szCs w:val="28"/>
              </w:rPr>
              <w:t>每千人中执业（助理）中医师人数</w:t>
            </w:r>
          </w:p>
        </w:tc>
        <w:tc>
          <w:tcPr>
            <w:tcW w:w="967" w:type="dxa"/>
            <w:vAlign w:val="center"/>
          </w:tcPr>
          <w:p>
            <w:pPr>
              <w:tabs>
                <w:tab w:val="left" w:pos="644"/>
              </w:tabs>
              <w:overflowPunct w:val="0"/>
              <w:spacing w:line="4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人</w:t>
            </w:r>
          </w:p>
        </w:tc>
        <w:tc>
          <w:tcPr>
            <w:tcW w:w="1375" w:type="dxa"/>
            <w:vAlign w:val="center"/>
          </w:tcPr>
          <w:p>
            <w:pPr>
              <w:shd w:val="clear" w:color="auto" w:fill="FFFFFF"/>
              <w:overflowPunct w:val="0"/>
              <w:spacing w:line="4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&gt;0.5</w:t>
            </w:r>
          </w:p>
        </w:tc>
        <w:tc>
          <w:tcPr>
            <w:tcW w:w="1415" w:type="dxa"/>
            <w:vAlign w:val="center"/>
          </w:tcPr>
          <w:p>
            <w:pPr>
              <w:shd w:val="clear" w:color="auto" w:fill="FFFFFF"/>
              <w:overflowPunct w:val="0"/>
              <w:spacing w:line="400" w:lineRule="exact"/>
              <w:jc w:val="center"/>
              <w:rPr>
                <w:rFonts w:ascii="仿宋_GB2312" w:hAnsi="宋体" w:eastAsia="仿宋_GB2312"/>
                <w:sz w:val="28"/>
                <w:szCs w:val="28"/>
              </w:rPr>
            </w:pPr>
            <w:r>
              <w:rPr>
                <w:rFonts w:hint="eastAsia" w:ascii="仿宋_GB2312" w:hAnsi="宋体" w:eastAsia="仿宋_GB2312"/>
                <w:sz w:val="28"/>
                <w:szCs w:val="28"/>
              </w:rPr>
              <w:t>0.5</w:t>
            </w:r>
            <w:r>
              <w:rPr>
                <w:rFonts w:ascii="仿宋_GB2312" w:hAnsi="宋体"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815" w:type="dxa"/>
            <w:vAlign w:val="center"/>
          </w:tcPr>
          <w:p>
            <w:pPr>
              <w:tabs>
                <w:tab w:val="left" w:pos="644"/>
              </w:tabs>
              <w:overflowPunct w:val="0"/>
              <w:spacing w:line="48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3</w:t>
            </w:r>
          </w:p>
        </w:tc>
        <w:tc>
          <w:tcPr>
            <w:tcW w:w="4812" w:type="dxa"/>
            <w:vAlign w:val="center"/>
          </w:tcPr>
          <w:p>
            <w:pPr>
              <w:tabs>
                <w:tab w:val="left" w:pos="644"/>
              </w:tabs>
              <w:overflowPunct w:val="0"/>
              <w:spacing w:line="400" w:lineRule="exact"/>
              <w:jc w:val="left"/>
              <w:rPr>
                <w:rFonts w:ascii="仿宋_GB2312" w:hAnsi="宋体" w:eastAsia="仿宋_GB2312" w:cs="Times New Roman"/>
                <w:sz w:val="28"/>
                <w:szCs w:val="28"/>
              </w:rPr>
            </w:pPr>
            <w:r>
              <w:rPr>
                <w:rFonts w:hint="eastAsia" w:ascii="仿宋_GB2312" w:hAnsi="宋体" w:eastAsia="仿宋_GB2312" w:cs="Times New Roman"/>
                <w:sz w:val="28"/>
                <w:szCs w:val="28"/>
              </w:rPr>
              <w:t>每千人口中医床位数</w:t>
            </w:r>
          </w:p>
        </w:tc>
        <w:tc>
          <w:tcPr>
            <w:tcW w:w="967" w:type="dxa"/>
            <w:vAlign w:val="center"/>
          </w:tcPr>
          <w:p>
            <w:pPr>
              <w:tabs>
                <w:tab w:val="left" w:pos="644"/>
              </w:tabs>
              <w:overflowPunct w:val="0"/>
              <w:spacing w:line="4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张</w:t>
            </w:r>
          </w:p>
        </w:tc>
        <w:tc>
          <w:tcPr>
            <w:tcW w:w="1375" w:type="dxa"/>
            <w:vAlign w:val="center"/>
          </w:tcPr>
          <w:p>
            <w:pPr>
              <w:shd w:val="clear" w:color="auto" w:fill="FFFFFF"/>
              <w:overflowPunct w:val="0"/>
              <w:spacing w:line="4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&gt;0.6</w:t>
            </w:r>
          </w:p>
        </w:tc>
        <w:tc>
          <w:tcPr>
            <w:tcW w:w="1415" w:type="dxa"/>
            <w:vAlign w:val="center"/>
          </w:tcPr>
          <w:p>
            <w:pPr>
              <w:shd w:val="clear" w:color="auto" w:fill="FFFFFF"/>
              <w:overflowPunct w:val="0"/>
              <w:spacing w:line="400" w:lineRule="exact"/>
              <w:jc w:val="center"/>
              <w:rPr>
                <w:rFonts w:ascii="仿宋_GB2312" w:hAnsi="宋体" w:eastAsia="仿宋_GB2312"/>
                <w:sz w:val="28"/>
                <w:szCs w:val="28"/>
              </w:rPr>
            </w:pPr>
            <w:r>
              <w:rPr>
                <w:rFonts w:hint="eastAsia" w:ascii="仿宋_GB2312" w:hAnsi="宋体" w:eastAsia="仿宋_GB2312"/>
                <w:sz w:val="28"/>
                <w:szCs w:val="2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15" w:type="dxa"/>
            <w:vAlign w:val="center"/>
          </w:tcPr>
          <w:p>
            <w:pPr>
              <w:tabs>
                <w:tab w:val="left" w:pos="644"/>
              </w:tabs>
              <w:overflowPunct w:val="0"/>
              <w:spacing w:line="48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4</w:t>
            </w:r>
          </w:p>
        </w:tc>
        <w:tc>
          <w:tcPr>
            <w:tcW w:w="4812" w:type="dxa"/>
            <w:vAlign w:val="center"/>
          </w:tcPr>
          <w:p>
            <w:pPr>
              <w:tabs>
                <w:tab w:val="left" w:pos="644"/>
              </w:tabs>
              <w:overflowPunct w:val="0"/>
              <w:spacing w:line="400" w:lineRule="exact"/>
              <w:jc w:val="left"/>
              <w:rPr>
                <w:rFonts w:ascii="仿宋_GB2312" w:hAnsi="宋体" w:eastAsia="仿宋_GB2312" w:cs="Times New Roman"/>
                <w:sz w:val="28"/>
                <w:szCs w:val="28"/>
              </w:rPr>
            </w:pPr>
            <w:r>
              <w:rPr>
                <w:rFonts w:hint="eastAsia" w:ascii="仿宋_GB2312" w:hAnsi="宋体" w:eastAsia="仿宋_GB2312" w:cs="Times New Roman"/>
                <w:sz w:val="28"/>
                <w:szCs w:val="28"/>
              </w:rPr>
              <w:t>公立中医医院等级</w:t>
            </w:r>
          </w:p>
        </w:tc>
        <w:tc>
          <w:tcPr>
            <w:tcW w:w="967" w:type="dxa"/>
            <w:vAlign w:val="center"/>
          </w:tcPr>
          <w:p>
            <w:pPr>
              <w:tabs>
                <w:tab w:val="left" w:pos="644"/>
              </w:tabs>
              <w:overflowPunct w:val="0"/>
              <w:spacing w:line="4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家</w:t>
            </w:r>
          </w:p>
        </w:tc>
        <w:tc>
          <w:tcPr>
            <w:tcW w:w="1375" w:type="dxa"/>
            <w:vAlign w:val="center"/>
          </w:tcPr>
          <w:p>
            <w:pPr>
              <w:tabs>
                <w:tab w:val="left" w:pos="644"/>
              </w:tabs>
              <w:overflowPunct w:val="0"/>
              <w:spacing w:line="4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三甲1</w:t>
            </w:r>
          </w:p>
          <w:p>
            <w:pPr>
              <w:tabs>
                <w:tab w:val="left" w:pos="644"/>
              </w:tabs>
              <w:overflowPunct w:val="0"/>
              <w:spacing w:line="4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二甲7</w:t>
            </w:r>
          </w:p>
        </w:tc>
        <w:tc>
          <w:tcPr>
            <w:tcW w:w="1415" w:type="dxa"/>
            <w:vAlign w:val="center"/>
          </w:tcPr>
          <w:p>
            <w:pPr>
              <w:tabs>
                <w:tab w:val="left" w:pos="644"/>
              </w:tabs>
              <w:overflowPunct w:val="0"/>
              <w:spacing w:line="4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三甲1</w:t>
            </w:r>
          </w:p>
          <w:p>
            <w:pPr>
              <w:tabs>
                <w:tab w:val="left" w:pos="644"/>
              </w:tabs>
              <w:overflowPunct w:val="0"/>
              <w:spacing w:line="400" w:lineRule="exact"/>
              <w:jc w:val="center"/>
              <w:rPr>
                <w:rFonts w:ascii="仿宋_GB2312" w:hAnsi="宋体" w:eastAsia="仿宋_GB2312"/>
                <w:sz w:val="28"/>
                <w:szCs w:val="28"/>
              </w:rPr>
            </w:pPr>
            <w:r>
              <w:rPr>
                <w:rFonts w:hint="eastAsia" w:ascii="仿宋_GB2312" w:hAnsi="宋体" w:eastAsia="仿宋_GB2312" w:cs="Times New Roman"/>
                <w:sz w:val="28"/>
                <w:szCs w:val="28"/>
              </w:rPr>
              <w:t>二甲</w:t>
            </w:r>
            <w:r>
              <w:rPr>
                <w:rFonts w:hint="eastAsia" w:ascii="仿宋_GB2312" w:hAnsi="宋体"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815" w:type="dxa"/>
            <w:vAlign w:val="center"/>
          </w:tcPr>
          <w:p>
            <w:pPr>
              <w:tabs>
                <w:tab w:val="left" w:pos="644"/>
              </w:tabs>
              <w:overflowPunct w:val="0"/>
              <w:spacing w:line="48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5</w:t>
            </w:r>
          </w:p>
        </w:tc>
        <w:tc>
          <w:tcPr>
            <w:tcW w:w="4812" w:type="dxa"/>
            <w:vAlign w:val="center"/>
          </w:tcPr>
          <w:p>
            <w:pPr>
              <w:tabs>
                <w:tab w:val="left" w:pos="644"/>
              </w:tabs>
              <w:overflowPunct w:val="0"/>
              <w:spacing w:line="400" w:lineRule="exact"/>
              <w:jc w:val="left"/>
              <w:rPr>
                <w:rFonts w:ascii="仿宋_GB2312" w:hAnsi="宋体" w:eastAsia="仿宋_GB2312" w:cs="Times New Roman"/>
                <w:sz w:val="28"/>
                <w:szCs w:val="28"/>
              </w:rPr>
            </w:pPr>
            <w:r>
              <w:rPr>
                <w:rFonts w:hint="eastAsia" w:ascii="仿宋_GB2312" w:hAnsi="宋体" w:eastAsia="仿宋_GB2312" w:cs="Times New Roman"/>
                <w:sz w:val="28"/>
                <w:szCs w:val="28"/>
              </w:rPr>
              <w:t>公立中医医院中医治未病科设置数</w:t>
            </w:r>
          </w:p>
        </w:tc>
        <w:tc>
          <w:tcPr>
            <w:tcW w:w="967" w:type="dxa"/>
            <w:vAlign w:val="center"/>
          </w:tcPr>
          <w:p>
            <w:pPr>
              <w:tabs>
                <w:tab w:val="left" w:pos="644"/>
              </w:tabs>
              <w:overflowPunct w:val="0"/>
              <w:spacing w:line="4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家</w:t>
            </w:r>
          </w:p>
        </w:tc>
        <w:tc>
          <w:tcPr>
            <w:tcW w:w="1375" w:type="dxa"/>
            <w:vAlign w:val="center"/>
          </w:tcPr>
          <w:p>
            <w:pPr>
              <w:tabs>
                <w:tab w:val="left" w:pos="644"/>
              </w:tabs>
              <w:overflowPunct w:val="0"/>
              <w:spacing w:line="4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8</w:t>
            </w:r>
          </w:p>
        </w:tc>
        <w:tc>
          <w:tcPr>
            <w:tcW w:w="1415" w:type="dxa"/>
            <w:vAlign w:val="center"/>
          </w:tcPr>
          <w:p>
            <w:pPr>
              <w:tabs>
                <w:tab w:val="left" w:pos="644"/>
              </w:tabs>
              <w:overflowPunct w:val="0"/>
              <w:spacing w:line="400" w:lineRule="exact"/>
              <w:jc w:val="center"/>
              <w:rPr>
                <w:rFonts w:ascii="仿宋_GB2312" w:hAnsi="宋体" w:eastAsia="仿宋_GB2312"/>
                <w:sz w:val="28"/>
                <w:szCs w:val="28"/>
              </w:rPr>
            </w:pPr>
            <w:r>
              <w:rPr>
                <w:rFonts w:hint="eastAsia" w:ascii="仿宋_GB2312" w:hAnsi="宋体" w:eastAsia="仿宋_GB2312"/>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15" w:type="dxa"/>
            <w:vAlign w:val="center"/>
          </w:tcPr>
          <w:p>
            <w:pPr>
              <w:tabs>
                <w:tab w:val="left" w:pos="644"/>
              </w:tabs>
              <w:overflowPunct w:val="0"/>
              <w:spacing w:line="48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6</w:t>
            </w:r>
          </w:p>
        </w:tc>
        <w:tc>
          <w:tcPr>
            <w:tcW w:w="4812" w:type="dxa"/>
            <w:vAlign w:val="center"/>
          </w:tcPr>
          <w:p>
            <w:pPr>
              <w:tabs>
                <w:tab w:val="left" w:pos="644"/>
              </w:tabs>
              <w:overflowPunct w:val="0"/>
              <w:spacing w:line="400" w:lineRule="exact"/>
              <w:jc w:val="left"/>
              <w:rPr>
                <w:rFonts w:ascii="仿宋_GB2312" w:hAnsi="宋体" w:eastAsia="仿宋_GB2312" w:cs="Times New Roman"/>
                <w:sz w:val="28"/>
                <w:szCs w:val="28"/>
              </w:rPr>
            </w:pPr>
            <w:r>
              <w:rPr>
                <w:rFonts w:hint="eastAsia" w:ascii="仿宋_GB2312" w:hAnsi="宋体" w:eastAsia="仿宋_GB2312" w:cs="Times New Roman"/>
                <w:sz w:val="28"/>
                <w:szCs w:val="28"/>
              </w:rPr>
              <w:t>社区卫生服务中心建立中医馆比例</w:t>
            </w:r>
          </w:p>
        </w:tc>
        <w:tc>
          <w:tcPr>
            <w:tcW w:w="967" w:type="dxa"/>
            <w:vAlign w:val="center"/>
          </w:tcPr>
          <w:p>
            <w:pPr>
              <w:tabs>
                <w:tab w:val="left" w:pos="644"/>
              </w:tabs>
              <w:overflowPunct w:val="0"/>
              <w:spacing w:line="400" w:lineRule="exact"/>
              <w:jc w:val="center"/>
              <w:rPr>
                <w:rFonts w:ascii="仿宋_GB2312" w:hAnsi="宋体" w:eastAsia="仿宋_GB2312" w:cs="Times New Roman"/>
                <w:sz w:val="28"/>
                <w:szCs w:val="28"/>
              </w:rPr>
            </w:pPr>
            <w:r>
              <w:rPr>
                <w:rFonts w:hint="eastAsia" w:ascii="仿宋_GB2312" w:hAnsi="Calibri" w:eastAsia="仿宋_GB2312" w:cs="Times New Roman"/>
                <w:sz w:val="28"/>
                <w:szCs w:val="28"/>
              </w:rPr>
              <w:t>%</w:t>
            </w:r>
          </w:p>
        </w:tc>
        <w:tc>
          <w:tcPr>
            <w:tcW w:w="1375" w:type="dxa"/>
            <w:vAlign w:val="center"/>
          </w:tcPr>
          <w:p>
            <w:pPr>
              <w:tabs>
                <w:tab w:val="left" w:pos="644"/>
              </w:tabs>
              <w:overflowPunct w:val="0"/>
              <w:spacing w:line="4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85</w:t>
            </w:r>
          </w:p>
        </w:tc>
        <w:tc>
          <w:tcPr>
            <w:tcW w:w="1415" w:type="dxa"/>
            <w:vAlign w:val="center"/>
          </w:tcPr>
          <w:p>
            <w:pPr>
              <w:tabs>
                <w:tab w:val="left" w:pos="644"/>
              </w:tabs>
              <w:overflowPunct w:val="0"/>
              <w:spacing w:line="400" w:lineRule="exact"/>
              <w:jc w:val="center"/>
              <w:rPr>
                <w:rFonts w:ascii="仿宋_GB2312" w:hAnsi="宋体" w:eastAsia="仿宋_GB2312"/>
                <w:sz w:val="28"/>
                <w:szCs w:val="28"/>
              </w:rPr>
            </w:pPr>
            <w:r>
              <w:rPr>
                <w:rFonts w:hint="eastAsia" w:ascii="仿宋_GB2312" w:hAnsi="宋体" w:eastAsia="仿宋_GB2312"/>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15" w:type="dxa"/>
            <w:vAlign w:val="center"/>
          </w:tcPr>
          <w:p>
            <w:pPr>
              <w:tabs>
                <w:tab w:val="left" w:pos="644"/>
              </w:tabs>
              <w:overflowPunct w:val="0"/>
              <w:spacing w:line="48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7</w:t>
            </w:r>
          </w:p>
        </w:tc>
        <w:tc>
          <w:tcPr>
            <w:tcW w:w="4812" w:type="dxa"/>
            <w:vAlign w:val="center"/>
          </w:tcPr>
          <w:p>
            <w:pPr>
              <w:tabs>
                <w:tab w:val="left" w:pos="644"/>
              </w:tabs>
              <w:overflowPunct w:val="0"/>
              <w:spacing w:line="400" w:lineRule="exact"/>
              <w:jc w:val="left"/>
              <w:rPr>
                <w:rFonts w:ascii="仿宋_GB2312" w:hAnsi="宋体" w:eastAsia="仿宋_GB2312" w:cs="Times New Roman"/>
                <w:sz w:val="28"/>
                <w:szCs w:val="28"/>
              </w:rPr>
            </w:pPr>
            <w:r>
              <w:rPr>
                <w:rFonts w:hint="eastAsia" w:ascii="仿宋_GB2312" w:hAnsi="宋体" w:eastAsia="仿宋_GB2312" w:cs="Times New Roman"/>
                <w:sz w:val="28"/>
                <w:szCs w:val="28"/>
              </w:rPr>
              <w:t>乡镇卫生院建立中医馆比例</w:t>
            </w:r>
          </w:p>
        </w:tc>
        <w:tc>
          <w:tcPr>
            <w:tcW w:w="967" w:type="dxa"/>
            <w:vAlign w:val="center"/>
          </w:tcPr>
          <w:p>
            <w:pPr>
              <w:tabs>
                <w:tab w:val="left" w:pos="644"/>
              </w:tabs>
              <w:overflowPunct w:val="0"/>
              <w:spacing w:line="400" w:lineRule="exact"/>
              <w:jc w:val="center"/>
              <w:rPr>
                <w:rFonts w:ascii="仿宋_GB2312" w:hAnsi="宋体" w:eastAsia="仿宋_GB2312" w:cs="Times New Roman"/>
                <w:sz w:val="28"/>
                <w:szCs w:val="28"/>
              </w:rPr>
            </w:pPr>
            <w:r>
              <w:rPr>
                <w:rFonts w:hint="eastAsia" w:ascii="仿宋_GB2312" w:hAnsi="Calibri" w:eastAsia="仿宋_GB2312" w:cs="Times New Roman"/>
                <w:sz w:val="28"/>
                <w:szCs w:val="28"/>
              </w:rPr>
              <w:t>%</w:t>
            </w:r>
          </w:p>
        </w:tc>
        <w:tc>
          <w:tcPr>
            <w:tcW w:w="1375" w:type="dxa"/>
            <w:vAlign w:val="center"/>
          </w:tcPr>
          <w:p>
            <w:pPr>
              <w:tabs>
                <w:tab w:val="left" w:pos="644"/>
              </w:tabs>
              <w:overflowPunct w:val="0"/>
              <w:spacing w:line="4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70</w:t>
            </w:r>
          </w:p>
        </w:tc>
        <w:tc>
          <w:tcPr>
            <w:tcW w:w="1415" w:type="dxa"/>
            <w:vAlign w:val="center"/>
          </w:tcPr>
          <w:p>
            <w:pPr>
              <w:tabs>
                <w:tab w:val="left" w:pos="644"/>
              </w:tabs>
              <w:overflowPunct w:val="0"/>
              <w:spacing w:line="400" w:lineRule="exact"/>
              <w:jc w:val="center"/>
              <w:rPr>
                <w:rFonts w:ascii="仿宋_GB2312" w:hAnsi="宋体" w:eastAsia="仿宋_GB2312"/>
                <w:sz w:val="28"/>
                <w:szCs w:val="28"/>
              </w:rPr>
            </w:pPr>
            <w:r>
              <w:rPr>
                <w:rFonts w:ascii="仿宋_GB2312" w:hAnsi="宋体" w:eastAsia="仿宋_GB2312"/>
                <w:sz w:val="28"/>
                <w:szCs w:val="28"/>
              </w:rPr>
              <w:t>76.70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15" w:type="dxa"/>
            <w:vAlign w:val="center"/>
          </w:tcPr>
          <w:p>
            <w:pPr>
              <w:tabs>
                <w:tab w:val="left" w:pos="644"/>
              </w:tabs>
              <w:overflowPunct w:val="0"/>
              <w:spacing w:line="48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8</w:t>
            </w:r>
          </w:p>
        </w:tc>
        <w:tc>
          <w:tcPr>
            <w:tcW w:w="4812" w:type="dxa"/>
            <w:vAlign w:val="center"/>
          </w:tcPr>
          <w:p>
            <w:pPr>
              <w:tabs>
                <w:tab w:val="left" w:pos="644"/>
              </w:tabs>
              <w:overflowPunct w:val="0"/>
              <w:spacing w:line="400" w:lineRule="exact"/>
              <w:jc w:val="left"/>
              <w:rPr>
                <w:rFonts w:ascii="仿宋_GB2312" w:hAnsi="宋体" w:eastAsia="仿宋_GB2312" w:cs="Times New Roman"/>
                <w:sz w:val="28"/>
                <w:szCs w:val="28"/>
              </w:rPr>
            </w:pPr>
            <w:r>
              <w:rPr>
                <w:rFonts w:hint="eastAsia" w:ascii="仿宋_GB2312" w:hAnsi="Calibri" w:eastAsia="仿宋_GB2312" w:cs="Times New Roman"/>
                <w:sz w:val="28"/>
                <w:szCs w:val="28"/>
              </w:rPr>
              <w:t>省级中医药示范社区卫生服务中心（乡镇卫生院）家数</w:t>
            </w:r>
          </w:p>
        </w:tc>
        <w:tc>
          <w:tcPr>
            <w:tcW w:w="967" w:type="dxa"/>
            <w:vAlign w:val="center"/>
          </w:tcPr>
          <w:p>
            <w:pPr>
              <w:tabs>
                <w:tab w:val="left" w:pos="644"/>
              </w:tabs>
              <w:overflowPunct w:val="0"/>
              <w:spacing w:line="400" w:lineRule="exact"/>
              <w:jc w:val="center"/>
              <w:rPr>
                <w:rFonts w:ascii="仿宋_GB2312" w:hAnsi="Calibri" w:eastAsia="仿宋_GB2312" w:cs="Times New Roman"/>
                <w:sz w:val="28"/>
                <w:szCs w:val="28"/>
              </w:rPr>
            </w:pPr>
            <w:r>
              <w:rPr>
                <w:rFonts w:hint="eastAsia" w:ascii="仿宋_GB2312" w:hAnsi="Calibri" w:eastAsia="仿宋_GB2312" w:cs="Times New Roman"/>
                <w:sz w:val="28"/>
                <w:szCs w:val="28"/>
              </w:rPr>
              <w:t>家</w:t>
            </w:r>
          </w:p>
        </w:tc>
        <w:tc>
          <w:tcPr>
            <w:tcW w:w="1375" w:type="dxa"/>
            <w:vAlign w:val="center"/>
          </w:tcPr>
          <w:p>
            <w:pPr>
              <w:tabs>
                <w:tab w:val="left" w:pos="644"/>
              </w:tabs>
              <w:overflowPunct w:val="0"/>
              <w:spacing w:line="40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&gt;10</w:t>
            </w:r>
          </w:p>
        </w:tc>
        <w:tc>
          <w:tcPr>
            <w:tcW w:w="1415" w:type="dxa"/>
            <w:vAlign w:val="center"/>
          </w:tcPr>
          <w:p>
            <w:pPr>
              <w:tabs>
                <w:tab w:val="left" w:pos="644"/>
              </w:tabs>
              <w:overflowPunct w:val="0"/>
              <w:spacing w:line="400" w:lineRule="exact"/>
              <w:jc w:val="center"/>
              <w:rPr>
                <w:rFonts w:ascii="仿宋_GB2312" w:hAnsi="宋体" w:eastAsia="仿宋_GB2312"/>
                <w:sz w:val="28"/>
                <w:szCs w:val="28"/>
              </w:rPr>
            </w:pPr>
            <w:r>
              <w:rPr>
                <w:rFonts w:hint="eastAsia" w:ascii="仿宋_GB2312" w:hAnsi="宋体" w:eastAsia="仿宋_GB2312"/>
                <w:sz w:val="28"/>
                <w:szCs w:val="28"/>
              </w:rPr>
              <w:t>省里未评</w:t>
            </w:r>
          </w:p>
        </w:tc>
      </w:tr>
    </w:tbl>
    <w:p>
      <w:pPr>
        <w:overflowPunct w:val="0"/>
        <w:spacing w:before="156" w:beforeLines="50" w:line="560" w:lineRule="exact"/>
        <w:ind w:firstLine="643" w:firstLineChars="200"/>
        <w:rPr>
          <w:rFonts w:ascii="楷体_GB2312" w:hAnsi="黑体" w:eastAsia="楷体_GB2312"/>
          <w:b/>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（二）主要问题</w:t>
      </w:r>
    </w:p>
    <w:p>
      <w:pPr>
        <w:overflowPunct w:val="0"/>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1</w:t>
      </w:r>
      <w:r>
        <w:rPr>
          <w:rFonts w:ascii="仿宋_GB2312" w:eastAsia="仿宋_GB2312"/>
          <w:b/>
          <w:color w:val="000000" w:themeColor="text1"/>
          <w:sz w:val="32"/>
          <w:szCs w:val="32"/>
          <w14:textFill>
            <w14:solidFill>
              <w14:schemeClr w14:val="tx1"/>
            </w14:solidFill>
          </w14:textFill>
        </w:rPr>
        <w:t>.</w:t>
      </w:r>
      <w:r>
        <w:rPr>
          <w:rFonts w:hint="eastAsia" w:ascii="仿宋_GB2312" w:eastAsia="仿宋_GB2312"/>
          <w:b/>
          <w:color w:val="000000" w:themeColor="text1"/>
          <w:sz w:val="32"/>
          <w:szCs w:val="32"/>
          <w14:textFill>
            <w14:solidFill>
              <w14:schemeClr w14:val="tx1"/>
            </w14:solidFill>
          </w14:textFill>
        </w:rPr>
        <w:t>中医药管理体制机制有待健全。</w:t>
      </w:r>
      <w:r>
        <w:rPr>
          <w:rFonts w:hint="eastAsia" w:ascii="仿宋_GB2312" w:eastAsia="仿宋_GB2312"/>
          <w:color w:val="000000" w:themeColor="text1"/>
          <w:sz w:val="32"/>
          <w:szCs w:val="32"/>
          <w14:textFill>
            <w14:solidFill>
              <w14:schemeClr w14:val="tx1"/>
            </w14:solidFill>
          </w14:textFill>
        </w:rPr>
        <w:t>中医药工作涉及面广，参与部门多，目前，全市没有牵头部门（丽水市中医药管理局），市、县二级中医药行政管理部门人员配置严重不足，对全市中医药事业发展未能起到推动和引领作用。有的单位和部门对中医药相关政策理解不深、重视不够、规划不到位、贯彻不力、执行不够，中医药政策尚未用好用足甚至在落实上存在偏差，不能有效形成合力推动中医药事业发展。</w:t>
      </w:r>
    </w:p>
    <w:p>
      <w:pPr>
        <w:overflowPunct w:val="0"/>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2.</w:t>
      </w:r>
      <w:r>
        <w:rPr>
          <w:rFonts w:hint="eastAsia" w:ascii="仿宋_GB2312" w:eastAsia="仿宋_GB2312"/>
          <w:b/>
          <w:color w:val="000000" w:themeColor="text1"/>
          <w:sz w:val="32"/>
          <w:szCs w:val="32"/>
          <w14:textFill>
            <w14:solidFill>
              <w14:schemeClr w14:val="tx1"/>
            </w14:solidFill>
          </w14:textFill>
        </w:rPr>
        <w:t>中医药服务体系有待完善。</w:t>
      </w:r>
      <w:r>
        <w:rPr>
          <w:rFonts w:hint="eastAsia" w:ascii="仿宋_GB2312" w:eastAsia="仿宋_GB2312"/>
          <w:color w:val="000000" w:themeColor="text1"/>
          <w:sz w:val="32"/>
          <w:szCs w:val="32"/>
          <w14:textFill>
            <w14:solidFill>
              <w14:schemeClr w14:val="tx1"/>
            </w14:solidFill>
          </w14:textFill>
        </w:rPr>
        <w:t>我市各级中医医院发展起步较晚，政府投入严重不足，规模相对较小，中医网底不牢，设施设备相对陈旧，人才相对缺乏，与综合医院和发达地区中医院相比差距大，“中医基层化、基层中医化”难以快速实现。莲都区和景宁县没有设立实质性的中医院，全市7家县级医院均为二级医院，业务能力较弱，其中龙泉、云和2家中医院为二级乙等中医医院，发展尤为艰苦。</w:t>
      </w:r>
    </w:p>
    <w:p>
      <w:pPr>
        <w:overflowPunct w:val="0"/>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3.</w:t>
      </w:r>
      <w:r>
        <w:rPr>
          <w:rFonts w:hint="eastAsia" w:ascii="仿宋_GB2312" w:eastAsia="仿宋_GB2312"/>
          <w:b/>
          <w:color w:val="000000" w:themeColor="text1"/>
          <w:sz w:val="32"/>
          <w:szCs w:val="32"/>
          <w14:textFill>
            <w14:solidFill>
              <w14:schemeClr w14:val="tx1"/>
            </w14:solidFill>
          </w14:textFill>
        </w:rPr>
        <w:t>中医药人才队伍有待加强。</w:t>
      </w:r>
      <w:r>
        <w:rPr>
          <w:rFonts w:hint="eastAsia" w:ascii="仿宋_GB2312" w:eastAsia="仿宋_GB2312"/>
          <w:color w:val="000000" w:themeColor="text1"/>
          <w:sz w:val="32"/>
          <w:szCs w:val="32"/>
          <w14:textFill>
            <w14:solidFill>
              <w14:schemeClr w14:val="tx1"/>
            </w14:solidFill>
          </w14:textFill>
        </w:rPr>
        <w:t>中医药人才总量不足、结构不够合理，名中医数量少、年龄大、带徒少，后继乏人。人才培养机制有待完善，年青中医人才成长周期长，高层次中医药人才短缺，基层中医药人员“招不进、留不住”的难题亟待破解。中医药人才引育特别是高层次中医药人才引进和培养财政保障力度有待进一步加强。</w:t>
      </w:r>
    </w:p>
    <w:p>
      <w:pPr>
        <w:overflowPunct w:val="0"/>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4.</w:t>
      </w:r>
      <w:r>
        <w:rPr>
          <w:rFonts w:hint="eastAsia" w:ascii="仿宋_GB2312" w:eastAsia="仿宋_GB2312"/>
          <w:b/>
          <w:color w:val="000000" w:themeColor="text1"/>
          <w:sz w:val="32"/>
          <w:szCs w:val="32"/>
          <w14:textFill>
            <w14:solidFill>
              <w14:schemeClr w14:val="tx1"/>
            </w14:solidFill>
          </w14:textFill>
        </w:rPr>
        <w:t>中医药创新能力和动力有待提升。</w:t>
      </w:r>
      <w:r>
        <w:rPr>
          <w:rFonts w:ascii="仿宋_GB2312" w:eastAsia="仿宋_GB2312"/>
          <w:color w:val="000000" w:themeColor="text1"/>
          <w:sz w:val="32"/>
          <w:szCs w:val="32"/>
          <w14:textFill>
            <w14:solidFill>
              <w14:schemeClr w14:val="tx1"/>
            </w14:solidFill>
          </w14:textFill>
        </w:rPr>
        <w:t>中医药科研工作的碎片化、零散化问题较为突出，</w:t>
      </w:r>
      <w:r>
        <w:rPr>
          <w:rFonts w:hint="eastAsia" w:ascii="仿宋_GB2312" w:eastAsia="仿宋_GB2312"/>
          <w:color w:val="000000" w:themeColor="text1"/>
          <w:sz w:val="32"/>
          <w:szCs w:val="32"/>
          <w14:textFill>
            <w14:solidFill>
              <w14:schemeClr w14:val="tx1"/>
            </w14:solidFill>
          </w14:textFill>
        </w:rPr>
        <w:t>中医医院、中医药研究机构、中医药企业等各类主体缺乏创新联动机制。中医药重大科研项目立项少、科研成果少，制约我市中医药事业产业创新发展。中医药特色学科和专科建设滞后，水平不高，优势不明显，学科带动力相对不足，后劲乏力。畲医药科研不足，研究不深，资源整合不足，未能发挥民族医药优势。</w:t>
      </w:r>
    </w:p>
    <w:p>
      <w:pPr>
        <w:overflowPunct w:val="0"/>
        <w:spacing w:line="560" w:lineRule="exact"/>
        <w:ind w:firstLine="643" w:firstLineChars="200"/>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（三）发展环境</w:t>
      </w:r>
    </w:p>
    <w:p>
      <w:pPr>
        <w:overflowPunct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“十四五”时期正值“两个一百年”奋斗目标的交汇期，随着经济社会迈入新时代，中医药事业的发展也面临新的挑战和机遇。</w:t>
      </w:r>
    </w:p>
    <w:p>
      <w:pPr>
        <w:overflowPunct w:val="0"/>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1</w:t>
      </w:r>
      <w:r>
        <w:rPr>
          <w:rFonts w:ascii="仿宋_GB2312" w:eastAsia="仿宋_GB2312"/>
          <w:b/>
          <w:color w:val="000000" w:themeColor="text1"/>
          <w:sz w:val="32"/>
          <w:szCs w:val="32"/>
          <w14:textFill>
            <w14:solidFill>
              <w14:schemeClr w14:val="tx1"/>
            </w14:solidFill>
          </w14:textFill>
        </w:rPr>
        <w:t>.中医药</w:t>
      </w:r>
      <w:r>
        <w:rPr>
          <w:rFonts w:hint="eastAsia" w:ascii="仿宋_GB2312" w:eastAsia="仿宋_GB2312"/>
          <w:b/>
          <w:color w:val="000000" w:themeColor="text1"/>
          <w:sz w:val="32"/>
          <w:szCs w:val="32"/>
          <w14:textFill>
            <w14:solidFill>
              <w14:schemeClr w14:val="tx1"/>
            </w14:solidFill>
          </w14:textFill>
        </w:rPr>
        <w:t>传承</w:t>
      </w:r>
      <w:r>
        <w:rPr>
          <w:rFonts w:ascii="仿宋_GB2312" w:eastAsia="仿宋_GB2312"/>
          <w:b/>
          <w:color w:val="000000" w:themeColor="text1"/>
          <w:sz w:val="32"/>
          <w:szCs w:val="32"/>
          <w14:textFill>
            <w14:solidFill>
              <w14:schemeClr w14:val="tx1"/>
            </w14:solidFill>
          </w14:textFill>
        </w:rPr>
        <w:t>创新发展驶入</w:t>
      </w:r>
      <w:r>
        <w:rPr>
          <w:rFonts w:hint="eastAsia" w:ascii="仿宋_GB2312" w:eastAsia="仿宋_GB2312"/>
          <w:b/>
          <w:color w:val="000000" w:themeColor="text1"/>
          <w:sz w:val="32"/>
          <w:szCs w:val="32"/>
          <w14:textFill>
            <w14:solidFill>
              <w14:schemeClr w14:val="tx1"/>
            </w14:solidFill>
          </w14:textFill>
        </w:rPr>
        <w:t>“</w:t>
      </w:r>
      <w:r>
        <w:rPr>
          <w:rFonts w:ascii="仿宋_GB2312" w:eastAsia="仿宋_GB2312"/>
          <w:b/>
          <w:color w:val="000000" w:themeColor="text1"/>
          <w:sz w:val="32"/>
          <w:szCs w:val="32"/>
          <w14:textFill>
            <w14:solidFill>
              <w14:schemeClr w14:val="tx1"/>
            </w14:solidFill>
          </w14:textFill>
        </w:rPr>
        <w:t>快车道</w:t>
      </w:r>
      <w:r>
        <w:rPr>
          <w:rFonts w:hint="eastAsia" w:ascii="仿宋_GB2312" w:eastAsia="仿宋_GB2312"/>
          <w:b/>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党中央、国务院高度重视中医药传承创新发展，特别是党的十八大以来，习近平总书记多次对中医药工作作出重要指示批示，强调要遵循中医药发展规律，坚持中西医并重，传承精华，守正创新，发挥中医药在治未病、重大疾病治疗和疾病康复中的重要作用。2019年10月25日，全国中医药大会在北京召开，次日《中共中央 国务院关于促进中医药传承创新发展的意见》发布。省委、省政府出台《关于促进中医药传承创新发展的实施意见》，召开全省中医药发展大会，全力推动中医药传承创新发展。当前，中医药振兴发展迎来天时、地利、人和的大好时机，我市中医药工作站在了一个新的历史起点上，有基础、有条件、有能力在“十四五”时期加快推进中医药事业发展，为实现共同富裕提供中医药力量。</w:t>
      </w:r>
    </w:p>
    <w:p>
      <w:pPr>
        <w:overflowPunct w:val="0"/>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2</w:t>
      </w:r>
      <w:r>
        <w:rPr>
          <w:rFonts w:ascii="仿宋_GB2312" w:eastAsia="仿宋_GB2312"/>
          <w:b/>
          <w:color w:val="000000" w:themeColor="text1"/>
          <w:sz w:val="32"/>
          <w:szCs w:val="32"/>
          <w14:textFill>
            <w14:solidFill>
              <w14:schemeClr w14:val="tx1"/>
            </w14:solidFill>
          </w14:textFill>
        </w:rPr>
        <w:t>.中医战</w:t>
      </w:r>
      <w:r>
        <w:rPr>
          <w:rFonts w:hint="eastAsia" w:ascii="仿宋_GB2312" w:eastAsia="仿宋_GB2312"/>
          <w:b/>
          <w:color w:val="000000" w:themeColor="text1"/>
          <w:sz w:val="32"/>
          <w:szCs w:val="32"/>
          <w14:textFill>
            <w14:solidFill>
              <w14:schemeClr w14:val="tx1"/>
            </w14:solidFill>
          </w14:textFill>
        </w:rPr>
        <w:t>“疫”生动实践对中医药发展带来新课题。</w:t>
      </w:r>
      <w:r>
        <w:rPr>
          <w:rFonts w:ascii="仿宋_GB2312" w:eastAsia="仿宋_GB2312"/>
          <w:color w:val="000000" w:themeColor="text1"/>
          <w:sz w:val="32"/>
          <w:szCs w:val="32"/>
          <w14:textFill>
            <w14:solidFill>
              <w14:schemeClr w14:val="tx1"/>
            </w14:solidFill>
          </w14:textFill>
        </w:rPr>
        <w:t>习近平总书记强调，中西医结合、中西药并用，是这次疫情防控的一大特点，也是中医药传承精华、守正创新的生动实践。中医药此次参与新冠肺炎疫情防治，并取得重大成果</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再次凝聚了社会对振兴发展中医药的共识</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让人民群众对中医药的发展</w:t>
      </w:r>
      <w:r>
        <w:rPr>
          <w:rFonts w:hint="eastAsia" w:ascii="仿宋_GB2312" w:eastAsia="仿宋_GB2312"/>
          <w:color w:val="000000" w:themeColor="text1"/>
          <w:sz w:val="32"/>
          <w:szCs w:val="32"/>
          <w14:textFill>
            <w14:solidFill>
              <w14:schemeClr w14:val="tx1"/>
            </w14:solidFill>
          </w14:textFill>
        </w:rPr>
        <w:t>认识</w:t>
      </w:r>
      <w:r>
        <w:rPr>
          <w:rFonts w:ascii="仿宋_GB2312" w:eastAsia="仿宋_GB2312"/>
          <w:color w:val="000000" w:themeColor="text1"/>
          <w:sz w:val="32"/>
          <w:szCs w:val="32"/>
          <w14:textFill>
            <w14:solidFill>
              <w14:schemeClr w14:val="tx1"/>
            </w14:solidFill>
          </w14:textFill>
        </w:rPr>
        <w:t>更加深刻</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信心更加坚定</w:t>
      </w:r>
      <w:r>
        <w:rPr>
          <w:rFonts w:hint="eastAsia" w:ascii="仿宋_GB2312" w:eastAsia="仿宋_GB2312"/>
          <w:color w:val="000000" w:themeColor="text1"/>
          <w:sz w:val="32"/>
          <w:szCs w:val="32"/>
          <w14:textFill>
            <w14:solidFill>
              <w14:schemeClr w14:val="tx1"/>
            </w14:solidFill>
          </w14:textFill>
        </w:rPr>
        <w:t>。防控工作进入常态化阶段后，如何实现中医医院高质量发展、提升中医药防治传染病防控水平、构建中医药防控体系仍是一项新课题。</w:t>
      </w:r>
    </w:p>
    <w:p>
      <w:pPr>
        <w:overflowPunct w:val="0"/>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3</w:t>
      </w:r>
      <w:r>
        <w:rPr>
          <w:rFonts w:ascii="仿宋_GB2312" w:eastAsia="仿宋_GB2312"/>
          <w:b/>
          <w:color w:val="000000" w:themeColor="text1"/>
          <w:sz w:val="32"/>
          <w:szCs w:val="32"/>
          <w14:textFill>
            <w14:solidFill>
              <w14:schemeClr w14:val="tx1"/>
            </w14:solidFill>
          </w14:textFill>
        </w:rPr>
        <w:t>.</w:t>
      </w:r>
      <w:r>
        <w:rPr>
          <w:rFonts w:hint="eastAsia" w:ascii="仿宋_GB2312" w:eastAsia="仿宋_GB2312"/>
          <w:b/>
          <w:color w:val="000000" w:themeColor="text1"/>
          <w:sz w:val="32"/>
          <w:szCs w:val="32"/>
          <w14:textFill>
            <w14:solidFill>
              <w14:schemeClr w14:val="tx1"/>
            </w14:solidFill>
          </w14:textFill>
        </w:rPr>
        <w:t>群众健康观念和疾病谱变化对中医药改革发展提出新要求。</w:t>
      </w:r>
      <w:r>
        <w:rPr>
          <w:rFonts w:hint="eastAsia" w:ascii="仿宋_GB2312" w:eastAsia="仿宋_GB2312"/>
          <w:color w:val="000000" w:themeColor="text1"/>
          <w:sz w:val="32"/>
          <w:szCs w:val="32"/>
          <w14:textFill>
            <w14:solidFill>
              <w14:schemeClr w14:val="tx1"/>
            </w14:solidFill>
          </w14:textFill>
        </w:rPr>
        <w:t>随着社会经济的不断发展，人们对健康的需求更加迫切、更加全面、更加科学，加上人口深度老龄化的影响，城乡居民患病疾病谱的总体变化趋势为慢性和老年性疾病上升，恶性肿瘤发病年轻化趋势逐步上升。医疗服务模式逐步从治疗为中心转到以健康为中心，预防保健、健康养生等成为居民健康服务的重要内容。充分发挥中医药特色优势，在切实保障人民群众基本医疗卫生服务需求的基础上，加快发展中医药健康服务，有利于充分激发并满足人民群众多层次多样化中医药健康服务需求，是全面发展中医药事业的必然要求，是促进健康服务业发展的重要任务，对于深化医药卫生体制改革、提升全民健康素质、转变经济发展方式具有重要意义，对于“长寿之乡、养生福地”的丽水来说，尤为如此。</w:t>
      </w:r>
    </w:p>
    <w:p>
      <w:pPr>
        <w:overflowPunct w:val="0"/>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二、总体要求</w:t>
      </w:r>
    </w:p>
    <w:p>
      <w:pPr>
        <w:overflowPunct w:val="0"/>
        <w:spacing w:line="560" w:lineRule="exact"/>
        <w:ind w:firstLine="643" w:firstLineChars="200"/>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（一）指导思想</w:t>
      </w:r>
    </w:p>
    <w:p>
      <w:pPr>
        <w:overflowPunct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习近平新时代中国特色社会主义思想为指导，全面贯彻落实党的十九大和十九届三中、四中、五中全会精神，贯彻落实习近平总书记关于发展中医药的重要论述，按照习近平总书记考察浙江时提出的“努力成为新时代全面展示中国特色社会主义制度优越性的重要窗口”的新目标新定位，坚持贯彻新发展理念，忠实践行“八八战略”、奋力打造“重要窗口”，全面落实健康中国和健康浙江战略部署，坚持以保障人民群众生命健康为根本出发点和落脚点，坚持中西医并重工作方针，传承精华，守正创新，推进中医药更高层次、更大范围开放融合发展。发挥红色资源和中医药特色优势，坚定不移加快革命老区跨越式高质量绿色发展，为健康丽水建设贡献重要力量，向着共同富裕美好社会的宏伟目标奋勇前进。</w:t>
      </w:r>
    </w:p>
    <w:p>
      <w:pPr>
        <w:overflowPunct w:val="0"/>
        <w:spacing w:line="560" w:lineRule="exact"/>
        <w:ind w:firstLine="643" w:firstLineChars="200"/>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（二）基本原则</w:t>
      </w:r>
    </w:p>
    <w:p>
      <w:pPr>
        <w:overflowPunct w:val="0"/>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1.坚持党的领导，推进资源均衡发展。</w:t>
      </w:r>
      <w:r>
        <w:rPr>
          <w:rFonts w:hint="eastAsia" w:ascii="仿宋_GB2312" w:eastAsia="仿宋_GB2312"/>
          <w:color w:val="000000" w:themeColor="text1"/>
          <w:sz w:val="32"/>
          <w:szCs w:val="32"/>
          <w14:textFill>
            <w14:solidFill>
              <w14:schemeClr w14:val="tx1"/>
            </w14:solidFill>
          </w14:textFill>
        </w:rPr>
        <w:t>坚持和强化党对中医药工作的全面领导。牢牢把握公立中医医院的主体主导地位，支持市中医院牵头组建城市医联体，鼓励社会力量参与中医药服务体系建设。推进优质中医医疗资源有效扩容和均衡布局，逐步缩小城乡、区域间差异，提升发展能级，推动区域均衡发展。</w:t>
      </w:r>
    </w:p>
    <w:p>
      <w:pPr>
        <w:overflowPunct w:val="0"/>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2</w:t>
      </w:r>
      <w:r>
        <w:rPr>
          <w:rFonts w:hint="eastAsia" w:ascii="仿宋_GB2312" w:eastAsia="仿宋_GB2312"/>
          <w:b/>
          <w:color w:val="000000" w:themeColor="text1"/>
          <w:sz w:val="32"/>
          <w:szCs w:val="32"/>
          <w14:textFill>
            <w14:solidFill>
              <w14:schemeClr w14:val="tx1"/>
            </w14:solidFill>
          </w14:textFill>
        </w:rPr>
        <w:t>.坚持中西医并重，推进医疗协同发展。</w:t>
      </w:r>
      <w:r>
        <w:rPr>
          <w:rFonts w:hint="eastAsia" w:ascii="仿宋_GB2312" w:eastAsia="仿宋_GB2312"/>
          <w:color w:val="000000" w:themeColor="text1"/>
          <w:sz w:val="32"/>
          <w:szCs w:val="32"/>
          <w14:textFill>
            <w14:solidFill>
              <w14:schemeClr w14:val="tx1"/>
            </w14:solidFill>
          </w14:textFill>
        </w:rPr>
        <w:t>发挥中医药在防未病、治疾病、促健康中的特色优势，坚持中西医结合、中西医并重、中西药并用，推动建立中医药和西医药相互补充、协调发展的服务体系。在中医药人才引进、培养、奖励等方面与西医同等待遇。在中医医院财政投入与综合医院同等待遇。</w:t>
      </w:r>
    </w:p>
    <w:p>
      <w:pPr>
        <w:overflowPunct w:val="0"/>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3</w:t>
      </w:r>
      <w:r>
        <w:rPr>
          <w:rFonts w:hint="eastAsia" w:ascii="仿宋_GB2312" w:eastAsia="仿宋_GB2312"/>
          <w:b/>
          <w:color w:val="000000" w:themeColor="text1"/>
          <w:sz w:val="32"/>
          <w:szCs w:val="32"/>
          <w14:textFill>
            <w14:solidFill>
              <w14:schemeClr w14:val="tx1"/>
            </w14:solidFill>
          </w14:textFill>
        </w:rPr>
        <w:t>.坚持以人为本，推进医疗公平发展。</w:t>
      </w:r>
      <w:r>
        <w:rPr>
          <w:rFonts w:hint="eastAsia" w:ascii="仿宋_GB2312" w:eastAsia="仿宋_GB2312"/>
          <w:color w:val="000000" w:themeColor="text1"/>
          <w:sz w:val="32"/>
          <w:szCs w:val="32"/>
          <w14:textFill>
            <w14:solidFill>
              <w14:schemeClr w14:val="tx1"/>
            </w14:solidFill>
          </w14:textFill>
        </w:rPr>
        <w:t>坚持以人民健康为中心，把握新时代人民群众日益长的中医药服务需求，立足全人群、全方位和全周期，加强资源供给，创新服务模式，提高服务质量，强化监督管理，探索建立具有我市特色的优质高效整合型中医医疗服务体系，提供更高质量、更高水平的中医药健康服务，让人民共享改革发展成果。</w:t>
      </w:r>
    </w:p>
    <w:p>
      <w:pPr>
        <w:overflowPunct w:val="0"/>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4.坚持守正创新，推进优势传承发展。</w:t>
      </w:r>
      <w:r>
        <w:rPr>
          <w:rFonts w:hint="eastAsia" w:ascii="仿宋_GB2312" w:eastAsia="仿宋_GB2312"/>
          <w:color w:val="000000" w:themeColor="text1"/>
          <w:sz w:val="32"/>
          <w:szCs w:val="32"/>
          <w14:textFill>
            <w14:solidFill>
              <w14:schemeClr w14:val="tx1"/>
            </w14:solidFill>
          </w14:textFill>
        </w:rPr>
        <w:t>尊重规律，坚守传统，推动中医药创造性转化、创新性发展。秉承中药材道地性、中医服务特色性“因地制宜”发展中医药。深挖丽水中医药文化历史底蕴，推进中医服务特色优势与数字经济发展优势结合，在传承创新发展中不断形成新优势、</w:t>
      </w:r>
      <w:r>
        <w:rPr>
          <w:rFonts w:hint="eastAsia" w:ascii="仿宋_GB2312" w:hAnsi="仿宋_GB2312" w:eastAsia="仿宋_GB2312" w:cs="仿宋_GB2312"/>
          <w:color w:val="000000" w:themeColor="text1"/>
          <w:sz w:val="32"/>
          <w:szCs w:val="32"/>
          <w14:textFill>
            <w14:solidFill>
              <w14:schemeClr w14:val="tx1"/>
            </w14:solidFill>
          </w14:textFill>
        </w:rPr>
        <w:t>彰显新特色，不断提高中医药现代化发展水平，提升中医药发展的竞争力、影响力和辐射力。</w:t>
      </w:r>
    </w:p>
    <w:p>
      <w:pPr>
        <w:overflowPunct w:val="0"/>
        <w:spacing w:line="560" w:lineRule="exact"/>
        <w:ind w:firstLine="643" w:firstLineChars="200"/>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（三）发展目标</w:t>
      </w:r>
    </w:p>
    <w:p>
      <w:pPr>
        <w:overflowPunct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到2025年，中医药强市建设取得明显进展，整合型中医药服务体系基本成熟定型，中医药服务水平和创新发展能力大幅提升。中医药服务领域不断拓展，中医药在应对突发公共卫生事件和防治重大疾病中的作用更加显著。以更大、更快的步伐推进中医药事业发展，力争全市中医药服务能力达到全省中等水平。“十四五”时期具体发展目标：</w:t>
      </w:r>
    </w:p>
    <w:p>
      <w:pPr>
        <w:overflowPunct w:val="0"/>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1</w:t>
      </w:r>
      <w:r>
        <w:rPr>
          <w:rFonts w:ascii="仿宋_GB2312" w:eastAsia="仿宋_GB2312"/>
          <w:b/>
          <w:color w:val="000000" w:themeColor="text1"/>
          <w:sz w:val="32"/>
          <w:szCs w:val="32"/>
          <w14:textFill>
            <w14:solidFill>
              <w14:schemeClr w14:val="tx1"/>
            </w14:solidFill>
          </w14:textFill>
        </w:rPr>
        <w:t>.</w:t>
      </w:r>
      <w:r>
        <w:rPr>
          <w:rFonts w:hint="eastAsia" w:ascii="仿宋_GB2312" w:eastAsia="仿宋_GB2312"/>
          <w:b/>
          <w:color w:val="000000" w:themeColor="text1"/>
          <w:sz w:val="32"/>
          <w:szCs w:val="32"/>
          <w14:textFill>
            <w14:solidFill>
              <w14:schemeClr w14:val="tx1"/>
            </w14:solidFill>
          </w14:textFill>
        </w:rPr>
        <w:t>中医药健康服务能力得到新提升。</w:t>
      </w:r>
      <w:r>
        <w:rPr>
          <w:rFonts w:hint="eastAsia" w:ascii="仿宋_GB2312" w:eastAsia="仿宋_GB2312"/>
          <w:color w:val="000000" w:themeColor="text1"/>
          <w:sz w:val="32"/>
          <w:szCs w:val="32"/>
          <w14:textFill>
            <w14:solidFill>
              <w14:schemeClr w14:val="tx1"/>
            </w14:solidFill>
          </w14:textFill>
        </w:rPr>
        <w:t>中医药健康服务资源要素配置明显优化，每千人口公立中医医院床位数、每千人口医疗卫生机构中医类别执业（助理）医师数分别达到0</w:t>
      </w:r>
      <w:r>
        <w:rPr>
          <w:rFonts w:ascii="仿宋_GB2312" w:eastAsia="仿宋_GB2312"/>
          <w:color w:val="000000" w:themeColor="text1"/>
          <w:sz w:val="32"/>
          <w:szCs w:val="32"/>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3</w:t>
      </w:r>
      <w:r>
        <w:rPr>
          <w:rFonts w:ascii="仿宋_GB2312" w:eastAsia="仿宋_GB2312"/>
          <w:color w:val="000000" w:themeColor="text1"/>
          <w:sz w:val="32"/>
          <w:szCs w:val="32"/>
          <w14:textFill>
            <w14:solidFill>
              <w14:schemeClr w14:val="tx1"/>
            </w14:solidFill>
          </w14:textFill>
        </w:rPr>
        <w:t>张</w:t>
      </w:r>
      <w:r>
        <w:rPr>
          <w:rFonts w:hint="eastAsia" w:ascii="仿宋_GB2312" w:eastAsia="仿宋_GB2312"/>
          <w:color w:val="000000" w:themeColor="text1"/>
          <w:sz w:val="32"/>
          <w:szCs w:val="32"/>
          <w14:textFill>
            <w14:solidFill>
              <w14:schemeClr w14:val="tx1"/>
            </w14:solidFill>
          </w14:textFill>
        </w:rPr>
        <w:t>、0</w:t>
      </w:r>
      <w:r>
        <w:rPr>
          <w:rFonts w:ascii="仿宋_GB2312" w:eastAsia="仿宋_GB2312"/>
          <w:color w:val="000000" w:themeColor="text1"/>
          <w:sz w:val="32"/>
          <w:szCs w:val="32"/>
          <w14:textFill>
            <w14:solidFill>
              <w14:schemeClr w14:val="tx1"/>
            </w14:solidFill>
          </w14:textFill>
        </w:rPr>
        <w:t>.7人</w:t>
      </w:r>
      <w:r>
        <w:rPr>
          <w:rFonts w:hint="eastAsia" w:ascii="仿宋_GB2312" w:eastAsia="仿宋_GB2312"/>
          <w:color w:val="000000" w:themeColor="text1"/>
          <w:sz w:val="32"/>
          <w:szCs w:val="32"/>
          <w14:textFill>
            <w14:solidFill>
              <w14:schemeClr w14:val="tx1"/>
            </w14:solidFill>
          </w14:textFill>
        </w:rPr>
        <w:t>。全市公立中医医院中医类执业（助理）医师占比达60%以上，中医药特色服务人次占中医医院总诊疗人次比率达65%以上。各县（市）政府办公立中医院全覆盖，85%的县级中医院达到二级甲等中医院水平，100%二级以上综合（专科）医院设置中医科。100%二级以上公立中医医院设置治未病科（中心），社区卫生服务中心、乡镇卫生院全部设置中医馆、配备中医执业（助理）医师，努力打造中医药特色服务优质均衡发展先行地。</w:t>
      </w:r>
    </w:p>
    <w:p>
      <w:pPr>
        <w:overflowPunct w:val="0"/>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2</w:t>
      </w:r>
      <w:r>
        <w:rPr>
          <w:rFonts w:ascii="仿宋_GB2312" w:eastAsia="仿宋_GB2312"/>
          <w:b/>
          <w:color w:val="000000" w:themeColor="text1"/>
          <w:sz w:val="32"/>
          <w:szCs w:val="32"/>
          <w14:textFill>
            <w14:solidFill>
              <w14:schemeClr w14:val="tx1"/>
            </w14:solidFill>
          </w14:textFill>
        </w:rPr>
        <w:t>.</w:t>
      </w:r>
      <w:r>
        <w:rPr>
          <w:rFonts w:hint="eastAsia" w:ascii="仿宋_GB2312" w:eastAsia="仿宋_GB2312"/>
          <w:b/>
          <w:color w:val="000000" w:themeColor="text1"/>
          <w:sz w:val="32"/>
          <w:szCs w:val="32"/>
          <w14:textFill>
            <w14:solidFill>
              <w14:schemeClr w14:val="tx1"/>
            </w14:solidFill>
          </w14:textFill>
        </w:rPr>
        <w:t>中医药人才培养及科技创新实现新突破。</w:t>
      </w:r>
      <w:r>
        <w:rPr>
          <w:rFonts w:hint="eastAsia" w:ascii="仿宋_GB2312" w:eastAsia="仿宋_GB2312"/>
          <w:color w:val="000000" w:themeColor="text1"/>
          <w:sz w:val="32"/>
          <w:szCs w:val="32"/>
          <w14:textFill>
            <w14:solidFill>
              <w14:schemeClr w14:val="tx1"/>
            </w14:solidFill>
          </w14:textFill>
        </w:rPr>
        <w:t>建设中医药科创平台和中医药人才培养基地，建设省市名中医工作室20个，新增岐黄使者1</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人、省市名中医25人、青年名中医及基层名中医30人。重点围绕中医药基础研究和关键核心技术攻关实施中医药重点科研项目5项以上，力争在中医药疾病防治、中药制剂等方面研究形成一批突破性成果，努力打造中医药科技创新的重要策源地。</w:t>
      </w:r>
    </w:p>
    <w:p>
      <w:pPr>
        <w:overflowPunct w:val="0"/>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3</w:t>
      </w:r>
      <w:r>
        <w:rPr>
          <w:rFonts w:ascii="仿宋_GB2312" w:eastAsia="仿宋_GB2312"/>
          <w:b/>
          <w:color w:val="000000" w:themeColor="text1"/>
          <w:sz w:val="32"/>
          <w:szCs w:val="32"/>
          <w14:textFill>
            <w14:solidFill>
              <w14:schemeClr w14:val="tx1"/>
            </w14:solidFill>
          </w14:textFill>
        </w:rPr>
        <w:t>.</w:t>
      </w:r>
      <w:r>
        <w:rPr>
          <w:rFonts w:hint="eastAsia" w:ascii="仿宋_GB2312" w:eastAsia="仿宋_GB2312"/>
          <w:b/>
          <w:color w:val="000000" w:themeColor="text1"/>
          <w:sz w:val="32"/>
          <w:szCs w:val="32"/>
          <w14:textFill>
            <w14:solidFill>
              <w14:schemeClr w14:val="tx1"/>
            </w14:solidFill>
          </w14:textFill>
        </w:rPr>
        <w:t>中医药文化传播和开放发展增添新活力。</w:t>
      </w:r>
      <w:r>
        <w:rPr>
          <w:rFonts w:hint="eastAsia" w:ascii="仿宋_GB2312" w:eastAsia="仿宋_GB2312"/>
          <w:color w:val="000000" w:themeColor="text1"/>
          <w:sz w:val="32"/>
          <w:szCs w:val="32"/>
          <w14:textFill>
            <w14:solidFill>
              <w14:schemeClr w14:val="tx1"/>
            </w14:solidFill>
          </w14:textFill>
        </w:rPr>
        <w:t>打造一批中医药文化传播载体，居民中医药健康文化素养水平达到3</w:t>
      </w: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以上，融入长三角中医药一体化发展取得明显成效，积极参与“一带一路”沿线国家中医药交流合作，建成省级中医药文化养生旅游示范基地5个以上。建成中医药服务进出口基地，努力争当中医药文化传播和开放发展排头兵。</w:t>
      </w:r>
    </w:p>
    <w:p>
      <w:pPr>
        <w:overflowPunct w:val="0"/>
        <w:spacing w:before="156" w:beforeLines="50" w:after="156" w:afterLines="50" w:line="540" w:lineRule="exact"/>
        <w:jc w:val="center"/>
        <w:rPr>
          <w:rFonts w:ascii="黑体" w:hAnsi="黑体" w:eastAsia="黑体"/>
          <w:color w:val="000000" w:themeColor="text1"/>
          <w:sz w:val="32"/>
          <w:szCs w:val="28"/>
          <w14:textFill>
            <w14:solidFill>
              <w14:schemeClr w14:val="tx1"/>
            </w14:solidFill>
          </w14:textFill>
        </w:rPr>
      </w:pPr>
      <w:r>
        <w:rPr>
          <w:rFonts w:hint="eastAsia" w:ascii="黑体" w:hAnsi="黑体" w:eastAsia="黑体"/>
          <w:color w:val="000000" w:themeColor="text1"/>
          <w:sz w:val="32"/>
          <w:szCs w:val="28"/>
          <w14:textFill>
            <w14:solidFill>
              <w14:schemeClr w14:val="tx1"/>
            </w14:solidFill>
          </w14:textFill>
        </w:rPr>
        <w:t>“十四五”时期中医药发展主要指标</w:t>
      </w:r>
    </w:p>
    <w:tbl>
      <w:tblPr>
        <w:tblStyle w:val="10"/>
        <w:tblW w:w="9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8"/>
        <w:gridCol w:w="734"/>
        <w:gridCol w:w="3843"/>
        <w:gridCol w:w="841"/>
        <w:gridCol w:w="1369"/>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148" w:type="dxa"/>
            <w:vAlign w:val="center"/>
          </w:tcPr>
          <w:p>
            <w:pPr>
              <w:tabs>
                <w:tab w:val="left" w:pos="644"/>
              </w:tabs>
              <w:overflowPunct w:val="0"/>
              <w:spacing w:line="320" w:lineRule="exact"/>
              <w:jc w:val="center"/>
              <w:rPr>
                <w:rFonts w:ascii="黑体" w:hAnsi="黑体" w:eastAsia="黑体"/>
                <w:color w:val="000000" w:themeColor="text1"/>
                <w:sz w:val="24"/>
                <w:szCs w:val="28"/>
                <w14:textFill>
                  <w14:solidFill>
                    <w14:schemeClr w14:val="tx1"/>
                  </w14:solidFill>
                </w14:textFill>
              </w:rPr>
            </w:pPr>
            <w:r>
              <w:rPr>
                <w:rFonts w:hint="eastAsia" w:ascii="黑体" w:hAnsi="黑体" w:eastAsia="黑体"/>
                <w:color w:val="000000" w:themeColor="text1"/>
                <w:sz w:val="24"/>
                <w:szCs w:val="28"/>
                <w14:textFill>
                  <w14:solidFill>
                    <w14:schemeClr w14:val="tx1"/>
                  </w14:solidFill>
                </w14:textFill>
              </w:rPr>
              <w:t>类别</w:t>
            </w:r>
          </w:p>
        </w:tc>
        <w:tc>
          <w:tcPr>
            <w:tcW w:w="734" w:type="dxa"/>
            <w:vAlign w:val="center"/>
          </w:tcPr>
          <w:p>
            <w:pPr>
              <w:tabs>
                <w:tab w:val="left" w:pos="644"/>
              </w:tabs>
              <w:overflowPunct w:val="0"/>
              <w:spacing w:line="320" w:lineRule="exact"/>
              <w:jc w:val="center"/>
              <w:rPr>
                <w:rFonts w:ascii="黑体" w:hAnsi="黑体" w:eastAsia="黑体" w:cs="Times New Roman"/>
                <w:color w:val="000000" w:themeColor="text1"/>
                <w:sz w:val="24"/>
                <w:szCs w:val="28"/>
                <w14:textFill>
                  <w14:solidFill>
                    <w14:schemeClr w14:val="tx1"/>
                  </w14:solidFill>
                </w14:textFill>
              </w:rPr>
            </w:pPr>
            <w:r>
              <w:rPr>
                <w:rFonts w:hint="eastAsia" w:ascii="黑体" w:hAnsi="黑体" w:eastAsia="黑体"/>
                <w:color w:val="000000" w:themeColor="text1"/>
                <w:sz w:val="24"/>
                <w:szCs w:val="28"/>
                <w14:textFill>
                  <w14:solidFill>
                    <w14:schemeClr w14:val="tx1"/>
                  </w14:solidFill>
                </w14:textFill>
              </w:rPr>
              <w:t>序号</w:t>
            </w:r>
          </w:p>
        </w:tc>
        <w:tc>
          <w:tcPr>
            <w:tcW w:w="3843" w:type="dxa"/>
            <w:vAlign w:val="center"/>
          </w:tcPr>
          <w:p>
            <w:pPr>
              <w:tabs>
                <w:tab w:val="left" w:pos="644"/>
              </w:tabs>
              <w:overflowPunct w:val="0"/>
              <w:spacing w:line="320" w:lineRule="exact"/>
              <w:jc w:val="center"/>
              <w:rPr>
                <w:rFonts w:ascii="黑体" w:hAnsi="黑体" w:eastAsia="黑体" w:cs="Times New Roman"/>
                <w:color w:val="000000" w:themeColor="text1"/>
                <w:sz w:val="24"/>
                <w:szCs w:val="28"/>
                <w14:textFill>
                  <w14:solidFill>
                    <w14:schemeClr w14:val="tx1"/>
                  </w14:solidFill>
                </w14:textFill>
              </w:rPr>
            </w:pPr>
            <w:r>
              <w:rPr>
                <w:rFonts w:hint="eastAsia" w:ascii="黑体" w:hAnsi="黑体" w:eastAsia="黑体" w:cs="Times New Roman"/>
                <w:color w:val="000000" w:themeColor="text1"/>
                <w:sz w:val="24"/>
                <w:szCs w:val="28"/>
                <w14:textFill>
                  <w14:solidFill>
                    <w14:schemeClr w14:val="tx1"/>
                  </w14:solidFill>
                </w14:textFill>
              </w:rPr>
              <w:t>指标名称</w:t>
            </w:r>
          </w:p>
        </w:tc>
        <w:tc>
          <w:tcPr>
            <w:tcW w:w="841" w:type="dxa"/>
            <w:vAlign w:val="center"/>
          </w:tcPr>
          <w:p>
            <w:pPr>
              <w:tabs>
                <w:tab w:val="left" w:pos="644"/>
              </w:tabs>
              <w:overflowPunct w:val="0"/>
              <w:spacing w:line="320" w:lineRule="exact"/>
              <w:jc w:val="center"/>
              <w:rPr>
                <w:rFonts w:ascii="黑体" w:hAnsi="黑体" w:eastAsia="黑体" w:cs="Times New Roman"/>
                <w:color w:val="000000" w:themeColor="text1"/>
                <w:sz w:val="24"/>
                <w:szCs w:val="28"/>
                <w14:textFill>
                  <w14:solidFill>
                    <w14:schemeClr w14:val="tx1"/>
                  </w14:solidFill>
                </w14:textFill>
              </w:rPr>
            </w:pPr>
            <w:r>
              <w:rPr>
                <w:rFonts w:hint="eastAsia" w:ascii="黑体" w:hAnsi="黑体" w:eastAsia="黑体" w:cs="Times New Roman"/>
                <w:color w:val="000000" w:themeColor="text1"/>
                <w:sz w:val="24"/>
                <w:szCs w:val="28"/>
                <w14:textFill>
                  <w14:solidFill>
                    <w14:schemeClr w14:val="tx1"/>
                  </w14:solidFill>
                </w14:textFill>
              </w:rPr>
              <w:t>单位</w:t>
            </w:r>
          </w:p>
        </w:tc>
        <w:tc>
          <w:tcPr>
            <w:tcW w:w="1369" w:type="dxa"/>
            <w:vAlign w:val="center"/>
          </w:tcPr>
          <w:p>
            <w:pPr>
              <w:tabs>
                <w:tab w:val="left" w:pos="644"/>
              </w:tabs>
              <w:overflowPunct w:val="0"/>
              <w:spacing w:line="320" w:lineRule="exact"/>
              <w:jc w:val="center"/>
              <w:rPr>
                <w:rFonts w:ascii="黑体" w:hAnsi="黑体" w:eastAsia="黑体"/>
                <w:color w:val="000000" w:themeColor="text1"/>
                <w:sz w:val="24"/>
                <w:szCs w:val="28"/>
                <w14:textFill>
                  <w14:solidFill>
                    <w14:schemeClr w14:val="tx1"/>
                  </w14:solidFill>
                </w14:textFill>
              </w:rPr>
            </w:pPr>
            <w:r>
              <w:rPr>
                <w:rFonts w:hint="eastAsia" w:ascii="黑体" w:hAnsi="黑体" w:eastAsia="黑体"/>
                <w:color w:val="000000" w:themeColor="text1"/>
                <w:sz w:val="24"/>
                <w:szCs w:val="28"/>
                <w14:textFill>
                  <w14:solidFill>
                    <w14:schemeClr w14:val="tx1"/>
                  </w14:solidFill>
                </w14:textFill>
              </w:rPr>
              <w:t>2</w:t>
            </w:r>
            <w:r>
              <w:rPr>
                <w:rFonts w:ascii="黑体" w:hAnsi="黑体" w:eastAsia="黑体"/>
                <w:color w:val="000000" w:themeColor="text1"/>
                <w:sz w:val="24"/>
                <w:szCs w:val="28"/>
                <w14:textFill>
                  <w14:solidFill>
                    <w14:schemeClr w14:val="tx1"/>
                  </w14:solidFill>
                </w14:textFill>
              </w:rPr>
              <w:t>020年</w:t>
            </w:r>
          </w:p>
          <w:p>
            <w:pPr>
              <w:tabs>
                <w:tab w:val="left" w:pos="644"/>
              </w:tabs>
              <w:overflowPunct w:val="0"/>
              <w:spacing w:line="320" w:lineRule="exact"/>
              <w:jc w:val="center"/>
              <w:rPr>
                <w:rFonts w:ascii="黑体" w:hAnsi="黑体" w:eastAsia="黑体"/>
                <w:color w:val="000000" w:themeColor="text1"/>
                <w:sz w:val="24"/>
                <w:szCs w:val="28"/>
                <w14:textFill>
                  <w14:solidFill>
                    <w14:schemeClr w14:val="tx1"/>
                  </w14:solidFill>
                </w14:textFill>
              </w:rPr>
            </w:pPr>
            <w:r>
              <w:rPr>
                <w:rFonts w:ascii="黑体" w:hAnsi="黑体" w:eastAsia="黑体"/>
                <w:color w:val="000000" w:themeColor="text1"/>
                <w:sz w:val="24"/>
                <w:szCs w:val="28"/>
                <w14:textFill>
                  <w14:solidFill>
                    <w14:schemeClr w14:val="tx1"/>
                  </w14:solidFill>
                </w14:textFill>
              </w:rPr>
              <w:t>实际值</w:t>
            </w:r>
          </w:p>
        </w:tc>
        <w:tc>
          <w:tcPr>
            <w:tcW w:w="1407" w:type="dxa"/>
            <w:vAlign w:val="center"/>
          </w:tcPr>
          <w:p>
            <w:pPr>
              <w:tabs>
                <w:tab w:val="left" w:pos="644"/>
              </w:tabs>
              <w:overflowPunct w:val="0"/>
              <w:spacing w:line="320" w:lineRule="exact"/>
              <w:jc w:val="center"/>
              <w:rPr>
                <w:rFonts w:ascii="黑体" w:hAnsi="黑体" w:eastAsia="黑体"/>
                <w:color w:val="000000" w:themeColor="text1"/>
                <w:sz w:val="24"/>
                <w:szCs w:val="28"/>
                <w14:textFill>
                  <w14:solidFill>
                    <w14:schemeClr w14:val="tx1"/>
                  </w14:solidFill>
                </w14:textFill>
              </w:rPr>
            </w:pPr>
            <w:r>
              <w:rPr>
                <w:rFonts w:hint="eastAsia" w:ascii="黑体" w:hAnsi="黑体" w:eastAsia="黑体"/>
                <w:color w:val="000000" w:themeColor="text1"/>
                <w:sz w:val="24"/>
                <w:szCs w:val="28"/>
                <w14:textFill>
                  <w14:solidFill>
                    <w14:schemeClr w14:val="tx1"/>
                  </w14:solidFill>
                </w14:textFill>
              </w:rPr>
              <w:t>2025年</w:t>
            </w:r>
          </w:p>
          <w:p>
            <w:pPr>
              <w:tabs>
                <w:tab w:val="left" w:pos="644"/>
              </w:tabs>
              <w:overflowPunct w:val="0"/>
              <w:spacing w:line="320" w:lineRule="exact"/>
              <w:jc w:val="center"/>
              <w:rPr>
                <w:rFonts w:ascii="黑体" w:hAnsi="黑体" w:eastAsia="黑体"/>
                <w:color w:val="000000" w:themeColor="text1"/>
                <w:sz w:val="24"/>
                <w:szCs w:val="28"/>
                <w14:textFill>
                  <w14:solidFill>
                    <w14:schemeClr w14:val="tx1"/>
                  </w14:solidFill>
                </w14:textFill>
              </w:rPr>
            </w:pPr>
            <w:r>
              <w:rPr>
                <w:rFonts w:hint="eastAsia" w:ascii="黑体" w:hAnsi="黑体" w:eastAsia="黑体"/>
                <w:color w:val="000000" w:themeColor="text1"/>
                <w:sz w:val="24"/>
                <w:szCs w:val="28"/>
                <w14:textFill>
                  <w14:solidFill>
                    <w14:schemeClr w14:val="tx1"/>
                  </w14:solidFill>
                </w14:textFill>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48" w:type="dxa"/>
            <w:vMerge w:val="restart"/>
            <w:vAlign w:val="center"/>
          </w:tcPr>
          <w:p>
            <w:pPr>
              <w:tabs>
                <w:tab w:val="left" w:pos="644"/>
              </w:tabs>
              <w:overflowPunct w:val="0"/>
              <w:spacing w:line="360" w:lineRule="exact"/>
              <w:jc w:val="center"/>
              <w:rPr>
                <w:rFonts w:ascii="仿宋_GB2312" w:hAnsi="宋体" w:eastAsia="仿宋_GB2312" w:cs="Times New Roman"/>
                <w:color w:val="000000" w:themeColor="text1"/>
                <w:sz w:val="24"/>
                <w:szCs w:val="28"/>
                <w14:textFill>
                  <w14:solidFill>
                    <w14:schemeClr w14:val="tx1"/>
                  </w14:solidFill>
                </w14:textFill>
              </w:rPr>
            </w:pPr>
            <w:r>
              <w:rPr>
                <w:rFonts w:hint="eastAsia" w:ascii="仿宋_GB2312" w:hAnsi="宋体" w:eastAsia="仿宋_GB2312" w:cs="Times New Roman"/>
                <w:color w:val="000000" w:themeColor="text1"/>
                <w:sz w:val="24"/>
                <w:szCs w:val="28"/>
                <w14:textFill>
                  <w14:solidFill>
                    <w14:schemeClr w14:val="tx1"/>
                  </w14:solidFill>
                </w14:textFill>
              </w:rPr>
              <w:t>中医药服务</w:t>
            </w:r>
          </w:p>
        </w:tc>
        <w:tc>
          <w:tcPr>
            <w:tcW w:w="734" w:type="dxa"/>
            <w:vAlign w:val="center"/>
          </w:tcPr>
          <w:p>
            <w:pPr>
              <w:tabs>
                <w:tab w:val="left" w:pos="644"/>
              </w:tabs>
              <w:overflowPunct w:val="0"/>
              <w:spacing w:line="320" w:lineRule="exact"/>
              <w:jc w:val="center"/>
              <w:rPr>
                <w:rFonts w:ascii="仿宋_GB2312" w:hAnsi="宋体" w:eastAsia="仿宋_GB2312" w:cs="Times New Roman"/>
                <w:color w:val="000000" w:themeColor="text1"/>
                <w:sz w:val="24"/>
                <w:szCs w:val="28"/>
                <w14:textFill>
                  <w14:solidFill>
                    <w14:schemeClr w14:val="tx1"/>
                  </w14:solidFill>
                </w14:textFill>
              </w:rPr>
            </w:pPr>
            <w:r>
              <w:rPr>
                <w:rFonts w:hint="eastAsia" w:ascii="仿宋_GB2312" w:hAnsi="宋体" w:eastAsia="仿宋_GB2312" w:cs="Times New Roman"/>
                <w:color w:val="000000" w:themeColor="text1"/>
                <w:sz w:val="24"/>
                <w:szCs w:val="28"/>
                <w14:textFill>
                  <w14:solidFill>
                    <w14:schemeClr w14:val="tx1"/>
                  </w14:solidFill>
                </w14:textFill>
              </w:rPr>
              <w:t>1</w:t>
            </w:r>
          </w:p>
        </w:tc>
        <w:tc>
          <w:tcPr>
            <w:tcW w:w="3843" w:type="dxa"/>
            <w:vAlign w:val="center"/>
          </w:tcPr>
          <w:p>
            <w:pPr>
              <w:tabs>
                <w:tab w:val="left" w:pos="644"/>
              </w:tabs>
              <w:overflowPunct w:val="0"/>
              <w:spacing w:line="280" w:lineRule="exact"/>
              <w:jc w:val="left"/>
              <w:rPr>
                <w:rFonts w:ascii="仿宋_GB2312" w:hAnsi="Calibri" w:eastAsia="仿宋_GB2312" w:cs="Times New Roman"/>
                <w:color w:val="000000" w:themeColor="text1"/>
                <w:sz w:val="24"/>
                <w:szCs w:val="28"/>
                <w14:textFill>
                  <w14:solidFill>
                    <w14:schemeClr w14:val="tx1"/>
                  </w14:solidFill>
                </w14:textFill>
              </w:rPr>
            </w:pPr>
            <w:r>
              <w:rPr>
                <w:rFonts w:hint="eastAsia" w:ascii="仿宋_GB2312" w:hAnsi="Calibri" w:eastAsia="仿宋_GB2312" w:cs="Times New Roman"/>
                <w:color w:val="000000" w:themeColor="text1"/>
                <w:sz w:val="24"/>
                <w:szCs w:val="28"/>
                <w14:textFill>
                  <w14:solidFill>
                    <w14:schemeClr w14:val="tx1"/>
                  </w14:solidFill>
                </w14:textFill>
              </w:rPr>
              <w:t>国家中医特色重点医院</w:t>
            </w:r>
          </w:p>
        </w:tc>
        <w:tc>
          <w:tcPr>
            <w:tcW w:w="841" w:type="dxa"/>
            <w:vAlign w:val="center"/>
          </w:tcPr>
          <w:p>
            <w:pPr>
              <w:tabs>
                <w:tab w:val="left" w:pos="644"/>
              </w:tabs>
              <w:overflowPunct w:val="0"/>
              <w:spacing w:line="280" w:lineRule="exact"/>
              <w:jc w:val="center"/>
              <w:rPr>
                <w:rFonts w:ascii="仿宋_GB2312" w:hAnsi="Calibri" w:eastAsia="仿宋_GB2312" w:cs="Times New Roman"/>
                <w:color w:val="000000" w:themeColor="text1"/>
                <w:sz w:val="24"/>
                <w:szCs w:val="28"/>
                <w14:textFill>
                  <w14:solidFill>
                    <w14:schemeClr w14:val="tx1"/>
                  </w14:solidFill>
                </w14:textFill>
              </w:rPr>
            </w:pPr>
            <w:r>
              <w:rPr>
                <w:rFonts w:hint="eastAsia" w:ascii="仿宋_GB2312" w:hAnsi="Calibri" w:eastAsia="仿宋_GB2312" w:cs="Times New Roman"/>
                <w:color w:val="000000" w:themeColor="text1"/>
                <w:sz w:val="24"/>
                <w:szCs w:val="28"/>
                <w14:textFill>
                  <w14:solidFill>
                    <w14:schemeClr w14:val="tx1"/>
                  </w14:solidFill>
                </w14:textFill>
              </w:rPr>
              <w:t>家</w:t>
            </w:r>
          </w:p>
        </w:tc>
        <w:tc>
          <w:tcPr>
            <w:tcW w:w="1369" w:type="dxa"/>
            <w:vAlign w:val="center"/>
          </w:tcPr>
          <w:p>
            <w:pPr>
              <w:shd w:val="clear" w:color="auto" w:fill="FFFFFF"/>
              <w:overflowPunct w:val="0"/>
              <w:spacing w:line="280" w:lineRule="exact"/>
              <w:jc w:val="center"/>
              <w:rPr>
                <w:rFonts w:ascii="仿宋_GB2312" w:hAnsi="宋体" w:eastAsia="仿宋_GB2312"/>
                <w:color w:val="000000" w:themeColor="text1"/>
                <w:sz w:val="24"/>
                <w:szCs w:val="28"/>
                <w14:textFill>
                  <w14:solidFill>
                    <w14:schemeClr w14:val="tx1"/>
                  </w14:solidFill>
                </w14:textFill>
              </w:rPr>
            </w:pPr>
            <w:r>
              <w:rPr>
                <w:rFonts w:hint="eastAsia" w:ascii="仿宋_GB2312" w:hAnsi="宋体" w:eastAsia="仿宋_GB2312"/>
                <w:color w:val="000000" w:themeColor="text1"/>
                <w:sz w:val="24"/>
                <w:szCs w:val="28"/>
                <w14:textFill>
                  <w14:solidFill>
                    <w14:schemeClr w14:val="tx1"/>
                  </w14:solidFill>
                </w14:textFill>
              </w:rPr>
              <w:t>/</w:t>
            </w:r>
          </w:p>
        </w:tc>
        <w:tc>
          <w:tcPr>
            <w:tcW w:w="1407" w:type="dxa"/>
            <w:vAlign w:val="center"/>
          </w:tcPr>
          <w:p>
            <w:pPr>
              <w:shd w:val="clear" w:color="auto" w:fill="FFFFFF"/>
              <w:overflowPunct w:val="0"/>
              <w:spacing w:line="280" w:lineRule="exact"/>
              <w:jc w:val="center"/>
              <w:rPr>
                <w:rFonts w:ascii="仿宋_GB2312" w:hAnsi="宋体" w:eastAsia="仿宋_GB2312"/>
                <w:color w:val="000000" w:themeColor="text1"/>
                <w:sz w:val="24"/>
                <w:szCs w:val="28"/>
                <w14:textFill>
                  <w14:solidFill>
                    <w14:schemeClr w14:val="tx1"/>
                  </w14:solidFill>
                </w14:textFill>
              </w:rPr>
            </w:pPr>
            <w:r>
              <w:rPr>
                <w:rFonts w:hint="eastAsia" w:ascii="仿宋_GB2312" w:hAnsi="宋体" w:eastAsia="仿宋_GB2312"/>
                <w:color w:val="000000" w:themeColor="text1"/>
                <w:sz w:val="24"/>
                <w:szCs w:val="2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48" w:type="dxa"/>
            <w:vMerge w:val="continue"/>
            <w:vAlign w:val="center"/>
          </w:tcPr>
          <w:p>
            <w:pPr>
              <w:tabs>
                <w:tab w:val="left" w:pos="644"/>
              </w:tabs>
              <w:overflowPunct w:val="0"/>
              <w:spacing w:line="360" w:lineRule="exact"/>
              <w:jc w:val="center"/>
              <w:rPr>
                <w:rFonts w:ascii="仿宋_GB2312" w:hAnsi="宋体" w:eastAsia="仿宋_GB2312" w:cs="Times New Roman"/>
                <w:color w:val="000000" w:themeColor="text1"/>
                <w:sz w:val="24"/>
                <w:szCs w:val="28"/>
                <w14:textFill>
                  <w14:solidFill>
                    <w14:schemeClr w14:val="tx1"/>
                  </w14:solidFill>
                </w14:textFill>
              </w:rPr>
            </w:pPr>
          </w:p>
        </w:tc>
        <w:tc>
          <w:tcPr>
            <w:tcW w:w="734" w:type="dxa"/>
            <w:vAlign w:val="center"/>
          </w:tcPr>
          <w:p>
            <w:pPr>
              <w:tabs>
                <w:tab w:val="left" w:pos="644"/>
              </w:tabs>
              <w:overflowPunct w:val="0"/>
              <w:spacing w:line="320" w:lineRule="exact"/>
              <w:jc w:val="center"/>
              <w:rPr>
                <w:rFonts w:ascii="仿宋_GB2312" w:hAnsi="宋体" w:eastAsia="仿宋_GB2312" w:cs="Times New Roman"/>
                <w:color w:val="000000" w:themeColor="text1"/>
                <w:sz w:val="24"/>
                <w:szCs w:val="28"/>
                <w14:textFill>
                  <w14:solidFill>
                    <w14:schemeClr w14:val="tx1"/>
                  </w14:solidFill>
                </w14:textFill>
              </w:rPr>
            </w:pPr>
            <w:r>
              <w:rPr>
                <w:rFonts w:hint="eastAsia" w:ascii="仿宋_GB2312" w:hAnsi="宋体" w:eastAsia="仿宋_GB2312" w:cs="Times New Roman"/>
                <w:color w:val="000000" w:themeColor="text1"/>
                <w:sz w:val="24"/>
                <w:szCs w:val="28"/>
                <w14:textFill>
                  <w14:solidFill>
                    <w14:schemeClr w14:val="tx1"/>
                  </w14:solidFill>
                </w14:textFill>
              </w:rPr>
              <w:t>2</w:t>
            </w:r>
          </w:p>
        </w:tc>
        <w:tc>
          <w:tcPr>
            <w:tcW w:w="3843" w:type="dxa"/>
            <w:vAlign w:val="center"/>
          </w:tcPr>
          <w:p>
            <w:pPr>
              <w:tabs>
                <w:tab w:val="left" w:pos="644"/>
              </w:tabs>
              <w:overflowPunct w:val="0"/>
              <w:spacing w:line="280" w:lineRule="exact"/>
              <w:jc w:val="left"/>
              <w:rPr>
                <w:rFonts w:ascii="仿宋_GB2312" w:hAnsi="Calibri" w:eastAsia="仿宋_GB2312" w:cs="Times New Roman"/>
                <w:color w:val="000000" w:themeColor="text1"/>
                <w:sz w:val="24"/>
                <w:szCs w:val="28"/>
                <w14:textFill>
                  <w14:solidFill>
                    <w14:schemeClr w14:val="tx1"/>
                  </w14:solidFill>
                </w14:textFill>
              </w:rPr>
            </w:pPr>
            <w:r>
              <w:rPr>
                <w:rFonts w:hint="eastAsia" w:ascii="仿宋_GB2312" w:hAnsi="Calibri" w:eastAsia="仿宋_GB2312" w:cs="Times New Roman"/>
                <w:color w:val="000000" w:themeColor="text1"/>
                <w:sz w:val="24"/>
                <w:szCs w:val="28"/>
                <w14:textFill>
                  <w14:solidFill>
                    <w14:schemeClr w14:val="tx1"/>
                  </w14:solidFill>
                </w14:textFill>
              </w:rPr>
              <w:t>县级中医医院达到二级甲等以上水平比例</w:t>
            </w:r>
          </w:p>
        </w:tc>
        <w:tc>
          <w:tcPr>
            <w:tcW w:w="841" w:type="dxa"/>
            <w:vAlign w:val="center"/>
          </w:tcPr>
          <w:p>
            <w:pPr>
              <w:tabs>
                <w:tab w:val="left" w:pos="644"/>
              </w:tabs>
              <w:overflowPunct w:val="0"/>
              <w:spacing w:line="280" w:lineRule="exact"/>
              <w:jc w:val="center"/>
              <w:rPr>
                <w:rFonts w:ascii="仿宋_GB2312" w:hAnsi="Calibri" w:eastAsia="仿宋_GB2312" w:cs="Times New Roman"/>
                <w:color w:val="000000" w:themeColor="text1"/>
                <w:sz w:val="24"/>
                <w:szCs w:val="28"/>
                <w14:textFill>
                  <w14:solidFill>
                    <w14:schemeClr w14:val="tx1"/>
                  </w14:solidFill>
                </w14:textFill>
              </w:rPr>
            </w:pPr>
            <w:r>
              <w:rPr>
                <w:rFonts w:hint="eastAsia" w:ascii="仿宋_GB2312" w:hAnsi="Calibri" w:eastAsia="仿宋_GB2312" w:cs="Times New Roman"/>
                <w:color w:val="000000" w:themeColor="text1"/>
                <w:sz w:val="24"/>
                <w:szCs w:val="28"/>
                <w14:textFill>
                  <w14:solidFill>
                    <w14:schemeClr w14:val="tx1"/>
                  </w14:solidFill>
                </w14:textFill>
              </w:rPr>
              <w:t>%</w:t>
            </w:r>
          </w:p>
        </w:tc>
        <w:tc>
          <w:tcPr>
            <w:tcW w:w="1369" w:type="dxa"/>
            <w:vAlign w:val="center"/>
          </w:tcPr>
          <w:p>
            <w:pPr>
              <w:shd w:val="clear" w:color="auto" w:fill="FFFFFF"/>
              <w:overflowPunct w:val="0"/>
              <w:spacing w:line="280" w:lineRule="exact"/>
              <w:jc w:val="center"/>
              <w:rPr>
                <w:rFonts w:ascii="仿宋_GB2312" w:hAnsi="宋体" w:eastAsia="仿宋_GB2312"/>
                <w:color w:val="000000" w:themeColor="text1"/>
                <w:sz w:val="24"/>
                <w:szCs w:val="28"/>
                <w14:textFill>
                  <w14:solidFill>
                    <w14:schemeClr w14:val="tx1"/>
                  </w14:solidFill>
                </w14:textFill>
              </w:rPr>
            </w:pPr>
            <w:r>
              <w:rPr>
                <w:rFonts w:hint="eastAsia" w:ascii="仿宋_GB2312" w:hAnsi="宋体" w:eastAsia="仿宋_GB2312"/>
                <w:color w:val="000000" w:themeColor="text1"/>
                <w:sz w:val="24"/>
                <w:szCs w:val="28"/>
                <w14:textFill>
                  <w14:solidFill>
                    <w14:schemeClr w14:val="tx1"/>
                  </w14:solidFill>
                </w14:textFill>
              </w:rPr>
              <w:t>7</w:t>
            </w:r>
            <w:r>
              <w:rPr>
                <w:rFonts w:ascii="仿宋_GB2312" w:hAnsi="宋体" w:eastAsia="仿宋_GB2312"/>
                <w:color w:val="000000" w:themeColor="text1"/>
                <w:sz w:val="24"/>
                <w:szCs w:val="28"/>
                <w14:textFill>
                  <w14:solidFill>
                    <w14:schemeClr w14:val="tx1"/>
                  </w14:solidFill>
                </w14:textFill>
              </w:rPr>
              <w:t>1</w:t>
            </w:r>
          </w:p>
        </w:tc>
        <w:tc>
          <w:tcPr>
            <w:tcW w:w="1407" w:type="dxa"/>
            <w:vAlign w:val="center"/>
          </w:tcPr>
          <w:p>
            <w:pPr>
              <w:shd w:val="clear" w:color="auto" w:fill="FFFFFF"/>
              <w:overflowPunct w:val="0"/>
              <w:spacing w:line="280" w:lineRule="exact"/>
              <w:jc w:val="center"/>
              <w:rPr>
                <w:rFonts w:ascii="仿宋_GB2312" w:hAnsi="宋体" w:eastAsia="仿宋_GB2312"/>
                <w:color w:val="000000" w:themeColor="text1"/>
                <w:sz w:val="24"/>
                <w:szCs w:val="28"/>
                <w14:textFill>
                  <w14:solidFill>
                    <w14:schemeClr w14:val="tx1"/>
                  </w14:solidFill>
                </w14:textFill>
              </w:rPr>
            </w:pPr>
            <w:r>
              <w:rPr>
                <w:rFonts w:hint="eastAsia" w:ascii="仿宋_GB2312" w:hAnsi="宋体" w:eastAsia="仿宋_GB2312"/>
                <w:color w:val="000000" w:themeColor="text1"/>
                <w:sz w:val="24"/>
                <w:szCs w:val="28"/>
                <w14:textFill>
                  <w14:solidFill>
                    <w14:schemeClr w14:val="tx1"/>
                  </w14:solidFill>
                </w14:textFill>
              </w:rPr>
              <w:t>8</w:t>
            </w:r>
            <w:r>
              <w:rPr>
                <w:rFonts w:ascii="仿宋_GB2312" w:hAnsi="宋体" w:eastAsia="仿宋_GB2312"/>
                <w:color w:val="000000" w:themeColor="text1"/>
                <w:sz w:val="24"/>
                <w:szCs w:val="2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48" w:type="dxa"/>
            <w:vMerge w:val="continue"/>
            <w:vAlign w:val="center"/>
          </w:tcPr>
          <w:p>
            <w:pPr>
              <w:tabs>
                <w:tab w:val="left" w:pos="644"/>
              </w:tabs>
              <w:overflowPunct w:val="0"/>
              <w:spacing w:line="360" w:lineRule="exact"/>
              <w:jc w:val="center"/>
              <w:rPr>
                <w:rFonts w:ascii="仿宋_GB2312" w:hAnsi="宋体" w:eastAsia="仿宋_GB2312" w:cs="Times New Roman"/>
                <w:color w:val="000000" w:themeColor="text1"/>
                <w:sz w:val="24"/>
                <w:szCs w:val="28"/>
                <w14:textFill>
                  <w14:solidFill>
                    <w14:schemeClr w14:val="tx1"/>
                  </w14:solidFill>
                </w14:textFill>
              </w:rPr>
            </w:pPr>
          </w:p>
        </w:tc>
        <w:tc>
          <w:tcPr>
            <w:tcW w:w="734" w:type="dxa"/>
            <w:vAlign w:val="center"/>
          </w:tcPr>
          <w:p>
            <w:pPr>
              <w:tabs>
                <w:tab w:val="left" w:pos="644"/>
              </w:tabs>
              <w:overflowPunct w:val="0"/>
              <w:spacing w:line="320" w:lineRule="exact"/>
              <w:jc w:val="center"/>
              <w:rPr>
                <w:rFonts w:ascii="仿宋_GB2312" w:hAnsi="宋体" w:eastAsia="仿宋_GB2312" w:cs="Times New Roman"/>
                <w:color w:val="000000" w:themeColor="text1"/>
                <w:sz w:val="24"/>
                <w:szCs w:val="28"/>
                <w14:textFill>
                  <w14:solidFill>
                    <w14:schemeClr w14:val="tx1"/>
                  </w14:solidFill>
                </w14:textFill>
              </w:rPr>
            </w:pPr>
            <w:r>
              <w:rPr>
                <w:rFonts w:hint="eastAsia" w:ascii="仿宋_GB2312" w:hAnsi="宋体" w:eastAsia="仿宋_GB2312" w:cs="Times New Roman"/>
                <w:color w:val="000000" w:themeColor="text1"/>
                <w:sz w:val="24"/>
                <w:szCs w:val="28"/>
                <w14:textFill>
                  <w14:solidFill>
                    <w14:schemeClr w14:val="tx1"/>
                  </w14:solidFill>
                </w14:textFill>
              </w:rPr>
              <w:t>3</w:t>
            </w:r>
          </w:p>
        </w:tc>
        <w:tc>
          <w:tcPr>
            <w:tcW w:w="3843" w:type="dxa"/>
            <w:vAlign w:val="center"/>
          </w:tcPr>
          <w:p>
            <w:pPr>
              <w:tabs>
                <w:tab w:val="left" w:pos="644"/>
              </w:tabs>
              <w:overflowPunct w:val="0"/>
              <w:spacing w:line="280" w:lineRule="exact"/>
              <w:jc w:val="left"/>
              <w:rPr>
                <w:rFonts w:ascii="仿宋_GB2312" w:hAnsi="Calibri" w:eastAsia="仿宋_GB2312" w:cs="Times New Roman"/>
                <w:color w:val="000000" w:themeColor="text1"/>
                <w:sz w:val="24"/>
                <w:szCs w:val="28"/>
                <w14:textFill>
                  <w14:solidFill>
                    <w14:schemeClr w14:val="tx1"/>
                  </w14:solidFill>
                </w14:textFill>
              </w:rPr>
            </w:pPr>
            <w:r>
              <w:rPr>
                <w:rFonts w:hint="eastAsia" w:ascii="仿宋_GB2312" w:hAnsi="Calibri" w:eastAsia="仿宋_GB2312" w:cs="Times New Roman"/>
                <w:color w:val="000000" w:themeColor="text1"/>
                <w:sz w:val="24"/>
                <w:szCs w:val="28"/>
                <w14:textFill>
                  <w14:solidFill>
                    <w14:schemeClr w14:val="tx1"/>
                  </w14:solidFill>
                </w14:textFill>
              </w:rPr>
              <w:t>千人公立中医医院床位数</w:t>
            </w:r>
          </w:p>
        </w:tc>
        <w:tc>
          <w:tcPr>
            <w:tcW w:w="841" w:type="dxa"/>
            <w:vAlign w:val="center"/>
          </w:tcPr>
          <w:p>
            <w:pPr>
              <w:tabs>
                <w:tab w:val="left" w:pos="644"/>
              </w:tabs>
              <w:overflowPunct w:val="0"/>
              <w:spacing w:line="280" w:lineRule="exact"/>
              <w:jc w:val="center"/>
              <w:rPr>
                <w:rFonts w:ascii="仿宋_GB2312" w:hAnsi="Calibri" w:eastAsia="仿宋_GB2312" w:cs="Times New Roman"/>
                <w:color w:val="000000" w:themeColor="text1"/>
                <w:sz w:val="24"/>
                <w:szCs w:val="28"/>
                <w14:textFill>
                  <w14:solidFill>
                    <w14:schemeClr w14:val="tx1"/>
                  </w14:solidFill>
                </w14:textFill>
              </w:rPr>
            </w:pPr>
            <w:r>
              <w:rPr>
                <w:rFonts w:hint="eastAsia" w:ascii="仿宋_GB2312" w:hAnsi="Calibri" w:eastAsia="仿宋_GB2312" w:cs="Times New Roman"/>
                <w:color w:val="000000" w:themeColor="text1"/>
                <w:sz w:val="24"/>
                <w:szCs w:val="28"/>
                <w14:textFill>
                  <w14:solidFill>
                    <w14:schemeClr w14:val="tx1"/>
                  </w14:solidFill>
                </w14:textFill>
              </w:rPr>
              <w:t>张</w:t>
            </w:r>
          </w:p>
        </w:tc>
        <w:tc>
          <w:tcPr>
            <w:tcW w:w="1369" w:type="dxa"/>
            <w:vAlign w:val="center"/>
          </w:tcPr>
          <w:p>
            <w:pPr>
              <w:shd w:val="clear" w:color="auto" w:fill="FFFFFF"/>
              <w:overflowPunct w:val="0"/>
              <w:spacing w:line="280" w:lineRule="exact"/>
              <w:jc w:val="center"/>
              <w:rPr>
                <w:rFonts w:ascii="仿宋_GB2312" w:hAnsi="宋体" w:eastAsia="仿宋_GB2312"/>
                <w:color w:val="000000" w:themeColor="text1"/>
                <w:sz w:val="24"/>
                <w:szCs w:val="28"/>
                <w14:textFill>
                  <w14:solidFill>
                    <w14:schemeClr w14:val="tx1"/>
                  </w14:solidFill>
                </w14:textFill>
              </w:rPr>
            </w:pPr>
            <w:r>
              <w:rPr>
                <w:rFonts w:hint="eastAsia" w:ascii="仿宋_GB2312" w:hAnsi="宋体" w:eastAsia="仿宋_GB2312"/>
                <w:color w:val="000000" w:themeColor="text1"/>
                <w:sz w:val="24"/>
                <w:szCs w:val="28"/>
                <w14:textFill>
                  <w14:solidFill>
                    <w14:schemeClr w14:val="tx1"/>
                  </w14:solidFill>
                </w14:textFill>
              </w:rPr>
              <w:t>0</w:t>
            </w:r>
            <w:r>
              <w:rPr>
                <w:rFonts w:ascii="仿宋_GB2312" w:hAnsi="宋体" w:eastAsia="仿宋_GB2312"/>
                <w:color w:val="000000" w:themeColor="text1"/>
                <w:sz w:val="24"/>
                <w:szCs w:val="28"/>
                <w14:textFill>
                  <w14:solidFill>
                    <w14:schemeClr w14:val="tx1"/>
                  </w14:solidFill>
                </w14:textFill>
              </w:rPr>
              <w:t>.60</w:t>
            </w:r>
          </w:p>
        </w:tc>
        <w:tc>
          <w:tcPr>
            <w:tcW w:w="1407" w:type="dxa"/>
            <w:vAlign w:val="center"/>
          </w:tcPr>
          <w:p>
            <w:pPr>
              <w:shd w:val="clear" w:color="auto" w:fill="FFFFFF"/>
              <w:overflowPunct w:val="0"/>
              <w:spacing w:line="280" w:lineRule="exact"/>
              <w:jc w:val="center"/>
              <w:rPr>
                <w:rFonts w:ascii="仿宋_GB2312" w:hAnsi="宋体" w:eastAsia="仿宋_GB2312"/>
                <w:color w:val="000000" w:themeColor="text1"/>
                <w:sz w:val="24"/>
                <w:szCs w:val="28"/>
                <w14:textFill>
                  <w14:solidFill>
                    <w14:schemeClr w14:val="tx1"/>
                  </w14:solidFill>
                </w14:textFill>
              </w:rPr>
            </w:pPr>
            <w:r>
              <w:rPr>
                <w:rFonts w:hint="eastAsia" w:ascii="仿宋_GB2312" w:hAnsi="宋体" w:eastAsia="仿宋_GB2312"/>
                <w:color w:val="000000" w:themeColor="text1"/>
                <w:sz w:val="24"/>
                <w:szCs w:val="28"/>
                <w14:textFill>
                  <w14:solidFill>
                    <w14:schemeClr w14:val="tx1"/>
                  </w14:solidFill>
                </w14:textFill>
              </w:rPr>
              <w:t>0</w:t>
            </w:r>
            <w:r>
              <w:rPr>
                <w:rFonts w:ascii="仿宋_GB2312" w:hAnsi="宋体" w:eastAsia="仿宋_GB2312"/>
                <w:color w:val="000000" w:themeColor="text1"/>
                <w:sz w:val="24"/>
                <w:szCs w:val="28"/>
                <w14:textFill>
                  <w14:solidFill>
                    <w14:schemeClr w14:val="tx1"/>
                  </w14:solidFill>
                </w14:textFill>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48" w:type="dxa"/>
            <w:vMerge w:val="continue"/>
            <w:vAlign w:val="center"/>
          </w:tcPr>
          <w:p>
            <w:pPr>
              <w:tabs>
                <w:tab w:val="left" w:pos="644"/>
              </w:tabs>
              <w:overflowPunct w:val="0"/>
              <w:spacing w:line="360" w:lineRule="exact"/>
              <w:jc w:val="center"/>
              <w:rPr>
                <w:rFonts w:ascii="仿宋_GB2312" w:hAnsi="宋体" w:eastAsia="仿宋_GB2312" w:cs="Times New Roman"/>
                <w:color w:val="000000" w:themeColor="text1"/>
                <w:sz w:val="24"/>
                <w:szCs w:val="28"/>
                <w14:textFill>
                  <w14:solidFill>
                    <w14:schemeClr w14:val="tx1"/>
                  </w14:solidFill>
                </w14:textFill>
              </w:rPr>
            </w:pPr>
          </w:p>
        </w:tc>
        <w:tc>
          <w:tcPr>
            <w:tcW w:w="734" w:type="dxa"/>
            <w:vAlign w:val="center"/>
          </w:tcPr>
          <w:p>
            <w:pPr>
              <w:tabs>
                <w:tab w:val="left" w:pos="644"/>
              </w:tabs>
              <w:overflowPunct w:val="0"/>
              <w:spacing w:line="320" w:lineRule="exact"/>
              <w:jc w:val="center"/>
              <w:rPr>
                <w:rFonts w:ascii="仿宋_GB2312" w:hAnsi="宋体" w:eastAsia="仿宋_GB2312" w:cs="Times New Roman"/>
                <w:color w:val="000000" w:themeColor="text1"/>
                <w:sz w:val="24"/>
                <w:szCs w:val="28"/>
                <w14:textFill>
                  <w14:solidFill>
                    <w14:schemeClr w14:val="tx1"/>
                  </w14:solidFill>
                </w14:textFill>
              </w:rPr>
            </w:pPr>
            <w:r>
              <w:rPr>
                <w:rFonts w:hint="eastAsia" w:ascii="仿宋_GB2312" w:hAnsi="宋体" w:eastAsia="仿宋_GB2312" w:cs="Times New Roman"/>
                <w:color w:val="000000" w:themeColor="text1"/>
                <w:sz w:val="24"/>
                <w:szCs w:val="28"/>
                <w14:textFill>
                  <w14:solidFill>
                    <w14:schemeClr w14:val="tx1"/>
                  </w14:solidFill>
                </w14:textFill>
              </w:rPr>
              <w:t>4</w:t>
            </w:r>
          </w:p>
        </w:tc>
        <w:tc>
          <w:tcPr>
            <w:tcW w:w="3843" w:type="dxa"/>
            <w:vAlign w:val="center"/>
          </w:tcPr>
          <w:p>
            <w:pPr>
              <w:tabs>
                <w:tab w:val="left" w:pos="644"/>
              </w:tabs>
              <w:overflowPunct w:val="0"/>
              <w:spacing w:line="280" w:lineRule="exact"/>
              <w:jc w:val="left"/>
              <w:rPr>
                <w:rFonts w:ascii="仿宋_GB2312" w:hAnsi="Calibri" w:eastAsia="仿宋_GB2312" w:cs="Times New Roman"/>
                <w:color w:val="000000" w:themeColor="text1"/>
                <w:sz w:val="24"/>
                <w:szCs w:val="28"/>
                <w14:textFill>
                  <w14:solidFill>
                    <w14:schemeClr w14:val="tx1"/>
                  </w14:solidFill>
                </w14:textFill>
              </w:rPr>
            </w:pPr>
            <w:r>
              <w:rPr>
                <w:rFonts w:ascii="仿宋_GB2312" w:hAnsi="Calibri" w:eastAsia="仿宋_GB2312" w:cs="Times New Roman"/>
                <w:color w:val="000000" w:themeColor="text1"/>
                <w:sz w:val="24"/>
                <w:szCs w:val="28"/>
                <w14:textFill>
                  <w14:solidFill>
                    <w14:schemeClr w14:val="tx1"/>
                  </w14:solidFill>
                </w14:textFill>
              </w:rPr>
              <w:t>千人中医类执业（助理）医师数</w:t>
            </w:r>
          </w:p>
        </w:tc>
        <w:tc>
          <w:tcPr>
            <w:tcW w:w="841" w:type="dxa"/>
            <w:vAlign w:val="center"/>
          </w:tcPr>
          <w:p>
            <w:pPr>
              <w:tabs>
                <w:tab w:val="left" w:pos="644"/>
              </w:tabs>
              <w:overflowPunct w:val="0"/>
              <w:spacing w:line="280" w:lineRule="exact"/>
              <w:jc w:val="center"/>
              <w:rPr>
                <w:rFonts w:ascii="仿宋_GB2312" w:hAnsi="Calibri" w:eastAsia="仿宋_GB2312" w:cs="Times New Roman"/>
                <w:color w:val="000000" w:themeColor="text1"/>
                <w:sz w:val="24"/>
                <w:szCs w:val="28"/>
                <w14:textFill>
                  <w14:solidFill>
                    <w14:schemeClr w14:val="tx1"/>
                  </w14:solidFill>
                </w14:textFill>
              </w:rPr>
            </w:pPr>
            <w:r>
              <w:rPr>
                <w:rFonts w:hint="eastAsia" w:ascii="仿宋_GB2312" w:hAnsi="Calibri" w:eastAsia="仿宋_GB2312" w:cs="Times New Roman"/>
                <w:color w:val="000000" w:themeColor="text1"/>
                <w:sz w:val="24"/>
                <w:szCs w:val="28"/>
                <w14:textFill>
                  <w14:solidFill>
                    <w14:schemeClr w14:val="tx1"/>
                  </w14:solidFill>
                </w14:textFill>
              </w:rPr>
              <w:t>人</w:t>
            </w:r>
          </w:p>
        </w:tc>
        <w:tc>
          <w:tcPr>
            <w:tcW w:w="1369" w:type="dxa"/>
            <w:vAlign w:val="center"/>
          </w:tcPr>
          <w:p>
            <w:pPr>
              <w:shd w:val="clear" w:color="auto" w:fill="FFFFFF"/>
              <w:overflowPunct w:val="0"/>
              <w:spacing w:line="280" w:lineRule="exact"/>
              <w:jc w:val="center"/>
              <w:rPr>
                <w:rFonts w:ascii="仿宋_GB2312" w:hAnsi="宋体" w:eastAsia="仿宋_GB2312"/>
                <w:sz w:val="24"/>
                <w:szCs w:val="28"/>
              </w:rPr>
            </w:pPr>
            <w:r>
              <w:rPr>
                <w:rFonts w:hint="eastAsia" w:ascii="仿宋_GB2312" w:hAnsi="宋体" w:eastAsia="仿宋_GB2312"/>
                <w:sz w:val="24"/>
                <w:szCs w:val="28"/>
              </w:rPr>
              <w:t>0</w:t>
            </w:r>
            <w:r>
              <w:rPr>
                <w:rFonts w:ascii="仿宋_GB2312" w:hAnsi="宋体" w:eastAsia="仿宋_GB2312"/>
                <w:sz w:val="24"/>
                <w:szCs w:val="28"/>
              </w:rPr>
              <w:t>.54</w:t>
            </w:r>
          </w:p>
        </w:tc>
        <w:tc>
          <w:tcPr>
            <w:tcW w:w="1407" w:type="dxa"/>
            <w:vAlign w:val="center"/>
          </w:tcPr>
          <w:p>
            <w:pPr>
              <w:shd w:val="clear" w:color="auto" w:fill="FFFFFF"/>
              <w:overflowPunct w:val="0"/>
              <w:spacing w:line="280" w:lineRule="exact"/>
              <w:jc w:val="center"/>
              <w:rPr>
                <w:rFonts w:ascii="仿宋_GB2312" w:hAnsi="宋体" w:eastAsia="仿宋_GB2312"/>
                <w:color w:val="000000" w:themeColor="text1"/>
                <w:sz w:val="24"/>
                <w:szCs w:val="28"/>
                <w14:textFill>
                  <w14:solidFill>
                    <w14:schemeClr w14:val="tx1"/>
                  </w14:solidFill>
                </w14:textFill>
              </w:rPr>
            </w:pPr>
            <w:r>
              <w:rPr>
                <w:rFonts w:hint="eastAsia" w:ascii="仿宋_GB2312" w:hAnsi="宋体" w:eastAsia="仿宋_GB2312"/>
                <w:color w:val="000000" w:themeColor="text1"/>
                <w:sz w:val="24"/>
                <w:szCs w:val="28"/>
                <w14:textFill>
                  <w14:solidFill>
                    <w14:schemeClr w14:val="tx1"/>
                  </w14:solidFill>
                </w14:textFill>
              </w:rPr>
              <w:t>0</w:t>
            </w:r>
            <w:r>
              <w:rPr>
                <w:rFonts w:ascii="仿宋_GB2312" w:hAnsi="宋体" w:eastAsia="仿宋_GB2312"/>
                <w:color w:val="000000" w:themeColor="text1"/>
                <w:sz w:val="24"/>
                <w:szCs w:val="28"/>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48" w:type="dxa"/>
            <w:vMerge w:val="continue"/>
            <w:vAlign w:val="center"/>
          </w:tcPr>
          <w:p>
            <w:pPr>
              <w:tabs>
                <w:tab w:val="left" w:pos="644"/>
              </w:tabs>
              <w:overflowPunct w:val="0"/>
              <w:spacing w:line="360" w:lineRule="exact"/>
              <w:jc w:val="center"/>
              <w:rPr>
                <w:rFonts w:ascii="仿宋_GB2312" w:hAnsi="宋体" w:eastAsia="仿宋_GB2312" w:cs="Times New Roman"/>
                <w:color w:val="000000" w:themeColor="text1"/>
                <w:sz w:val="24"/>
                <w:szCs w:val="28"/>
                <w14:textFill>
                  <w14:solidFill>
                    <w14:schemeClr w14:val="tx1"/>
                  </w14:solidFill>
                </w14:textFill>
              </w:rPr>
            </w:pPr>
          </w:p>
        </w:tc>
        <w:tc>
          <w:tcPr>
            <w:tcW w:w="734" w:type="dxa"/>
            <w:vAlign w:val="center"/>
          </w:tcPr>
          <w:p>
            <w:pPr>
              <w:tabs>
                <w:tab w:val="left" w:pos="644"/>
              </w:tabs>
              <w:overflowPunct w:val="0"/>
              <w:spacing w:line="320" w:lineRule="exact"/>
              <w:jc w:val="center"/>
              <w:rPr>
                <w:rFonts w:ascii="仿宋_GB2312" w:hAnsi="宋体" w:eastAsia="仿宋_GB2312" w:cs="Times New Roman"/>
                <w:color w:val="000000" w:themeColor="text1"/>
                <w:sz w:val="24"/>
                <w:szCs w:val="28"/>
                <w14:textFill>
                  <w14:solidFill>
                    <w14:schemeClr w14:val="tx1"/>
                  </w14:solidFill>
                </w14:textFill>
              </w:rPr>
            </w:pPr>
            <w:r>
              <w:rPr>
                <w:rFonts w:hint="eastAsia" w:ascii="仿宋_GB2312" w:hAnsi="宋体" w:eastAsia="仿宋_GB2312" w:cs="Times New Roman"/>
                <w:color w:val="000000" w:themeColor="text1"/>
                <w:sz w:val="24"/>
                <w:szCs w:val="28"/>
                <w14:textFill>
                  <w14:solidFill>
                    <w14:schemeClr w14:val="tx1"/>
                  </w14:solidFill>
                </w14:textFill>
              </w:rPr>
              <w:t>5</w:t>
            </w:r>
          </w:p>
        </w:tc>
        <w:tc>
          <w:tcPr>
            <w:tcW w:w="3843" w:type="dxa"/>
            <w:vAlign w:val="center"/>
          </w:tcPr>
          <w:p>
            <w:pPr>
              <w:tabs>
                <w:tab w:val="left" w:pos="644"/>
              </w:tabs>
              <w:overflowPunct w:val="0"/>
              <w:spacing w:line="280" w:lineRule="exact"/>
              <w:jc w:val="left"/>
              <w:rPr>
                <w:rFonts w:ascii="仿宋_GB2312" w:hAnsi="Calibri" w:eastAsia="仿宋_GB2312" w:cs="Times New Roman"/>
                <w:color w:val="000000" w:themeColor="text1"/>
                <w:sz w:val="24"/>
                <w:szCs w:val="28"/>
                <w14:textFill>
                  <w14:solidFill>
                    <w14:schemeClr w14:val="tx1"/>
                  </w14:solidFill>
                </w14:textFill>
              </w:rPr>
            </w:pPr>
            <w:r>
              <w:rPr>
                <w:rFonts w:ascii="仿宋_GB2312" w:hAnsi="Calibri" w:eastAsia="仿宋_GB2312" w:cs="Times New Roman"/>
                <w:color w:val="000000" w:themeColor="text1"/>
                <w:sz w:val="24"/>
                <w:szCs w:val="28"/>
                <w14:textFill>
                  <w14:solidFill>
                    <w14:schemeClr w14:val="tx1"/>
                  </w14:solidFill>
                </w14:textFill>
              </w:rPr>
              <w:t>公立中医医院中医类执业（助理）医师占比</w:t>
            </w:r>
          </w:p>
        </w:tc>
        <w:tc>
          <w:tcPr>
            <w:tcW w:w="841" w:type="dxa"/>
            <w:vAlign w:val="center"/>
          </w:tcPr>
          <w:p>
            <w:pPr>
              <w:tabs>
                <w:tab w:val="left" w:pos="644"/>
              </w:tabs>
              <w:overflowPunct w:val="0"/>
              <w:spacing w:line="280" w:lineRule="exact"/>
              <w:jc w:val="center"/>
              <w:rPr>
                <w:rFonts w:ascii="仿宋_GB2312" w:hAnsi="Calibri" w:eastAsia="仿宋_GB2312" w:cs="Times New Roman"/>
                <w:color w:val="000000" w:themeColor="text1"/>
                <w:sz w:val="24"/>
                <w:szCs w:val="28"/>
                <w14:textFill>
                  <w14:solidFill>
                    <w14:schemeClr w14:val="tx1"/>
                  </w14:solidFill>
                </w14:textFill>
              </w:rPr>
            </w:pPr>
            <w:r>
              <w:rPr>
                <w:rFonts w:hint="eastAsia" w:ascii="仿宋_GB2312" w:hAnsi="Calibri" w:eastAsia="仿宋_GB2312" w:cs="Times New Roman"/>
                <w:color w:val="000000" w:themeColor="text1"/>
                <w:sz w:val="24"/>
                <w:szCs w:val="28"/>
                <w14:textFill>
                  <w14:solidFill>
                    <w14:schemeClr w14:val="tx1"/>
                  </w14:solidFill>
                </w14:textFill>
              </w:rPr>
              <w:t>%</w:t>
            </w:r>
          </w:p>
        </w:tc>
        <w:tc>
          <w:tcPr>
            <w:tcW w:w="1369" w:type="dxa"/>
            <w:vAlign w:val="center"/>
          </w:tcPr>
          <w:p>
            <w:pPr>
              <w:shd w:val="clear" w:color="auto" w:fill="FFFFFF"/>
              <w:overflowPunct w:val="0"/>
              <w:spacing w:line="280" w:lineRule="exact"/>
              <w:jc w:val="center"/>
              <w:rPr>
                <w:rFonts w:ascii="仿宋_GB2312" w:hAnsi="宋体" w:eastAsia="仿宋_GB2312"/>
                <w:sz w:val="24"/>
                <w:szCs w:val="28"/>
              </w:rPr>
            </w:pPr>
            <w:r>
              <w:rPr>
                <w:rFonts w:ascii="仿宋_GB2312" w:hAnsi="宋体" w:eastAsia="仿宋_GB2312"/>
                <w:sz w:val="24"/>
                <w:szCs w:val="28"/>
              </w:rPr>
              <w:t>43.4</w:t>
            </w:r>
          </w:p>
        </w:tc>
        <w:tc>
          <w:tcPr>
            <w:tcW w:w="1407" w:type="dxa"/>
            <w:vAlign w:val="center"/>
          </w:tcPr>
          <w:p>
            <w:pPr>
              <w:shd w:val="clear" w:color="auto" w:fill="FFFFFF"/>
              <w:overflowPunct w:val="0"/>
              <w:spacing w:line="280" w:lineRule="exact"/>
              <w:jc w:val="center"/>
              <w:rPr>
                <w:rFonts w:ascii="仿宋_GB2312" w:hAnsi="宋体" w:eastAsia="仿宋_GB2312"/>
                <w:color w:val="000000" w:themeColor="text1"/>
                <w:sz w:val="24"/>
                <w:szCs w:val="28"/>
                <w14:textFill>
                  <w14:solidFill>
                    <w14:schemeClr w14:val="tx1"/>
                  </w14:solidFill>
                </w14:textFill>
              </w:rPr>
            </w:pPr>
            <w:r>
              <w:rPr>
                <w:rFonts w:hint="eastAsia" w:ascii="仿宋_GB2312" w:hAnsi="宋体" w:eastAsia="仿宋_GB2312"/>
                <w:color w:val="000000" w:themeColor="text1"/>
                <w:sz w:val="24"/>
                <w:szCs w:val="28"/>
                <w14:textFill>
                  <w14:solidFill>
                    <w14:schemeClr w14:val="tx1"/>
                  </w14:solidFill>
                </w14:textFill>
              </w:rPr>
              <w:t>6</w:t>
            </w:r>
            <w:r>
              <w:rPr>
                <w:rFonts w:ascii="仿宋_GB2312" w:hAnsi="宋体" w:eastAsia="仿宋_GB2312"/>
                <w:color w:val="000000" w:themeColor="text1"/>
                <w:sz w:val="24"/>
                <w:szCs w:val="2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48" w:type="dxa"/>
            <w:vMerge w:val="continue"/>
            <w:vAlign w:val="center"/>
          </w:tcPr>
          <w:p>
            <w:pPr>
              <w:tabs>
                <w:tab w:val="left" w:pos="644"/>
              </w:tabs>
              <w:overflowPunct w:val="0"/>
              <w:spacing w:line="360" w:lineRule="exact"/>
              <w:jc w:val="center"/>
              <w:rPr>
                <w:rFonts w:ascii="仿宋_GB2312" w:hAnsi="宋体" w:eastAsia="仿宋_GB2312" w:cs="Times New Roman"/>
                <w:color w:val="000000" w:themeColor="text1"/>
                <w:sz w:val="24"/>
                <w:szCs w:val="28"/>
                <w14:textFill>
                  <w14:solidFill>
                    <w14:schemeClr w14:val="tx1"/>
                  </w14:solidFill>
                </w14:textFill>
              </w:rPr>
            </w:pPr>
          </w:p>
        </w:tc>
        <w:tc>
          <w:tcPr>
            <w:tcW w:w="734" w:type="dxa"/>
            <w:vAlign w:val="center"/>
          </w:tcPr>
          <w:p>
            <w:pPr>
              <w:tabs>
                <w:tab w:val="left" w:pos="644"/>
              </w:tabs>
              <w:overflowPunct w:val="0"/>
              <w:spacing w:line="320" w:lineRule="exact"/>
              <w:jc w:val="center"/>
              <w:rPr>
                <w:rFonts w:ascii="仿宋_GB2312" w:hAnsi="宋体" w:eastAsia="仿宋_GB2312" w:cs="Times New Roman"/>
                <w:color w:val="000000" w:themeColor="text1"/>
                <w:sz w:val="24"/>
                <w:szCs w:val="28"/>
                <w14:textFill>
                  <w14:solidFill>
                    <w14:schemeClr w14:val="tx1"/>
                  </w14:solidFill>
                </w14:textFill>
              </w:rPr>
            </w:pPr>
            <w:r>
              <w:rPr>
                <w:rFonts w:hint="eastAsia" w:ascii="仿宋_GB2312" w:hAnsi="宋体" w:eastAsia="仿宋_GB2312" w:cs="Times New Roman"/>
                <w:color w:val="000000" w:themeColor="text1"/>
                <w:sz w:val="24"/>
                <w:szCs w:val="28"/>
                <w14:textFill>
                  <w14:solidFill>
                    <w14:schemeClr w14:val="tx1"/>
                  </w14:solidFill>
                </w14:textFill>
              </w:rPr>
              <w:t>6</w:t>
            </w:r>
          </w:p>
        </w:tc>
        <w:tc>
          <w:tcPr>
            <w:tcW w:w="3843" w:type="dxa"/>
            <w:vAlign w:val="center"/>
          </w:tcPr>
          <w:p>
            <w:pPr>
              <w:tabs>
                <w:tab w:val="left" w:pos="644"/>
              </w:tabs>
              <w:overflowPunct w:val="0"/>
              <w:spacing w:line="280" w:lineRule="exact"/>
              <w:jc w:val="left"/>
              <w:rPr>
                <w:rFonts w:ascii="仿宋_GB2312" w:hAnsi="Calibri" w:eastAsia="仿宋_GB2312" w:cs="Times New Roman"/>
                <w:color w:val="000000" w:themeColor="text1"/>
                <w:sz w:val="24"/>
                <w:szCs w:val="28"/>
                <w14:textFill>
                  <w14:solidFill>
                    <w14:schemeClr w14:val="tx1"/>
                  </w14:solidFill>
                </w14:textFill>
              </w:rPr>
            </w:pPr>
            <w:r>
              <w:rPr>
                <w:rFonts w:ascii="仿宋_GB2312" w:hAnsi="Calibri" w:eastAsia="仿宋_GB2312" w:cs="Times New Roman"/>
                <w:color w:val="000000" w:themeColor="text1"/>
                <w:sz w:val="24"/>
                <w:szCs w:val="28"/>
                <w14:textFill>
                  <w14:solidFill>
                    <w14:schemeClr w14:val="tx1"/>
                  </w14:solidFill>
                </w14:textFill>
              </w:rPr>
              <w:t>中医药特色服务人次占中医医院总诊疗人次比率</w:t>
            </w:r>
          </w:p>
        </w:tc>
        <w:tc>
          <w:tcPr>
            <w:tcW w:w="841" w:type="dxa"/>
            <w:vAlign w:val="center"/>
          </w:tcPr>
          <w:p>
            <w:pPr>
              <w:tabs>
                <w:tab w:val="left" w:pos="644"/>
              </w:tabs>
              <w:overflowPunct w:val="0"/>
              <w:spacing w:line="280" w:lineRule="exact"/>
              <w:jc w:val="center"/>
              <w:rPr>
                <w:rFonts w:ascii="仿宋_GB2312" w:hAnsi="Calibri" w:eastAsia="仿宋_GB2312" w:cs="Times New Roman"/>
                <w:color w:val="000000" w:themeColor="text1"/>
                <w:sz w:val="24"/>
                <w:szCs w:val="28"/>
                <w14:textFill>
                  <w14:solidFill>
                    <w14:schemeClr w14:val="tx1"/>
                  </w14:solidFill>
                </w14:textFill>
              </w:rPr>
            </w:pPr>
            <w:r>
              <w:rPr>
                <w:rFonts w:hint="eastAsia" w:ascii="仿宋_GB2312" w:hAnsi="Calibri" w:eastAsia="仿宋_GB2312" w:cs="Times New Roman"/>
                <w:color w:val="000000" w:themeColor="text1"/>
                <w:sz w:val="24"/>
                <w:szCs w:val="28"/>
                <w14:textFill>
                  <w14:solidFill>
                    <w14:schemeClr w14:val="tx1"/>
                  </w14:solidFill>
                </w14:textFill>
              </w:rPr>
              <w:t>%</w:t>
            </w:r>
          </w:p>
        </w:tc>
        <w:tc>
          <w:tcPr>
            <w:tcW w:w="1369" w:type="dxa"/>
            <w:vAlign w:val="center"/>
          </w:tcPr>
          <w:p>
            <w:pPr>
              <w:shd w:val="clear" w:color="auto" w:fill="FFFFFF"/>
              <w:overflowPunct w:val="0"/>
              <w:spacing w:line="280" w:lineRule="exact"/>
              <w:jc w:val="center"/>
              <w:rPr>
                <w:rFonts w:ascii="仿宋_GB2312" w:hAnsi="宋体" w:eastAsia="仿宋_GB2312"/>
                <w:sz w:val="24"/>
                <w:szCs w:val="28"/>
              </w:rPr>
            </w:pPr>
            <w:r>
              <w:rPr>
                <w:rFonts w:ascii="仿宋_GB2312" w:hAnsi="宋体" w:eastAsia="仿宋_GB2312"/>
                <w:sz w:val="24"/>
                <w:szCs w:val="28"/>
              </w:rPr>
              <w:t>24.85</w:t>
            </w:r>
          </w:p>
        </w:tc>
        <w:tc>
          <w:tcPr>
            <w:tcW w:w="1407" w:type="dxa"/>
            <w:vAlign w:val="center"/>
          </w:tcPr>
          <w:p>
            <w:pPr>
              <w:shd w:val="clear" w:color="auto" w:fill="FFFFFF"/>
              <w:overflowPunct w:val="0"/>
              <w:spacing w:line="280" w:lineRule="exact"/>
              <w:jc w:val="center"/>
              <w:rPr>
                <w:rFonts w:ascii="仿宋_GB2312" w:hAnsi="宋体" w:eastAsia="仿宋_GB2312"/>
                <w:color w:val="000000" w:themeColor="text1"/>
                <w:sz w:val="24"/>
                <w:szCs w:val="28"/>
                <w14:textFill>
                  <w14:solidFill>
                    <w14:schemeClr w14:val="tx1"/>
                  </w14:solidFill>
                </w14:textFill>
              </w:rPr>
            </w:pPr>
            <w:r>
              <w:rPr>
                <w:rFonts w:hint="eastAsia" w:ascii="仿宋_GB2312" w:hAnsi="宋体" w:eastAsia="仿宋_GB2312"/>
                <w:color w:val="000000" w:themeColor="text1"/>
                <w:sz w:val="24"/>
                <w:szCs w:val="28"/>
                <w14:textFill>
                  <w14:solidFill>
                    <w14:schemeClr w14:val="tx1"/>
                  </w14:solidFill>
                </w14:textFill>
              </w:rPr>
              <w:t>6</w:t>
            </w:r>
            <w:r>
              <w:rPr>
                <w:rFonts w:ascii="仿宋_GB2312" w:hAnsi="宋体" w:eastAsia="仿宋_GB2312"/>
                <w:color w:val="000000" w:themeColor="text1"/>
                <w:sz w:val="24"/>
                <w:szCs w:val="2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48" w:type="dxa"/>
            <w:vMerge w:val="continue"/>
            <w:vAlign w:val="center"/>
          </w:tcPr>
          <w:p>
            <w:pPr>
              <w:tabs>
                <w:tab w:val="left" w:pos="644"/>
              </w:tabs>
              <w:overflowPunct w:val="0"/>
              <w:spacing w:line="360" w:lineRule="exact"/>
              <w:jc w:val="center"/>
              <w:rPr>
                <w:rFonts w:ascii="仿宋_GB2312" w:hAnsi="宋体" w:eastAsia="仿宋_GB2312" w:cs="Times New Roman"/>
                <w:color w:val="000000" w:themeColor="text1"/>
                <w:sz w:val="28"/>
                <w:szCs w:val="28"/>
                <w14:textFill>
                  <w14:solidFill>
                    <w14:schemeClr w14:val="tx1"/>
                  </w14:solidFill>
                </w14:textFill>
              </w:rPr>
            </w:pPr>
          </w:p>
        </w:tc>
        <w:tc>
          <w:tcPr>
            <w:tcW w:w="734" w:type="dxa"/>
            <w:vAlign w:val="center"/>
          </w:tcPr>
          <w:p>
            <w:pPr>
              <w:tabs>
                <w:tab w:val="left" w:pos="644"/>
              </w:tabs>
              <w:overflowPunct w:val="0"/>
              <w:spacing w:line="320" w:lineRule="exact"/>
              <w:jc w:val="center"/>
              <w:rPr>
                <w:rFonts w:ascii="仿宋_GB2312" w:hAnsi="宋体" w:eastAsia="仿宋_GB2312" w:cs="Times New Roman"/>
                <w:color w:val="000000" w:themeColor="text1"/>
                <w:sz w:val="24"/>
                <w14:textFill>
                  <w14:solidFill>
                    <w14:schemeClr w14:val="tx1"/>
                  </w14:solidFill>
                </w14:textFill>
              </w:rPr>
            </w:pPr>
            <w:r>
              <w:rPr>
                <w:rFonts w:hint="eastAsia" w:ascii="仿宋_GB2312" w:hAnsi="宋体" w:eastAsia="仿宋_GB2312" w:cs="Times New Roman"/>
                <w:color w:val="000000" w:themeColor="text1"/>
                <w:sz w:val="24"/>
                <w14:textFill>
                  <w14:solidFill>
                    <w14:schemeClr w14:val="tx1"/>
                  </w14:solidFill>
                </w14:textFill>
              </w:rPr>
              <w:t>7</w:t>
            </w:r>
          </w:p>
        </w:tc>
        <w:tc>
          <w:tcPr>
            <w:tcW w:w="3843" w:type="dxa"/>
            <w:vAlign w:val="center"/>
          </w:tcPr>
          <w:p>
            <w:pPr>
              <w:tabs>
                <w:tab w:val="left" w:pos="644"/>
              </w:tabs>
              <w:overflowPunct w:val="0"/>
              <w:spacing w:line="280" w:lineRule="exact"/>
              <w:jc w:val="left"/>
              <w:rPr>
                <w:rFonts w:ascii="仿宋_GB2312" w:hAnsi="Calibri" w:eastAsia="仿宋_GB2312" w:cs="Times New Roman"/>
                <w:color w:val="000000" w:themeColor="text1"/>
                <w:sz w:val="24"/>
                <w14:textFill>
                  <w14:solidFill>
                    <w14:schemeClr w14:val="tx1"/>
                  </w14:solidFill>
                </w14:textFill>
              </w:rPr>
            </w:pPr>
            <w:r>
              <w:rPr>
                <w:rFonts w:ascii="仿宋_GB2312" w:hAnsi="Calibri" w:eastAsia="仿宋_GB2312" w:cs="Times New Roman"/>
                <w:color w:val="000000" w:themeColor="text1"/>
                <w:sz w:val="24"/>
                <w14:textFill>
                  <w14:solidFill>
                    <w14:schemeClr w14:val="tx1"/>
                  </w14:solidFill>
                </w14:textFill>
              </w:rPr>
              <w:t>社区卫生服务中心、乡镇卫生院设置中医馆、配置中医医师比例</w:t>
            </w:r>
          </w:p>
        </w:tc>
        <w:tc>
          <w:tcPr>
            <w:tcW w:w="841" w:type="dxa"/>
            <w:vAlign w:val="center"/>
          </w:tcPr>
          <w:p>
            <w:pPr>
              <w:tabs>
                <w:tab w:val="left" w:pos="644"/>
              </w:tabs>
              <w:overflowPunct w:val="0"/>
              <w:spacing w:line="280" w:lineRule="exact"/>
              <w:jc w:val="center"/>
              <w:rPr>
                <w:rFonts w:ascii="仿宋_GB2312" w:hAnsi="Calibri" w:eastAsia="仿宋_GB2312" w:cs="Times New Roman"/>
                <w:color w:val="000000" w:themeColor="text1"/>
                <w:sz w:val="24"/>
                <w14:textFill>
                  <w14:solidFill>
                    <w14:schemeClr w14:val="tx1"/>
                  </w14:solidFill>
                </w14:textFill>
              </w:rPr>
            </w:pPr>
            <w:r>
              <w:rPr>
                <w:rFonts w:hint="eastAsia" w:ascii="仿宋_GB2312" w:hAnsi="Calibri" w:eastAsia="仿宋_GB2312" w:cs="Times New Roman"/>
                <w:color w:val="000000" w:themeColor="text1"/>
                <w:sz w:val="24"/>
                <w14:textFill>
                  <w14:solidFill>
                    <w14:schemeClr w14:val="tx1"/>
                  </w14:solidFill>
                </w14:textFill>
              </w:rPr>
              <w:t>%</w:t>
            </w:r>
          </w:p>
        </w:tc>
        <w:tc>
          <w:tcPr>
            <w:tcW w:w="1369" w:type="dxa"/>
            <w:vAlign w:val="center"/>
          </w:tcPr>
          <w:p>
            <w:pPr>
              <w:shd w:val="clear" w:color="auto" w:fill="FFFFFF"/>
              <w:overflowPunct w:val="0"/>
              <w:spacing w:line="280" w:lineRule="exact"/>
              <w:jc w:val="center"/>
              <w:rPr>
                <w:rFonts w:ascii="仿宋_GB2312" w:hAnsi="宋体" w:eastAsia="仿宋_GB2312"/>
                <w:sz w:val="24"/>
              </w:rPr>
            </w:pPr>
            <w:r>
              <w:rPr>
                <w:rFonts w:ascii="仿宋_GB2312" w:hAnsi="宋体" w:eastAsia="仿宋_GB2312"/>
                <w:sz w:val="24"/>
              </w:rPr>
              <w:t>77.04</w:t>
            </w:r>
          </w:p>
        </w:tc>
        <w:tc>
          <w:tcPr>
            <w:tcW w:w="1407" w:type="dxa"/>
            <w:vAlign w:val="center"/>
          </w:tcPr>
          <w:p>
            <w:pPr>
              <w:shd w:val="clear" w:color="auto" w:fill="FFFFFF"/>
              <w:overflowPunct w:val="0"/>
              <w:spacing w:line="28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1</w:t>
            </w:r>
            <w:r>
              <w:rPr>
                <w:rFonts w:ascii="仿宋_GB2312" w:hAnsi="宋体" w:eastAsia="仿宋_GB2312"/>
                <w:color w:val="000000" w:themeColor="text1"/>
                <w:sz w:val="24"/>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48" w:type="dxa"/>
            <w:vMerge w:val="restart"/>
            <w:vAlign w:val="center"/>
          </w:tcPr>
          <w:p>
            <w:pPr>
              <w:tabs>
                <w:tab w:val="left" w:pos="644"/>
              </w:tabs>
              <w:overflowPunct w:val="0"/>
              <w:spacing w:line="360" w:lineRule="exact"/>
              <w:jc w:val="center"/>
              <w:rPr>
                <w:rFonts w:ascii="仿宋_GB2312" w:hAnsi="宋体" w:eastAsia="仿宋_GB2312" w:cs="Times New Roman"/>
                <w:color w:val="000000" w:themeColor="text1"/>
                <w:sz w:val="28"/>
                <w:szCs w:val="28"/>
                <w14:textFill>
                  <w14:solidFill>
                    <w14:schemeClr w14:val="tx1"/>
                  </w14:solidFill>
                </w14:textFill>
              </w:rPr>
            </w:pPr>
            <w:r>
              <w:rPr>
                <w:rFonts w:hint="eastAsia" w:ascii="仿宋_GB2312" w:hAnsi="宋体" w:eastAsia="仿宋_GB2312" w:cs="Times New Roman"/>
                <w:color w:val="000000" w:themeColor="text1"/>
                <w:sz w:val="24"/>
                <w:szCs w:val="28"/>
                <w14:textFill>
                  <w14:solidFill>
                    <w14:schemeClr w14:val="tx1"/>
                  </w14:solidFill>
                </w14:textFill>
              </w:rPr>
              <w:t>中医药科技创新</w:t>
            </w:r>
          </w:p>
        </w:tc>
        <w:tc>
          <w:tcPr>
            <w:tcW w:w="734" w:type="dxa"/>
            <w:vAlign w:val="center"/>
          </w:tcPr>
          <w:p>
            <w:pPr>
              <w:tabs>
                <w:tab w:val="left" w:pos="644"/>
              </w:tabs>
              <w:overflowPunct w:val="0"/>
              <w:spacing w:line="320" w:lineRule="exact"/>
              <w:jc w:val="center"/>
              <w:rPr>
                <w:rFonts w:ascii="仿宋_GB2312" w:hAnsi="宋体" w:eastAsia="仿宋_GB2312" w:cs="Times New Roman"/>
                <w:color w:val="000000" w:themeColor="text1"/>
                <w:sz w:val="24"/>
                <w14:textFill>
                  <w14:solidFill>
                    <w14:schemeClr w14:val="tx1"/>
                  </w14:solidFill>
                </w14:textFill>
              </w:rPr>
            </w:pPr>
            <w:r>
              <w:rPr>
                <w:rFonts w:hint="eastAsia" w:ascii="仿宋_GB2312" w:hAnsi="宋体" w:eastAsia="仿宋_GB2312" w:cs="Times New Roman"/>
                <w:color w:val="000000" w:themeColor="text1"/>
                <w:sz w:val="24"/>
                <w14:textFill>
                  <w14:solidFill>
                    <w14:schemeClr w14:val="tx1"/>
                  </w14:solidFill>
                </w14:textFill>
              </w:rPr>
              <w:t>8</w:t>
            </w:r>
          </w:p>
        </w:tc>
        <w:tc>
          <w:tcPr>
            <w:tcW w:w="3843" w:type="dxa"/>
            <w:vAlign w:val="center"/>
          </w:tcPr>
          <w:p>
            <w:pPr>
              <w:tabs>
                <w:tab w:val="left" w:pos="644"/>
              </w:tabs>
              <w:overflowPunct w:val="0"/>
              <w:spacing w:line="280" w:lineRule="exact"/>
              <w:jc w:val="left"/>
              <w:rPr>
                <w:rFonts w:ascii="仿宋_GB2312" w:hAnsi="Calibri" w:eastAsia="仿宋_GB2312" w:cs="Times New Roman"/>
                <w:color w:val="000000" w:themeColor="text1"/>
                <w:sz w:val="24"/>
                <w14:textFill>
                  <w14:solidFill>
                    <w14:schemeClr w14:val="tx1"/>
                  </w14:solidFill>
                </w14:textFill>
              </w:rPr>
            </w:pPr>
            <w:r>
              <w:rPr>
                <w:rFonts w:hint="eastAsia" w:ascii="仿宋_GB2312" w:hAnsi="Calibri" w:eastAsia="仿宋_GB2312" w:cs="Times New Roman"/>
                <w:color w:val="000000" w:themeColor="text1"/>
                <w:sz w:val="24"/>
                <w14:textFill>
                  <w14:solidFill>
                    <w14:schemeClr w14:val="tx1"/>
                  </w14:solidFill>
                </w14:textFill>
              </w:rPr>
              <w:t>实施厅局级及以上中医药重点研发项目数</w:t>
            </w:r>
          </w:p>
        </w:tc>
        <w:tc>
          <w:tcPr>
            <w:tcW w:w="841" w:type="dxa"/>
            <w:vAlign w:val="center"/>
          </w:tcPr>
          <w:p>
            <w:pPr>
              <w:tabs>
                <w:tab w:val="left" w:pos="644"/>
              </w:tabs>
              <w:overflowPunct w:val="0"/>
              <w:spacing w:line="280" w:lineRule="exact"/>
              <w:jc w:val="center"/>
              <w:rPr>
                <w:rFonts w:ascii="仿宋_GB2312" w:hAnsi="Calibri" w:eastAsia="仿宋_GB2312" w:cs="Times New Roman"/>
                <w:color w:val="000000" w:themeColor="text1"/>
                <w:sz w:val="24"/>
                <w14:textFill>
                  <w14:solidFill>
                    <w14:schemeClr w14:val="tx1"/>
                  </w14:solidFill>
                </w14:textFill>
              </w:rPr>
            </w:pPr>
            <w:r>
              <w:rPr>
                <w:rFonts w:hint="eastAsia" w:ascii="仿宋_GB2312" w:hAnsi="Calibri" w:eastAsia="仿宋_GB2312" w:cs="Times New Roman"/>
                <w:color w:val="000000" w:themeColor="text1"/>
                <w:sz w:val="24"/>
                <w14:textFill>
                  <w14:solidFill>
                    <w14:schemeClr w14:val="tx1"/>
                  </w14:solidFill>
                </w14:textFill>
              </w:rPr>
              <w:t>个</w:t>
            </w:r>
          </w:p>
        </w:tc>
        <w:tc>
          <w:tcPr>
            <w:tcW w:w="1369" w:type="dxa"/>
            <w:vAlign w:val="center"/>
          </w:tcPr>
          <w:p>
            <w:pPr>
              <w:shd w:val="clear" w:color="auto" w:fill="FFFFFF"/>
              <w:overflowPunct w:val="0"/>
              <w:spacing w:line="28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3</w:t>
            </w:r>
          </w:p>
        </w:tc>
        <w:tc>
          <w:tcPr>
            <w:tcW w:w="1407" w:type="dxa"/>
            <w:vAlign w:val="center"/>
          </w:tcPr>
          <w:p>
            <w:pPr>
              <w:shd w:val="clear" w:color="auto" w:fill="FFFFFF"/>
              <w:overflowPunct w:val="0"/>
              <w:spacing w:line="28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48" w:type="dxa"/>
            <w:vMerge w:val="continue"/>
            <w:vAlign w:val="center"/>
          </w:tcPr>
          <w:p>
            <w:pPr>
              <w:tabs>
                <w:tab w:val="left" w:pos="644"/>
              </w:tabs>
              <w:overflowPunct w:val="0"/>
              <w:spacing w:line="360" w:lineRule="exact"/>
              <w:jc w:val="center"/>
              <w:rPr>
                <w:rFonts w:ascii="仿宋_GB2312" w:hAnsi="宋体" w:eastAsia="仿宋_GB2312" w:cs="Times New Roman"/>
                <w:color w:val="000000" w:themeColor="text1"/>
                <w:sz w:val="28"/>
                <w:szCs w:val="28"/>
                <w14:textFill>
                  <w14:solidFill>
                    <w14:schemeClr w14:val="tx1"/>
                  </w14:solidFill>
                </w14:textFill>
              </w:rPr>
            </w:pPr>
          </w:p>
        </w:tc>
        <w:tc>
          <w:tcPr>
            <w:tcW w:w="734" w:type="dxa"/>
            <w:vAlign w:val="center"/>
          </w:tcPr>
          <w:p>
            <w:pPr>
              <w:tabs>
                <w:tab w:val="left" w:pos="644"/>
              </w:tabs>
              <w:overflowPunct w:val="0"/>
              <w:spacing w:line="320" w:lineRule="exact"/>
              <w:jc w:val="center"/>
              <w:rPr>
                <w:rFonts w:ascii="仿宋_GB2312" w:hAnsi="宋体" w:eastAsia="仿宋_GB2312" w:cs="Times New Roman"/>
                <w:color w:val="000000" w:themeColor="text1"/>
                <w:sz w:val="24"/>
                <w14:textFill>
                  <w14:solidFill>
                    <w14:schemeClr w14:val="tx1"/>
                  </w14:solidFill>
                </w14:textFill>
              </w:rPr>
            </w:pPr>
            <w:r>
              <w:rPr>
                <w:rFonts w:hint="eastAsia" w:ascii="仿宋_GB2312" w:hAnsi="宋体" w:eastAsia="仿宋_GB2312" w:cs="Times New Roman"/>
                <w:color w:val="000000" w:themeColor="text1"/>
                <w:sz w:val="24"/>
                <w14:textFill>
                  <w14:solidFill>
                    <w14:schemeClr w14:val="tx1"/>
                  </w14:solidFill>
                </w14:textFill>
              </w:rPr>
              <w:t>9</w:t>
            </w:r>
          </w:p>
        </w:tc>
        <w:tc>
          <w:tcPr>
            <w:tcW w:w="3843" w:type="dxa"/>
            <w:vAlign w:val="center"/>
          </w:tcPr>
          <w:p>
            <w:pPr>
              <w:tabs>
                <w:tab w:val="left" w:pos="644"/>
              </w:tabs>
              <w:overflowPunct w:val="0"/>
              <w:spacing w:line="280" w:lineRule="exact"/>
              <w:jc w:val="left"/>
              <w:rPr>
                <w:rFonts w:ascii="仿宋_GB2312" w:hAnsi="宋体" w:eastAsia="仿宋_GB2312" w:cs="Times New Roman"/>
                <w:color w:val="000000" w:themeColor="text1"/>
                <w:sz w:val="24"/>
                <w14:textFill>
                  <w14:solidFill>
                    <w14:schemeClr w14:val="tx1"/>
                  </w14:solidFill>
                </w14:textFill>
              </w:rPr>
            </w:pPr>
            <w:r>
              <w:rPr>
                <w:rFonts w:hint="eastAsia" w:ascii="仿宋_GB2312" w:hAnsi="宋体" w:eastAsia="仿宋_GB2312" w:cs="Times New Roman"/>
                <w:color w:val="000000" w:themeColor="text1"/>
                <w:sz w:val="24"/>
                <w14:textFill>
                  <w14:solidFill>
                    <w14:schemeClr w14:val="tx1"/>
                  </w14:solidFill>
                </w14:textFill>
              </w:rPr>
              <w:t>推广优势病种诊疗方案数</w:t>
            </w:r>
          </w:p>
        </w:tc>
        <w:tc>
          <w:tcPr>
            <w:tcW w:w="841" w:type="dxa"/>
            <w:vAlign w:val="center"/>
          </w:tcPr>
          <w:p>
            <w:pPr>
              <w:tabs>
                <w:tab w:val="left" w:pos="644"/>
              </w:tabs>
              <w:overflowPunct w:val="0"/>
              <w:spacing w:line="280" w:lineRule="exact"/>
              <w:jc w:val="center"/>
              <w:rPr>
                <w:rFonts w:ascii="仿宋_GB2312" w:hAnsi="宋体" w:eastAsia="仿宋_GB2312" w:cs="Times New Roman"/>
                <w:color w:val="000000" w:themeColor="text1"/>
                <w:sz w:val="24"/>
                <w14:textFill>
                  <w14:solidFill>
                    <w14:schemeClr w14:val="tx1"/>
                  </w14:solidFill>
                </w14:textFill>
              </w:rPr>
            </w:pPr>
            <w:r>
              <w:rPr>
                <w:rFonts w:hint="eastAsia" w:ascii="仿宋_GB2312" w:hAnsi="宋体" w:eastAsia="仿宋_GB2312" w:cs="Times New Roman"/>
                <w:color w:val="000000" w:themeColor="text1"/>
                <w:sz w:val="24"/>
                <w14:textFill>
                  <w14:solidFill>
                    <w14:schemeClr w14:val="tx1"/>
                  </w14:solidFill>
                </w14:textFill>
              </w:rPr>
              <w:t>个</w:t>
            </w:r>
          </w:p>
        </w:tc>
        <w:tc>
          <w:tcPr>
            <w:tcW w:w="1369" w:type="dxa"/>
            <w:vAlign w:val="center"/>
          </w:tcPr>
          <w:p>
            <w:pPr>
              <w:tabs>
                <w:tab w:val="left" w:pos="644"/>
              </w:tabs>
              <w:overflowPunct w:val="0"/>
              <w:spacing w:line="28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5</w:t>
            </w:r>
            <w:r>
              <w:rPr>
                <w:rFonts w:ascii="仿宋_GB2312" w:hAnsi="宋体" w:eastAsia="仿宋_GB2312"/>
                <w:color w:val="000000" w:themeColor="text1"/>
                <w:sz w:val="24"/>
                <w14:textFill>
                  <w14:solidFill>
                    <w14:schemeClr w14:val="tx1"/>
                  </w14:solidFill>
                </w14:textFill>
              </w:rPr>
              <w:t>0</w:t>
            </w:r>
          </w:p>
        </w:tc>
        <w:tc>
          <w:tcPr>
            <w:tcW w:w="1407" w:type="dxa"/>
            <w:vAlign w:val="center"/>
          </w:tcPr>
          <w:p>
            <w:pPr>
              <w:tabs>
                <w:tab w:val="left" w:pos="644"/>
              </w:tabs>
              <w:overflowPunct w:val="0"/>
              <w:spacing w:line="280" w:lineRule="exact"/>
              <w:jc w:val="center"/>
              <w:rPr>
                <w:rFonts w:ascii="仿宋_GB2312" w:hAnsi="宋体" w:eastAsia="仿宋_GB2312"/>
                <w:color w:val="000000" w:themeColor="text1"/>
                <w:sz w:val="24"/>
                <w14:textFill>
                  <w14:solidFill>
                    <w14:schemeClr w14:val="tx1"/>
                  </w14:solidFill>
                </w14:textFill>
              </w:rPr>
            </w:pPr>
            <w:r>
              <w:rPr>
                <w:rFonts w:ascii="仿宋_GB2312" w:hAnsi="宋体" w:eastAsia="仿宋_GB2312"/>
                <w:color w:val="000000" w:themeColor="text1"/>
                <w:sz w:val="24"/>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48" w:type="dxa"/>
            <w:vMerge w:val="continue"/>
            <w:vAlign w:val="center"/>
          </w:tcPr>
          <w:p>
            <w:pPr>
              <w:tabs>
                <w:tab w:val="left" w:pos="644"/>
              </w:tabs>
              <w:overflowPunct w:val="0"/>
              <w:spacing w:line="360" w:lineRule="exact"/>
              <w:jc w:val="center"/>
              <w:rPr>
                <w:rFonts w:ascii="仿宋_GB2312" w:hAnsi="宋体" w:eastAsia="仿宋_GB2312" w:cs="Times New Roman"/>
                <w:color w:val="000000" w:themeColor="text1"/>
                <w:sz w:val="28"/>
                <w:szCs w:val="28"/>
                <w14:textFill>
                  <w14:solidFill>
                    <w14:schemeClr w14:val="tx1"/>
                  </w14:solidFill>
                </w14:textFill>
              </w:rPr>
            </w:pPr>
          </w:p>
        </w:tc>
        <w:tc>
          <w:tcPr>
            <w:tcW w:w="734" w:type="dxa"/>
            <w:vAlign w:val="center"/>
          </w:tcPr>
          <w:p>
            <w:pPr>
              <w:tabs>
                <w:tab w:val="left" w:pos="644"/>
              </w:tabs>
              <w:overflowPunct w:val="0"/>
              <w:spacing w:line="320" w:lineRule="exact"/>
              <w:jc w:val="center"/>
              <w:rPr>
                <w:rFonts w:ascii="仿宋_GB2312" w:hAnsi="宋体" w:eastAsia="仿宋_GB2312" w:cs="Times New Roman"/>
                <w:color w:val="000000" w:themeColor="text1"/>
                <w:sz w:val="24"/>
                <w14:textFill>
                  <w14:solidFill>
                    <w14:schemeClr w14:val="tx1"/>
                  </w14:solidFill>
                </w14:textFill>
              </w:rPr>
            </w:pPr>
            <w:r>
              <w:rPr>
                <w:rFonts w:hint="eastAsia" w:ascii="仿宋_GB2312" w:hAnsi="宋体" w:eastAsia="仿宋_GB2312" w:cs="Times New Roman"/>
                <w:color w:val="000000" w:themeColor="text1"/>
                <w:sz w:val="24"/>
                <w14:textFill>
                  <w14:solidFill>
                    <w14:schemeClr w14:val="tx1"/>
                  </w14:solidFill>
                </w14:textFill>
              </w:rPr>
              <w:t>10</w:t>
            </w:r>
          </w:p>
        </w:tc>
        <w:tc>
          <w:tcPr>
            <w:tcW w:w="3843" w:type="dxa"/>
            <w:vAlign w:val="center"/>
          </w:tcPr>
          <w:p>
            <w:pPr>
              <w:tabs>
                <w:tab w:val="left" w:pos="644"/>
              </w:tabs>
              <w:overflowPunct w:val="0"/>
              <w:spacing w:line="280" w:lineRule="exact"/>
              <w:jc w:val="left"/>
              <w:rPr>
                <w:rFonts w:ascii="仿宋_GB2312" w:hAnsi="Calibri" w:eastAsia="仿宋_GB2312" w:cs="Times New Roman"/>
                <w:color w:val="000000" w:themeColor="text1"/>
                <w:sz w:val="24"/>
                <w14:textFill>
                  <w14:solidFill>
                    <w14:schemeClr w14:val="tx1"/>
                  </w14:solidFill>
                </w14:textFill>
              </w:rPr>
            </w:pPr>
            <w:r>
              <w:rPr>
                <w:rFonts w:hint="eastAsia" w:ascii="仿宋_GB2312" w:hAnsi="Calibri" w:eastAsia="仿宋_GB2312" w:cs="Times New Roman"/>
                <w:color w:val="000000" w:themeColor="text1"/>
                <w:sz w:val="24"/>
                <w14:textFill>
                  <w14:solidFill>
                    <w14:schemeClr w14:val="tx1"/>
                  </w14:solidFill>
                </w14:textFill>
              </w:rPr>
              <w:t>新增省级中医重点学科、重点专科</w:t>
            </w:r>
          </w:p>
        </w:tc>
        <w:tc>
          <w:tcPr>
            <w:tcW w:w="841" w:type="dxa"/>
            <w:vAlign w:val="center"/>
          </w:tcPr>
          <w:p>
            <w:pPr>
              <w:tabs>
                <w:tab w:val="left" w:pos="644"/>
              </w:tabs>
              <w:overflowPunct w:val="0"/>
              <w:spacing w:line="280" w:lineRule="exact"/>
              <w:jc w:val="center"/>
              <w:rPr>
                <w:rFonts w:ascii="仿宋_GB2312" w:hAnsi="Calibri" w:eastAsia="仿宋_GB2312" w:cs="Times New Roman"/>
                <w:color w:val="000000" w:themeColor="text1"/>
                <w:sz w:val="24"/>
                <w14:textFill>
                  <w14:solidFill>
                    <w14:schemeClr w14:val="tx1"/>
                  </w14:solidFill>
                </w14:textFill>
              </w:rPr>
            </w:pPr>
            <w:r>
              <w:rPr>
                <w:rFonts w:hint="eastAsia" w:ascii="仿宋_GB2312" w:hAnsi="Calibri" w:eastAsia="仿宋_GB2312" w:cs="Times New Roman"/>
                <w:color w:val="000000" w:themeColor="text1"/>
                <w:sz w:val="24"/>
                <w14:textFill>
                  <w14:solidFill>
                    <w14:schemeClr w14:val="tx1"/>
                  </w14:solidFill>
                </w14:textFill>
              </w:rPr>
              <w:t>个</w:t>
            </w:r>
          </w:p>
        </w:tc>
        <w:tc>
          <w:tcPr>
            <w:tcW w:w="1369" w:type="dxa"/>
            <w:vAlign w:val="center"/>
          </w:tcPr>
          <w:p>
            <w:pPr>
              <w:shd w:val="clear" w:color="auto" w:fill="FFFFFF"/>
              <w:overflowPunct w:val="0"/>
              <w:spacing w:line="28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13</w:t>
            </w:r>
          </w:p>
        </w:tc>
        <w:tc>
          <w:tcPr>
            <w:tcW w:w="1407" w:type="dxa"/>
            <w:vAlign w:val="center"/>
          </w:tcPr>
          <w:p>
            <w:pPr>
              <w:shd w:val="clear" w:color="auto" w:fill="FFFFFF"/>
              <w:overflowPunct w:val="0"/>
              <w:spacing w:line="28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8</w:t>
            </w:r>
            <w:r>
              <w:rPr>
                <w:rFonts w:ascii="仿宋_GB2312" w:hAnsi="宋体" w:eastAsia="仿宋_GB2312"/>
                <w:color w:val="000000" w:themeColor="text1"/>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48" w:type="dxa"/>
            <w:vMerge w:val="continue"/>
            <w:vAlign w:val="center"/>
          </w:tcPr>
          <w:p>
            <w:pPr>
              <w:tabs>
                <w:tab w:val="left" w:pos="644"/>
              </w:tabs>
              <w:overflowPunct w:val="0"/>
              <w:spacing w:line="360" w:lineRule="exact"/>
              <w:jc w:val="center"/>
              <w:rPr>
                <w:rFonts w:ascii="仿宋_GB2312" w:hAnsi="宋体" w:eastAsia="仿宋_GB2312" w:cs="Times New Roman"/>
                <w:color w:val="000000" w:themeColor="text1"/>
                <w:sz w:val="28"/>
                <w:szCs w:val="28"/>
                <w14:textFill>
                  <w14:solidFill>
                    <w14:schemeClr w14:val="tx1"/>
                  </w14:solidFill>
                </w14:textFill>
              </w:rPr>
            </w:pPr>
          </w:p>
        </w:tc>
        <w:tc>
          <w:tcPr>
            <w:tcW w:w="734" w:type="dxa"/>
            <w:vAlign w:val="center"/>
          </w:tcPr>
          <w:p>
            <w:pPr>
              <w:tabs>
                <w:tab w:val="left" w:pos="644"/>
              </w:tabs>
              <w:overflowPunct w:val="0"/>
              <w:spacing w:line="320" w:lineRule="exact"/>
              <w:jc w:val="center"/>
              <w:rPr>
                <w:rFonts w:ascii="仿宋_GB2312" w:hAnsi="宋体" w:eastAsia="仿宋_GB2312" w:cs="Times New Roman"/>
                <w:color w:val="000000" w:themeColor="text1"/>
                <w:sz w:val="24"/>
                <w14:textFill>
                  <w14:solidFill>
                    <w14:schemeClr w14:val="tx1"/>
                  </w14:solidFill>
                </w14:textFill>
              </w:rPr>
            </w:pPr>
            <w:r>
              <w:rPr>
                <w:rFonts w:hint="eastAsia" w:ascii="仿宋_GB2312" w:hAnsi="宋体" w:eastAsia="仿宋_GB2312" w:cs="Times New Roman"/>
                <w:color w:val="000000" w:themeColor="text1"/>
                <w:sz w:val="24"/>
                <w14:textFill>
                  <w14:solidFill>
                    <w14:schemeClr w14:val="tx1"/>
                  </w14:solidFill>
                </w14:textFill>
              </w:rPr>
              <w:t>11</w:t>
            </w:r>
          </w:p>
        </w:tc>
        <w:tc>
          <w:tcPr>
            <w:tcW w:w="3843" w:type="dxa"/>
            <w:vAlign w:val="center"/>
          </w:tcPr>
          <w:p>
            <w:pPr>
              <w:tabs>
                <w:tab w:val="left" w:pos="644"/>
              </w:tabs>
              <w:overflowPunct w:val="0"/>
              <w:spacing w:line="280" w:lineRule="exact"/>
              <w:jc w:val="left"/>
              <w:rPr>
                <w:rFonts w:ascii="仿宋_GB2312" w:hAnsi="Calibri" w:eastAsia="仿宋_GB2312" w:cs="Times New Roman"/>
                <w:color w:val="000000" w:themeColor="text1"/>
                <w:sz w:val="24"/>
                <w14:textFill>
                  <w14:solidFill>
                    <w14:schemeClr w14:val="tx1"/>
                  </w14:solidFill>
                </w14:textFill>
              </w:rPr>
            </w:pPr>
            <w:r>
              <w:rPr>
                <w:rFonts w:hint="eastAsia" w:ascii="仿宋_GB2312" w:hAnsi="Calibri" w:eastAsia="仿宋_GB2312" w:cs="Times New Roman"/>
                <w:color w:val="000000" w:themeColor="text1"/>
                <w:sz w:val="24"/>
                <w14:textFill>
                  <w14:solidFill>
                    <w14:schemeClr w14:val="tx1"/>
                  </w14:solidFill>
                </w14:textFill>
              </w:rPr>
              <w:t>中医药（畲医药）研究机构</w:t>
            </w:r>
          </w:p>
        </w:tc>
        <w:tc>
          <w:tcPr>
            <w:tcW w:w="841" w:type="dxa"/>
            <w:vAlign w:val="center"/>
          </w:tcPr>
          <w:p>
            <w:pPr>
              <w:tabs>
                <w:tab w:val="left" w:pos="644"/>
              </w:tabs>
              <w:overflowPunct w:val="0"/>
              <w:spacing w:line="280" w:lineRule="exact"/>
              <w:jc w:val="center"/>
              <w:rPr>
                <w:rFonts w:ascii="仿宋_GB2312" w:hAnsi="Calibri" w:eastAsia="仿宋_GB2312" w:cs="Times New Roman"/>
                <w:color w:val="000000" w:themeColor="text1"/>
                <w:sz w:val="24"/>
                <w14:textFill>
                  <w14:solidFill>
                    <w14:schemeClr w14:val="tx1"/>
                  </w14:solidFill>
                </w14:textFill>
              </w:rPr>
            </w:pPr>
            <w:r>
              <w:rPr>
                <w:rFonts w:hint="eastAsia" w:ascii="仿宋_GB2312" w:hAnsi="Calibri" w:eastAsia="仿宋_GB2312" w:cs="Times New Roman"/>
                <w:color w:val="000000" w:themeColor="text1"/>
                <w:sz w:val="24"/>
                <w14:textFill>
                  <w14:solidFill>
                    <w14:schemeClr w14:val="tx1"/>
                  </w14:solidFill>
                </w14:textFill>
              </w:rPr>
              <w:t>个</w:t>
            </w:r>
          </w:p>
        </w:tc>
        <w:tc>
          <w:tcPr>
            <w:tcW w:w="1369" w:type="dxa"/>
            <w:vAlign w:val="center"/>
          </w:tcPr>
          <w:p>
            <w:pPr>
              <w:shd w:val="clear" w:color="auto" w:fill="FFFFFF"/>
              <w:overflowPunct w:val="0"/>
              <w:spacing w:line="28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[3]</w:t>
            </w:r>
          </w:p>
        </w:tc>
        <w:tc>
          <w:tcPr>
            <w:tcW w:w="1407" w:type="dxa"/>
            <w:vAlign w:val="center"/>
          </w:tcPr>
          <w:p>
            <w:pPr>
              <w:shd w:val="clear" w:color="auto" w:fill="FFFFFF"/>
              <w:overflowPunct w:val="0"/>
              <w:spacing w:line="28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48" w:type="dxa"/>
            <w:vMerge w:val="continue"/>
            <w:vAlign w:val="center"/>
          </w:tcPr>
          <w:p>
            <w:pPr>
              <w:tabs>
                <w:tab w:val="left" w:pos="644"/>
              </w:tabs>
              <w:overflowPunct w:val="0"/>
              <w:spacing w:line="360" w:lineRule="exact"/>
              <w:jc w:val="center"/>
              <w:rPr>
                <w:rFonts w:ascii="仿宋_GB2312" w:hAnsi="宋体" w:eastAsia="仿宋_GB2312" w:cs="Times New Roman"/>
                <w:color w:val="000000" w:themeColor="text1"/>
                <w:sz w:val="28"/>
                <w:szCs w:val="28"/>
                <w14:textFill>
                  <w14:solidFill>
                    <w14:schemeClr w14:val="tx1"/>
                  </w14:solidFill>
                </w14:textFill>
              </w:rPr>
            </w:pPr>
          </w:p>
        </w:tc>
        <w:tc>
          <w:tcPr>
            <w:tcW w:w="734" w:type="dxa"/>
            <w:vAlign w:val="center"/>
          </w:tcPr>
          <w:p>
            <w:pPr>
              <w:tabs>
                <w:tab w:val="left" w:pos="644"/>
              </w:tabs>
              <w:overflowPunct w:val="0"/>
              <w:spacing w:line="320" w:lineRule="exact"/>
              <w:jc w:val="center"/>
              <w:rPr>
                <w:rFonts w:ascii="仿宋_GB2312" w:hAnsi="宋体" w:eastAsia="仿宋_GB2312" w:cs="Times New Roman"/>
                <w:color w:val="000000" w:themeColor="text1"/>
                <w:sz w:val="24"/>
                <w14:textFill>
                  <w14:solidFill>
                    <w14:schemeClr w14:val="tx1"/>
                  </w14:solidFill>
                </w14:textFill>
              </w:rPr>
            </w:pPr>
            <w:r>
              <w:rPr>
                <w:rFonts w:hint="eastAsia" w:ascii="仿宋_GB2312" w:hAnsi="宋体" w:eastAsia="仿宋_GB2312" w:cs="Times New Roman"/>
                <w:color w:val="000000" w:themeColor="text1"/>
                <w:sz w:val="24"/>
                <w14:textFill>
                  <w14:solidFill>
                    <w14:schemeClr w14:val="tx1"/>
                  </w14:solidFill>
                </w14:textFill>
              </w:rPr>
              <w:t>12</w:t>
            </w:r>
          </w:p>
        </w:tc>
        <w:tc>
          <w:tcPr>
            <w:tcW w:w="3843" w:type="dxa"/>
            <w:vAlign w:val="center"/>
          </w:tcPr>
          <w:p>
            <w:pPr>
              <w:tabs>
                <w:tab w:val="left" w:pos="644"/>
              </w:tabs>
              <w:overflowPunct w:val="0"/>
              <w:spacing w:line="280" w:lineRule="exact"/>
              <w:jc w:val="left"/>
              <w:rPr>
                <w:rFonts w:ascii="仿宋_GB2312" w:hAnsi="Calibri" w:eastAsia="仿宋_GB2312" w:cs="Times New Roman"/>
                <w:color w:val="000000" w:themeColor="text1"/>
                <w:sz w:val="24"/>
                <w14:textFill>
                  <w14:solidFill>
                    <w14:schemeClr w14:val="tx1"/>
                  </w14:solidFill>
                </w14:textFill>
              </w:rPr>
            </w:pPr>
            <w:r>
              <w:rPr>
                <w:rFonts w:hint="eastAsia" w:ascii="仿宋_GB2312" w:hAnsi="Calibri" w:eastAsia="仿宋_GB2312" w:cs="Times New Roman"/>
                <w:color w:val="000000" w:themeColor="text1"/>
                <w:sz w:val="24"/>
                <w14:textFill>
                  <w14:solidFill>
                    <w14:schemeClr w14:val="tx1"/>
                  </w14:solidFill>
                </w14:textFill>
              </w:rPr>
              <w:t>丽水学院设立中医药学专业数</w:t>
            </w:r>
          </w:p>
        </w:tc>
        <w:tc>
          <w:tcPr>
            <w:tcW w:w="841" w:type="dxa"/>
            <w:vAlign w:val="center"/>
          </w:tcPr>
          <w:p>
            <w:pPr>
              <w:tabs>
                <w:tab w:val="left" w:pos="644"/>
              </w:tabs>
              <w:overflowPunct w:val="0"/>
              <w:spacing w:line="280" w:lineRule="exact"/>
              <w:jc w:val="center"/>
              <w:rPr>
                <w:rFonts w:ascii="仿宋_GB2312" w:hAnsi="Calibri" w:eastAsia="仿宋_GB2312" w:cs="Times New Roman"/>
                <w:color w:val="000000" w:themeColor="text1"/>
                <w:sz w:val="24"/>
                <w14:textFill>
                  <w14:solidFill>
                    <w14:schemeClr w14:val="tx1"/>
                  </w14:solidFill>
                </w14:textFill>
              </w:rPr>
            </w:pPr>
            <w:r>
              <w:rPr>
                <w:rFonts w:hint="eastAsia" w:ascii="仿宋_GB2312" w:hAnsi="Calibri" w:eastAsia="仿宋_GB2312" w:cs="Times New Roman"/>
                <w:color w:val="000000" w:themeColor="text1"/>
                <w:sz w:val="24"/>
                <w14:textFill>
                  <w14:solidFill>
                    <w14:schemeClr w14:val="tx1"/>
                  </w14:solidFill>
                </w14:textFill>
              </w:rPr>
              <w:t>个</w:t>
            </w:r>
          </w:p>
        </w:tc>
        <w:tc>
          <w:tcPr>
            <w:tcW w:w="1369" w:type="dxa"/>
            <w:vAlign w:val="center"/>
          </w:tcPr>
          <w:p>
            <w:pPr>
              <w:shd w:val="clear" w:color="auto" w:fill="FFFFFF"/>
              <w:overflowPunct w:val="0"/>
              <w:spacing w:line="28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0</w:t>
            </w:r>
          </w:p>
        </w:tc>
        <w:tc>
          <w:tcPr>
            <w:tcW w:w="1407" w:type="dxa"/>
            <w:vAlign w:val="center"/>
          </w:tcPr>
          <w:p>
            <w:pPr>
              <w:shd w:val="clear" w:color="auto" w:fill="FFFFFF"/>
              <w:overflowPunct w:val="0"/>
              <w:spacing w:line="28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1</w:t>
            </w:r>
            <w:r>
              <w:rPr>
                <w:rFonts w:ascii="仿宋_GB2312" w:hAnsi="宋体" w:eastAsia="仿宋_GB2312"/>
                <w:color w:val="000000" w:themeColor="text1"/>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148" w:type="dxa"/>
            <w:vMerge w:val="continue"/>
            <w:vAlign w:val="center"/>
          </w:tcPr>
          <w:p>
            <w:pPr>
              <w:tabs>
                <w:tab w:val="left" w:pos="644"/>
              </w:tabs>
              <w:overflowPunct w:val="0"/>
              <w:spacing w:line="360" w:lineRule="exact"/>
              <w:jc w:val="center"/>
              <w:rPr>
                <w:rFonts w:ascii="仿宋_GB2312" w:hAnsi="宋体" w:eastAsia="仿宋_GB2312" w:cs="Times New Roman"/>
                <w:color w:val="000000" w:themeColor="text1"/>
                <w:sz w:val="28"/>
                <w:szCs w:val="28"/>
                <w14:textFill>
                  <w14:solidFill>
                    <w14:schemeClr w14:val="tx1"/>
                  </w14:solidFill>
                </w14:textFill>
              </w:rPr>
            </w:pPr>
          </w:p>
        </w:tc>
        <w:tc>
          <w:tcPr>
            <w:tcW w:w="734" w:type="dxa"/>
            <w:vAlign w:val="center"/>
          </w:tcPr>
          <w:p>
            <w:pPr>
              <w:tabs>
                <w:tab w:val="left" w:pos="644"/>
              </w:tabs>
              <w:overflowPunct w:val="0"/>
              <w:spacing w:line="320" w:lineRule="exact"/>
              <w:jc w:val="center"/>
              <w:rPr>
                <w:rFonts w:ascii="仿宋_GB2312" w:hAnsi="宋体" w:eastAsia="仿宋_GB2312" w:cs="Times New Roman"/>
                <w:color w:val="000000" w:themeColor="text1"/>
                <w:sz w:val="24"/>
                <w14:textFill>
                  <w14:solidFill>
                    <w14:schemeClr w14:val="tx1"/>
                  </w14:solidFill>
                </w14:textFill>
              </w:rPr>
            </w:pPr>
            <w:r>
              <w:rPr>
                <w:rFonts w:hint="eastAsia" w:ascii="仿宋_GB2312" w:hAnsi="宋体" w:eastAsia="仿宋_GB2312" w:cs="Times New Roman"/>
                <w:color w:val="000000" w:themeColor="text1"/>
                <w:sz w:val="24"/>
                <w14:textFill>
                  <w14:solidFill>
                    <w14:schemeClr w14:val="tx1"/>
                  </w14:solidFill>
                </w14:textFill>
              </w:rPr>
              <w:t>13</w:t>
            </w:r>
          </w:p>
        </w:tc>
        <w:tc>
          <w:tcPr>
            <w:tcW w:w="3843" w:type="dxa"/>
            <w:vAlign w:val="center"/>
          </w:tcPr>
          <w:p>
            <w:pPr>
              <w:tabs>
                <w:tab w:val="left" w:pos="644"/>
              </w:tabs>
              <w:overflowPunct w:val="0"/>
              <w:spacing w:line="280" w:lineRule="exact"/>
              <w:jc w:val="left"/>
              <w:rPr>
                <w:rFonts w:ascii="仿宋_GB2312" w:hAnsi="宋体" w:eastAsia="仿宋_GB2312" w:cs="Times New Roman"/>
                <w:color w:val="000000" w:themeColor="text1"/>
                <w:sz w:val="24"/>
                <w14:textFill>
                  <w14:solidFill>
                    <w14:schemeClr w14:val="tx1"/>
                  </w14:solidFill>
                </w14:textFill>
              </w:rPr>
            </w:pPr>
            <w:r>
              <w:rPr>
                <w:rFonts w:hint="eastAsia" w:ascii="仿宋_GB2312" w:hAnsi="宋体" w:eastAsia="仿宋_GB2312" w:cs="Times New Roman"/>
                <w:color w:val="000000" w:themeColor="text1"/>
                <w:sz w:val="24"/>
                <w14:textFill>
                  <w14:solidFill>
                    <w14:schemeClr w14:val="tx1"/>
                  </w14:solidFill>
                </w14:textFill>
              </w:rPr>
              <w:t>新增省、市级名中医人数</w:t>
            </w:r>
          </w:p>
        </w:tc>
        <w:tc>
          <w:tcPr>
            <w:tcW w:w="841" w:type="dxa"/>
            <w:vAlign w:val="center"/>
          </w:tcPr>
          <w:p>
            <w:pPr>
              <w:tabs>
                <w:tab w:val="left" w:pos="644"/>
              </w:tabs>
              <w:overflowPunct w:val="0"/>
              <w:spacing w:line="280" w:lineRule="exact"/>
              <w:jc w:val="center"/>
              <w:rPr>
                <w:rFonts w:ascii="仿宋_GB2312" w:hAnsi="Calibri" w:eastAsia="仿宋_GB2312" w:cs="Times New Roman"/>
                <w:color w:val="000000" w:themeColor="text1"/>
                <w:sz w:val="24"/>
                <w14:textFill>
                  <w14:solidFill>
                    <w14:schemeClr w14:val="tx1"/>
                  </w14:solidFill>
                </w14:textFill>
              </w:rPr>
            </w:pPr>
            <w:r>
              <w:rPr>
                <w:rFonts w:hint="eastAsia" w:ascii="仿宋_GB2312" w:hAnsi="Calibri" w:eastAsia="仿宋_GB2312" w:cs="Times New Roman"/>
                <w:color w:val="000000" w:themeColor="text1"/>
                <w:sz w:val="24"/>
                <w14:textFill>
                  <w14:solidFill>
                    <w14:schemeClr w14:val="tx1"/>
                  </w14:solidFill>
                </w14:textFill>
              </w:rPr>
              <w:t>人</w:t>
            </w:r>
          </w:p>
        </w:tc>
        <w:tc>
          <w:tcPr>
            <w:tcW w:w="1369" w:type="dxa"/>
            <w:vAlign w:val="center"/>
          </w:tcPr>
          <w:p>
            <w:pPr>
              <w:tabs>
                <w:tab w:val="left" w:pos="644"/>
              </w:tabs>
              <w:overflowPunct w:val="0"/>
              <w:spacing w:line="28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FF0000"/>
                <w:sz w:val="24"/>
              </w:rPr>
              <w:t>[35]</w:t>
            </w:r>
          </w:p>
        </w:tc>
        <w:tc>
          <w:tcPr>
            <w:tcW w:w="1407" w:type="dxa"/>
            <w:vAlign w:val="center"/>
          </w:tcPr>
          <w:p>
            <w:pPr>
              <w:tabs>
                <w:tab w:val="left" w:pos="644"/>
              </w:tabs>
              <w:overflowPunct w:val="0"/>
              <w:spacing w:line="280" w:lineRule="exact"/>
              <w:jc w:val="center"/>
              <w:rPr>
                <w:rFonts w:ascii="仿宋_GB2312" w:hAnsi="宋体" w:eastAsia="仿宋_GB2312"/>
                <w:color w:val="000000" w:themeColor="text1"/>
                <w:sz w:val="24"/>
                <w14:textFill>
                  <w14:solidFill>
                    <w14:schemeClr w14:val="tx1"/>
                  </w14:solidFill>
                </w14:textFill>
              </w:rPr>
            </w:pPr>
            <w:r>
              <w:rPr>
                <w:rFonts w:ascii="仿宋_GB2312" w:hAnsi="宋体" w:eastAsia="仿宋_GB2312"/>
                <w:color w:val="000000" w:themeColor="text1"/>
                <w:sz w:val="24"/>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148" w:type="dxa"/>
            <w:vMerge w:val="restart"/>
            <w:vAlign w:val="center"/>
          </w:tcPr>
          <w:p>
            <w:pPr>
              <w:tabs>
                <w:tab w:val="left" w:pos="644"/>
              </w:tabs>
              <w:overflowPunct w:val="0"/>
              <w:spacing w:line="280" w:lineRule="exact"/>
              <w:jc w:val="center"/>
              <w:rPr>
                <w:rFonts w:ascii="仿宋_GB2312" w:hAnsi="宋体" w:eastAsia="仿宋_GB2312" w:cs="Times New Roman"/>
                <w:color w:val="000000" w:themeColor="text1"/>
                <w:sz w:val="24"/>
                <w:szCs w:val="28"/>
                <w14:textFill>
                  <w14:solidFill>
                    <w14:schemeClr w14:val="tx1"/>
                  </w14:solidFill>
                </w14:textFill>
              </w:rPr>
            </w:pPr>
            <w:r>
              <w:rPr>
                <w:rFonts w:ascii="仿宋_GB2312" w:hAnsi="宋体" w:eastAsia="仿宋_GB2312" w:cs="Times New Roman"/>
                <w:color w:val="000000" w:themeColor="text1"/>
                <w:sz w:val="24"/>
                <w:szCs w:val="28"/>
                <w14:textFill>
                  <w14:solidFill>
                    <w14:schemeClr w14:val="tx1"/>
                  </w14:solidFill>
                </w14:textFill>
              </w:rPr>
              <w:t>中医药文化传播和开放发展</w:t>
            </w:r>
          </w:p>
        </w:tc>
        <w:tc>
          <w:tcPr>
            <w:tcW w:w="734" w:type="dxa"/>
            <w:vAlign w:val="center"/>
          </w:tcPr>
          <w:p>
            <w:pPr>
              <w:tabs>
                <w:tab w:val="left" w:pos="644"/>
              </w:tabs>
              <w:overflowPunct w:val="0"/>
              <w:spacing w:line="320" w:lineRule="exact"/>
              <w:jc w:val="center"/>
              <w:rPr>
                <w:rFonts w:ascii="仿宋_GB2312" w:hAnsi="宋体" w:eastAsia="仿宋_GB2312" w:cs="Times New Roman"/>
                <w:color w:val="000000" w:themeColor="text1"/>
                <w:sz w:val="24"/>
                <w14:textFill>
                  <w14:solidFill>
                    <w14:schemeClr w14:val="tx1"/>
                  </w14:solidFill>
                </w14:textFill>
              </w:rPr>
            </w:pPr>
            <w:r>
              <w:rPr>
                <w:rFonts w:hint="eastAsia" w:ascii="仿宋_GB2312" w:hAnsi="宋体" w:eastAsia="仿宋_GB2312" w:cs="Times New Roman"/>
                <w:color w:val="000000" w:themeColor="text1"/>
                <w:sz w:val="24"/>
                <w14:textFill>
                  <w14:solidFill>
                    <w14:schemeClr w14:val="tx1"/>
                  </w14:solidFill>
                </w14:textFill>
              </w:rPr>
              <w:t>14</w:t>
            </w:r>
          </w:p>
        </w:tc>
        <w:tc>
          <w:tcPr>
            <w:tcW w:w="3843" w:type="dxa"/>
            <w:vAlign w:val="center"/>
          </w:tcPr>
          <w:p>
            <w:pPr>
              <w:tabs>
                <w:tab w:val="left" w:pos="644"/>
              </w:tabs>
              <w:overflowPunct w:val="0"/>
              <w:spacing w:line="280" w:lineRule="exact"/>
              <w:jc w:val="left"/>
              <w:rPr>
                <w:rFonts w:ascii="仿宋_GB2312" w:hAnsi="Calibri" w:eastAsia="仿宋_GB2312" w:cs="Times New Roman"/>
                <w:color w:val="000000" w:themeColor="text1"/>
                <w:sz w:val="24"/>
                <w14:textFill>
                  <w14:solidFill>
                    <w14:schemeClr w14:val="tx1"/>
                  </w14:solidFill>
                </w14:textFill>
              </w:rPr>
            </w:pPr>
            <w:r>
              <w:rPr>
                <w:rFonts w:hint="eastAsia" w:ascii="仿宋_GB2312" w:hAnsi="Calibri" w:eastAsia="仿宋_GB2312" w:cs="Times New Roman"/>
                <w:color w:val="000000" w:themeColor="text1"/>
                <w:sz w:val="24"/>
                <w14:textFill>
                  <w14:solidFill>
                    <w14:schemeClr w14:val="tx1"/>
                  </w14:solidFill>
                </w14:textFill>
              </w:rPr>
              <w:t>公民中医药健康文化素养水平</w:t>
            </w:r>
          </w:p>
        </w:tc>
        <w:tc>
          <w:tcPr>
            <w:tcW w:w="841" w:type="dxa"/>
            <w:vAlign w:val="center"/>
          </w:tcPr>
          <w:p>
            <w:pPr>
              <w:tabs>
                <w:tab w:val="left" w:pos="644"/>
              </w:tabs>
              <w:overflowPunct w:val="0"/>
              <w:spacing w:line="280" w:lineRule="exact"/>
              <w:jc w:val="center"/>
              <w:rPr>
                <w:rFonts w:ascii="仿宋_GB2312" w:hAnsi="Calibri" w:eastAsia="仿宋_GB2312" w:cs="Times New Roman"/>
                <w:color w:val="000000" w:themeColor="text1"/>
                <w:sz w:val="24"/>
                <w14:textFill>
                  <w14:solidFill>
                    <w14:schemeClr w14:val="tx1"/>
                  </w14:solidFill>
                </w14:textFill>
              </w:rPr>
            </w:pPr>
            <w:r>
              <w:rPr>
                <w:rFonts w:hint="eastAsia" w:ascii="仿宋_GB2312" w:hAnsi="Calibri" w:eastAsia="仿宋_GB2312" w:cs="Times New Roman"/>
                <w:color w:val="000000" w:themeColor="text1"/>
                <w:sz w:val="24"/>
                <w14:textFill>
                  <w14:solidFill>
                    <w14:schemeClr w14:val="tx1"/>
                  </w14:solidFill>
                </w14:textFill>
              </w:rPr>
              <w:t>%</w:t>
            </w:r>
          </w:p>
        </w:tc>
        <w:tc>
          <w:tcPr>
            <w:tcW w:w="1369" w:type="dxa"/>
            <w:vAlign w:val="center"/>
          </w:tcPr>
          <w:p>
            <w:pPr>
              <w:shd w:val="clear" w:color="auto" w:fill="FFFFFF"/>
              <w:overflowPunct w:val="0"/>
              <w:spacing w:line="28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w:t>
            </w:r>
          </w:p>
        </w:tc>
        <w:tc>
          <w:tcPr>
            <w:tcW w:w="1407" w:type="dxa"/>
            <w:vAlign w:val="center"/>
          </w:tcPr>
          <w:p>
            <w:pPr>
              <w:shd w:val="clear" w:color="auto" w:fill="FFFFFF"/>
              <w:overflowPunct w:val="0"/>
              <w:spacing w:line="28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3</w:t>
            </w:r>
            <w:r>
              <w:rPr>
                <w:rFonts w:ascii="仿宋_GB2312" w:hAnsi="宋体" w:eastAsia="仿宋_GB2312"/>
                <w:color w:val="000000" w:themeColor="text1"/>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48" w:type="dxa"/>
            <w:vMerge w:val="continue"/>
            <w:vAlign w:val="center"/>
          </w:tcPr>
          <w:p>
            <w:pPr>
              <w:tabs>
                <w:tab w:val="left" w:pos="644"/>
              </w:tabs>
              <w:overflowPunct w:val="0"/>
              <w:spacing w:line="360" w:lineRule="exact"/>
              <w:jc w:val="center"/>
              <w:rPr>
                <w:rFonts w:ascii="仿宋_GB2312" w:hAnsi="宋体" w:eastAsia="仿宋_GB2312" w:cs="Times New Roman"/>
                <w:color w:val="000000" w:themeColor="text1"/>
                <w:sz w:val="24"/>
                <w:szCs w:val="28"/>
                <w14:textFill>
                  <w14:solidFill>
                    <w14:schemeClr w14:val="tx1"/>
                  </w14:solidFill>
                </w14:textFill>
              </w:rPr>
            </w:pPr>
          </w:p>
        </w:tc>
        <w:tc>
          <w:tcPr>
            <w:tcW w:w="734" w:type="dxa"/>
            <w:vAlign w:val="center"/>
          </w:tcPr>
          <w:p>
            <w:pPr>
              <w:tabs>
                <w:tab w:val="left" w:pos="644"/>
              </w:tabs>
              <w:overflowPunct w:val="0"/>
              <w:spacing w:line="320" w:lineRule="exact"/>
              <w:jc w:val="center"/>
              <w:rPr>
                <w:rFonts w:ascii="仿宋_GB2312" w:hAnsi="宋体" w:eastAsia="仿宋_GB2312" w:cs="Times New Roman"/>
                <w:color w:val="000000" w:themeColor="text1"/>
                <w:sz w:val="24"/>
                <w14:textFill>
                  <w14:solidFill>
                    <w14:schemeClr w14:val="tx1"/>
                  </w14:solidFill>
                </w14:textFill>
              </w:rPr>
            </w:pPr>
            <w:r>
              <w:rPr>
                <w:rFonts w:hint="eastAsia" w:ascii="仿宋_GB2312" w:hAnsi="宋体" w:eastAsia="仿宋_GB2312" w:cs="Times New Roman"/>
                <w:color w:val="000000" w:themeColor="text1"/>
                <w:sz w:val="24"/>
                <w14:textFill>
                  <w14:solidFill>
                    <w14:schemeClr w14:val="tx1"/>
                  </w14:solidFill>
                </w14:textFill>
              </w:rPr>
              <w:t>15</w:t>
            </w:r>
          </w:p>
        </w:tc>
        <w:tc>
          <w:tcPr>
            <w:tcW w:w="3843" w:type="dxa"/>
            <w:vAlign w:val="center"/>
          </w:tcPr>
          <w:p>
            <w:pPr>
              <w:tabs>
                <w:tab w:val="left" w:pos="644"/>
              </w:tabs>
              <w:overflowPunct w:val="0"/>
              <w:spacing w:line="280" w:lineRule="exact"/>
              <w:jc w:val="left"/>
              <w:rPr>
                <w:rFonts w:ascii="仿宋_GB2312" w:hAnsi="宋体" w:eastAsia="仿宋_GB2312" w:cs="Times New Roman"/>
                <w:color w:val="000000" w:themeColor="text1"/>
                <w:sz w:val="24"/>
                <w14:textFill>
                  <w14:solidFill>
                    <w14:schemeClr w14:val="tx1"/>
                  </w14:solidFill>
                </w14:textFill>
              </w:rPr>
            </w:pPr>
            <w:r>
              <w:rPr>
                <w:rFonts w:hint="eastAsia" w:ascii="仿宋_GB2312" w:hAnsi="宋体" w:eastAsia="仿宋_GB2312" w:cs="Times New Roman"/>
                <w:color w:val="000000" w:themeColor="text1"/>
                <w:sz w:val="24"/>
                <w14:textFill>
                  <w14:solidFill>
                    <w14:schemeClr w14:val="tx1"/>
                  </w14:solidFill>
                </w14:textFill>
              </w:rPr>
              <w:t>新增</w:t>
            </w:r>
            <w:r>
              <w:rPr>
                <w:rFonts w:ascii="仿宋_GB2312" w:hAnsi="宋体" w:eastAsia="仿宋_GB2312" w:cs="Times New Roman"/>
                <w:color w:val="000000" w:themeColor="text1"/>
                <w:sz w:val="24"/>
                <w14:textFill>
                  <w14:solidFill>
                    <w14:schemeClr w14:val="tx1"/>
                  </w14:solidFill>
                </w14:textFill>
              </w:rPr>
              <w:t>省级中医药文化养生旅游示范基地数</w:t>
            </w:r>
          </w:p>
        </w:tc>
        <w:tc>
          <w:tcPr>
            <w:tcW w:w="841" w:type="dxa"/>
            <w:vAlign w:val="center"/>
          </w:tcPr>
          <w:p>
            <w:pPr>
              <w:tabs>
                <w:tab w:val="left" w:pos="644"/>
              </w:tabs>
              <w:overflowPunct w:val="0"/>
              <w:spacing w:line="280" w:lineRule="exact"/>
              <w:jc w:val="center"/>
              <w:rPr>
                <w:rFonts w:ascii="仿宋_GB2312" w:hAnsi="宋体" w:eastAsia="仿宋_GB2312" w:cs="Times New Roman"/>
                <w:color w:val="000000" w:themeColor="text1"/>
                <w:sz w:val="24"/>
                <w14:textFill>
                  <w14:solidFill>
                    <w14:schemeClr w14:val="tx1"/>
                  </w14:solidFill>
                </w14:textFill>
              </w:rPr>
            </w:pPr>
            <w:r>
              <w:rPr>
                <w:rFonts w:ascii="仿宋_GB2312" w:hAnsi="宋体" w:eastAsia="仿宋_GB2312" w:cs="Times New Roman"/>
                <w:color w:val="000000" w:themeColor="text1"/>
                <w:sz w:val="24"/>
                <w14:textFill>
                  <w14:solidFill>
                    <w14:schemeClr w14:val="tx1"/>
                  </w14:solidFill>
                </w14:textFill>
              </w:rPr>
              <w:t>个</w:t>
            </w:r>
          </w:p>
        </w:tc>
        <w:tc>
          <w:tcPr>
            <w:tcW w:w="1369" w:type="dxa"/>
            <w:vAlign w:val="center"/>
          </w:tcPr>
          <w:p>
            <w:pPr>
              <w:shd w:val="clear" w:color="auto" w:fill="FFFFFF"/>
              <w:overflowPunct w:val="0"/>
              <w:spacing w:line="28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7</w:t>
            </w:r>
          </w:p>
        </w:tc>
        <w:tc>
          <w:tcPr>
            <w:tcW w:w="1407" w:type="dxa"/>
            <w:vAlign w:val="center"/>
          </w:tcPr>
          <w:p>
            <w:pPr>
              <w:shd w:val="clear" w:color="auto" w:fill="FFFFFF"/>
              <w:overflowPunct w:val="0"/>
              <w:spacing w:line="28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1</w:t>
            </w:r>
            <w:r>
              <w:rPr>
                <w:rFonts w:ascii="仿宋_GB2312" w:hAnsi="宋体" w:eastAsia="仿宋_GB2312"/>
                <w:color w:val="000000" w:themeColor="text1"/>
                <w:sz w:val="24"/>
                <w14:textFill>
                  <w14:solidFill>
                    <w14:schemeClr w14:val="tx1"/>
                  </w14:solidFill>
                </w14:textFill>
              </w:rPr>
              <w:t>2</w:t>
            </w:r>
          </w:p>
        </w:tc>
      </w:tr>
    </w:tbl>
    <w:p>
      <w:pPr>
        <w:tabs>
          <w:tab w:val="left" w:pos="3261"/>
        </w:tabs>
        <w:spacing w:line="579"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注：1.[ ]为五年累计数；2.带*的为2019年数。</w:t>
      </w:r>
    </w:p>
    <w:p>
      <w:pPr>
        <w:overflowPunct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到2035年，全面建成中医药强市，中医药治理能力和治理体系基本实现现代化，中医药健康养生文化理念全面融入居民健康生活，中医药在治未病、重大疾病诊疗、疾病康复和疫病防治中的重要作用得到充分发挥，畲医药科技创新能力达到全省领先水平，成为与“重要窗口”相匹配、示范引领的中医药传承创新发展市域高地。</w:t>
      </w:r>
    </w:p>
    <w:p>
      <w:pPr>
        <w:overflowPunct w:val="0"/>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三、重点任务</w:t>
      </w:r>
    </w:p>
    <w:p>
      <w:pPr>
        <w:overflowPunct w:val="0"/>
        <w:spacing w:line="560" w:lineRule="exact"/>
        <w:ind w:firstLine="643" w:firstLineChars="200"/>
        <w:rPr>
          <w:rFonts w:ascii="楷体_GB2312" w:eastAsia="楷体_GB2312"/>
          <w:b/>
          <w:color w:val="000000" w:themeColor="text1"/>
          <w:sz w:val="32"/>
          <w:szCs w:val="32"/>
          <w14:textFill>
            <w14:solidFill>
              <w14:schemeClr w14:val="tx1"/>
            </w14:solidFill>
          </w14:textFill>
        </w:rPr>
      </w:pPr>
      <w:bookmarkStart w:id="0" w:name="_Toc65229854"/>
      <w:r>
        <w:rPr>
          <w:rFonts w:ascii="楷体_GB2312" w:eastAsia="楷体_GB2312"/>
          <w:b/>
          <w:color w:val="000000" w:themeColor="text1"/>
          <w:sz w:val="32"/>
          <w:szCs w:val="32"/>
          <w14:textFill>
            <w14:solidFill>
              <w14:schemeClr w14:val="tx1"/>
            </w14:solidFill>
          </w14:textFill>
        </w:rPr>
        <w:t>（一）</w:t>
      </w:r>
      <w:r>
        <w:rPr>
          <w:rFonts w:hint="eastAsia" w:ascii="楷体_GB2312" w:eastAsia="楷体_GB2312"/>
          <w:b/>
          <w:color w:val="000000" w:themeColor="text1"/>
          <w:sz w:val="32"/>
          <w:szCs w:val="32"/>
          <w14:textFill>
            <w14:solidFill>
              <w14:schemeClr w14:val="tx1"/>
            </w14:solidFill>
          </w14:textFill>
        </w:rPr>
        <w:t>倾力</w:t>
      </w:r>
      <w:r>
        <w:rPr>
          <w:rFonts w:ascii="楷体_GB2312" w:eastAsia="楷体_GB2312"/>
          <w:b/>
          <w:color w:val="000000" w:themeColor="text1"/>
          <w:sz w:val="32"/>
          <w:szCs w:val="32"/>
          <w14:textFill>
            <w14:solidFill>
              <w14:schemeClr w14:val="tx1"/>
            </w14:solidFill>
          </w14:textFill>
        </w:rPr>
        <w:t>打造整合型中医药服务体系</w:t>
      </w:r>
      <w:bookmarkEnd w:id="0"/>
    </w:p>
    <w:p>
      <w:pPr>
        <w:overflowPunct w:val="0"/>
        <w:spacing w:line="560" w:lineRule="exact"/>
        <w:ind w:firstLine="643" w:firstLineChars="200"/>
        <w:rPr>
          <w:rFonts w:ascii="仿宋_GB2312" w:eastAsia="仿宋_GB2312"/>
          <w:b/>
          <w:color w:val="000000" w:themeColor="text1"/>
          <w:sz w:val="32"/>
          <w:szCs w:val="28"/>
          <w14:textFill>
            <w14:solidFill>
              <w14:schemeClr w14:val="tx1"/>
            </w14:solidFill>
          </w14:textFill>
        </w:rPr>
      </w:pPr>
      <w:r>
        <w:rPr>
          <w:rFonts w:hint="eastAsia" w:ascii="仿宋_GB2312" w:eastAsia="仿宋_GB2312"/>
          <w:b/>
          <w:color w:val="000000" w:themeColor="text1"/>
          <w:sz w:val="32"/>
          <w:szCs w:val="28"/>
          <w14:textFill>
            <w14:solidFill>
              <w14:schemeClr w14:val="tx1"/>
            </w14:solidFill>
          </w14:textFill>
        </w:rPr>
        <w:t>1</w:t>
      </w:r>
      <w:r>
        <w:rPr>
          <w:rFonts w:ascii="仿宋_GB2312" w:eastAsia="仿宋_GB2312"/>
          <w:b/>
          <w:color w:val="000000" w:themeColor="text1"/>
          <w:sz w:val="32"/>
          <w:szCs w:val="28"/>
          <w14:textFill>
            <w14:solidFill>
              <w14:schemeClr w14:val="tx1"/>
            </w14:solidFill>
          </w14:textFill>
        </w:rPr>
        <w:t>.健全中医</w:t>
      </w:r>
      <w:r>
        <w:rPr>
          <w:rFonts w:hint="eastAsia" w:ascii="仿宋_GB2312" w:eastAsia="仿宋_GB2312"/>
          <w:b/>
          <w:color w:val="000000" w:themeColor="text1"/>
          <w:sz w:val="32"/>
          <w:szCs w:val="28"/>
          <w14:textFill>
            <w14:solidFill>
              <w14:schemeClr w14:val="tx1"/>
            </w14:solidFill>
          </w14:textFill>
        </w:rPr>
        <w:t>药</w:t>
      </w:r>
      <w:r>
        <w:rPr>
          <w:rFonts w:ascii="仿宋_GB2312" w:eastAsia="仿宋_GB2312"/>
          <w:b/>
          <w:color w:val="000000" w:themeColor="text1"/>
          <w:sz w:val="32"/>
          <w:szCs w:val="28"/>
          <w14:textFill>
            <w14:solidFill>
              <w14:schemeClr w14:val="tx1"/>
            </w14:solidFill>
          </w14:textFill>
        </w:rPr>
        <w:t>服务</w:t>
      </w:r>
      <w:r>
        <w:rPr>
          <w:rFonts w:hint="eastAsia" w:ascii="仿宋_GB2312" w:eastAsia="仿宋_GB2312"/>
          <w:b/>
          <w:color w:val="000000" w:themeColor="text1"/>
          <w:sz w:val="32"/>
          <w:szCs w:val="28"/>
          <w14:textFill>
            <w14:solidFill>
              <w14:schemeClr w14:val="tx1"/>
            </w14:solidFill>
          </w14:textFill>
        </w:rPr>
        <w:t>体系</w:t>
      </w:r>
      <w:r>
        <w:rPr>
          <w:rFonts w:ascii="仿宋_GB2312" w:eastAsia="仿宋_GB2312"/>
          <w:b/>
          <w:color w:val="000000" w:themeColor="text1"/>
          <w:sz w:val="32"/>
          <w:szCs w:val="28"/>
          <w14:textFill>
            <w14:solidFill>
              <w14:schemeClr w14:val="tx1"/>
            </w14:solidFill>
          </w14:textFill>
        </w:rPr>
        <w:t>。</w:t>
      </w:r>
    </w:p>
    <w:p>
      <w:pPr>
        <w:overflowPunct w:val="0"/>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完善中医药服务体系规划布局。</w:t>
      </w:r>
      <w:r>
        <w:rPr>
          <w:rFonts w:hint="eastAsia" w:ascii="仿宋_GB2312" w:eastAsia="仿宋_GB2312"/>
          <w:color w:val="000000" w:themeColor="text1"/>
          <w:sz w:val="32"/>
          <w:szCs w:val="32"/>
          <w14:textFill>
            <w14:solidFill>
              <w14:schemeClr w14:val="tx1"/>
            </w14:solidFill>
          </w14:textFill>
        </w:rPr>
        <w:t>将中医药服务机构设置纳入区域卫生发展总体规划和医疗机构设置规划，加大中医药资源供给，实施公立中医医院基础建设工程，加快推进市县公立中医医院扩容升级。</w:t>
      </w:r>
      <w:r>
        <w:rPr>
          <w:rFonts w:hint="eastAsia" w:ascii="仿宋_GB2312" w:eastAsia="仿宋_GB2312"/>
          <w:color w:val="000000" w:themeColor="text1"/>
          <w:sz w:val="32"/>
          <w:szCs w:val="28"/>
          <w14:textFill>
            <w14:solidFill>
              <w14:schemeClr w14:val="tx1"/>
            </w14:solidFill>
          </w14:textFill>
        </w:rPr>
        <w:t>加快</w:t>
      </w:r>
      <w:r>
        <w:rPr>
          <w:rFonts w:hint="eastAsia" w:ascii="仿宋_GB2312" w:eastAsia="仿宋_GB2312"/>
          <w:color w:val="000000" w:themeColor="text1"/>
          <w:sz w:val="32"/>
          <w:szCs w:val="32"/>
          <w14:textFill>
            <w14:solidFill>
              <w14:schemeClr w14:val="tx1"/>
            </w14:solidFill>
          </w14:textFill>
        </w:rPr>
        <w:t>形成以丽水市中医院为龙头，县级中医医院和综合（专科）医院中医科为骨干，基层中医诊疗服务网点为基础，社会办中医为补充的三级中医药服务体系，融预防保健、疾病治疗和康复于一体，提供覆盖全人群和全生命周期的中医药健康服务体系。构建中医医疗联合体，强化县级中医医院牵头的县域医共体内涵建设，推进市级中医医院牵头组建城市医联体（医疗集团）。建立健全中医药应急防治体系，健全中西医协同疫病防治机制。</w:t>
      </w:r>
    </w:p>
    <w:tbl>
      <w:tblPr>
        <w:tblStyle w:val="10"/>
        <w:tblW w:w="90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9071" w:type="dxa"/>
            <w:vAlign w:val="center"/>
          </w:tcPr>
          <w:p>
            <w:pPr>
              <w:pStyle w:val="5"/>
              <w:spacing w:line="400" w:lineRule="exact"/>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专栏1 </w:t>
            </w:r>
            <w:r>
              <w:rPr>
                <w:rFonts w:hint="eastAsia" w:ascii="Times New Roman" w:hAnsi="Times New Roman"/>
                <w:color w:val="000000" w:themeColor="text1"/>
                <w:sz w:val="24"/>
                <w:szCs w:val="24"/>
                <w14:textFill>
                  <w14:solidFill>
                    <w14:schemeClr w14:val="tx1"/>
                  </w14:solidFill>
                </w14:textFill>
              </w:rPr>
              <w:t>公立</w:t>
            </w:r>
            <w:r>
              <w:rPr>
                <w:rFonts w:ascii="Times New Roman" w:hAnsi="Times New Roman"/>
                <w:color w:val="000000" w:themeColor="text1"/>
                <w:sz w:val="24"/>
                <w:szCs w:val="24"/>
                <w14:textFill>
                  <w14:solidFill>
                    <w14:schemeClr w14:val="tx1"/>
                  </w14:solidFill>
                </w14:textFill>
              </w:rPr>
              <w:t>中医医院基础建设工程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94" w:hRule="atLeast"/>
          <w:jc w:val="center"/>
        </w:trPr>
        <w:tc>
          <w:tcPr>
            <w:tcW w:w="9071" w:type="dxa"/>
            <w:vAlign w:val="center"/>
          </w:tcPr>
          <w:p>
            <w:pPr>
              <w:adjustRightInd w:val="0"/>
              <w:snapToGrid w:val="0"/>
              <w:spacing w:line="400" w:lineRule="exact"/>
              <w:ind w:firstLine="480" w:firstLineChars="200"/>
              <w:rPr>
                <w:rFonts w:ascii="仿宋_GB2312" w:eastAsia="仿宋_GB2312"/>
                <w:b/>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支持各级中医院加强基础设施建设。加快推进丽水市中医院传承创新楼项目，龙泉市、云和县、缙云县、松阳县中医院迁建及庆元县、遂昌县、青田县中医院改扩建工程。谋划丽水市中医院“一院两区”项目、浙江中医药大学丽水研究院项目、丽水市中药制剂中心项目，推进“智慧中医院”建设，努力把丽水市打造成浙江省“大花园建设”丽水中医药传承创新发展示范区。</w:t>
            </w:r>
          </w:p>
        </w:tc>
      </w:tr>
    </w:tbl>
    <w:p>
      <w:pPr>
        <w:pStyle w:val="9"/>
        <w:widowControl w:val="0"/>
        <w:spacing w:before="0" w:beforeAutospacing="0" w:after="0" w:afterAutospacing="0" w:line="579" w:lineRule="exact"/>
        <w:ind w:firstLine="643" w:firstLineChars="200"/>
        <w:jc w:val="both"/>
        <w:rPr>
          <w:rFonts w:ascii="Times New Roman" w:hAnsi="Times New Roman" w:eastAsia="仿宋_GB2312"/>
          <w:b/>
          <w:color w:val="000000" w:themeColor="text1"/>
          <w:sz w:val="32"/>
          <w:szCs w:val="32"/>
          <w14:textFill>
            <w14:solidFill>
              <w14:schemeClr w14:val="tx1"/>
            </w14:solidFill>
          </w14:textFill>
        </w:rPr>
      </w:pPr>
      <w:r>
        <w:rPr>
          <w:rFonts w:hint="eastAsia" w:ascii="Times New Roman" w:hAnsi="Times New Roman" w:eastAsia="仿宋_GB2312"/>
          <w:b/>
          <w:color w:val="000000" w:themeColor="text1"/>
          <w:sz w:val="32"/>
          <w:szCs w:val="32"/>
          <w14:textFill>
            <w14:solidFill>
              <w14:schemeClr w14:val="tx1"/>
            </w14:solidFill>
          </w14:textFill>
        </w:rPr>
        <w:t>2</w:t>
      </w:r>
      <w:r>
        <w:rPr>
          <w:rFonts w:ascii="Times New Roman" w:hAnsi="Times New Roman" w:eastAsia="仿宋_GB2312"/>
          <w:b/>
          <w:color w:val="000000" w:themeColor="text1"/>
          <w:sz w:val="32"/>
          <w:szCs w:val="32"/>
          <w14:textFill>
            <w14:solidFill>
              <w14:schemeClr w14:val="tx1"/>
            </w14:solidFill>
          </w14:textFill>
        </w:rPr>
        <w:t>.高质量提升中医医疗服务水平</w:t>
      </w:r>
    </w:p>
    <w:p>
      <w:pPr>
        <w:pStyle w:val="9"/>
        <w:widowControl w:val="0"/>
        <w:spacing w:before="0" w:beforeAutospacing="0" w:after="0" w:afterAutospacing="0" w:line="579" w:lineRule="exact"/>
        <w:ind w:firstLine="643" w:firstLineChars="200"/>
        <w:jc w:val="both"/>
        <w:rPr>
          <w:rFonts w:ascii="仿宋_GB2312" w:eastAsia="仿宋_GB2312"/>
          <w:color w:val="000000" w:themeColor="text1"/>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提升中医</w:t>
      </w:r>
      <w:r>
        <w:rPr>
          <w:rFonts w:hint="eastAsia" w:ascii="Times New Roman" w:hAnsi="Times New Roman" w:eastAsia="仿宋_GB2312"/>
          <w:b/>
          <w:color w:val="000000" w:themeColor="text1"/>
          <w:sz w:val="32"/>
          <w:szCs w:val="32"/>
          <w14:textFill>
            <w14:solidFill>
              <w14:schemeClr w14:val="tx1"/>
            </w14:solidFill>
          </w14:textFill>
        </w:rPr>
        <w:t>医疗机构</w:t>
      </w:r>
      <w:r>
        <w:rPr>
          <w:rFonts w:ascii="Times New Roman" w:hAnsi="Times New Roman" w:eastAsia="仿宋_GB2312"/>
          <w:b/>
          <w:color w:val="000000" w:themeColor="text1"/>
          <w:sz w:val="32"/>
          <w:szCs w:val="32"/>
          <w14:textFill>
            <w14:solidFill>
              <w14:schemeClr w14:val="tx1"/>
            </w14:solidFill>
          </w14:textFill>
        </w:rPr>
        <w:t>服务能级。</w:t>
      </w:r>
      <w:r>
        <w:rPr>
          <w:rFonts w:ascii="仿宋_GB2312" w:eastAsia="仿宋_GB2312"/>
          <w:color w:val="000000" w:themeColor="text1"/>
          <w:sz w:val="32"/>
          <w:szCs w:val="32"/>
          <w14:textFill>
            <w14:solidFill>
              <w14:schemeClr w14:val="tx1"/>
            </w14:solidFill>
          </w14:textFill>
        </w:rPr>
        <w:t>强化以中医药服务为主的办院模式和服务功能</w:t>
      </w:r>
      <w:r>
        <w:rPr>
          <w:rFonts w:hint="eastAsia" w:ascii="仿宋_GB2312" w:eastAsia="仿宋_GB2312"/>
          <w:color w:val="000000" w:themeColor="text1"/>
          <w:sz w:val="32"/>
          <w:szCs w:val="32"/>
          <w14:textFill>
            <w14:solidFill>
              <w14:schemeClr w14:val="tx1"/>
            </w14:solidFill>
          </w14:textFill>
        </w:rPr>
        <w:t>，加快推进中医医院强院建设，以公立中医院绩效评价和等级评审为抓手，全面提升内涵质量和中医药特色，建设中医药特色优势鲜明的现代化中医医院。支持丽水市中医院建设国家中医特色重点医院，支持丽水市中医院与省级中医医院和高等院校建立高层次合作关系，争创省级中医医学中心和区域中医医疗中心。85%的县级中医院达到二级甲等中医院水平，力争1-2家达到三级乙等中医院水平。</w:t>
      </w:r>
    </w:p>
    <w:tbl>
      <w:tblPr>
        <w:tblStyle w:val="10"/>
        <w:tblW w:w="90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9071" w:type="dxa"/>
            <w:vAlign w:val="center"/>
          </w:tcPr>
          <w:p>
            <w:pPr>
              <w:pStyle w:val="5"/>
              <w:spacing w:line="400" w:lineRule="exact"/>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专栏2 </w:t>
            </w:r>
            <w:r>
              <w:rPr>
                <w:rFonts w:hint="eastAsia" w:ascii="Times New Roman" w:hAnsi="Times New Roman"/>
                <w:color w:val="000000" w:themeColor="text1"/>
                <w:sz w:val="24"/>
                <w:szCs w:val="24"/>
                <w14:textFill>
                  <w14:solidFill>
                    <w14:schemeClr w14:val="tx1"/>
                  </w14:solidFill>
                </w14:textFill>
              </w:rPr>
              <w:t>中医医院</w:t>
            </w:r>
            <w:r>
              <w:rPr>
                <w:rFonts w:ascii="Times New Roman" w:hAnsi="Times New Roman"/>
                <w:color w:val="000000" w:themeColor="text1"/>
                <w:sz w:val="24"/>
                <w:szCs w:val="24"/>
                <w14:textFill>
                  <w14:solidFill>
                    <w14:schemeClr w14:val="tx1"/>
                  </w14:solidFill>
                </w14:textFill>
              </w:rPr>
              <w:t>服务能级创建工程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03" w:hRule="atLeast"/>
          <w:jc w:val="center"/>
        </w:trPr>
        <w:tc>
          <w:tcPr>
            <w:tcW w:w="9071" w:type="dxa"/>
            <w:vAlign w:val="center"/>
          </w:tcPr>
          <w:p>
            <w:pPr>
              <w:adjustRightInd w:val="0"/>
              <w:snapToGrid w:val="0"/>
              <w:spacing w:line="400" w:lineRule="exact"/>
              <w:ind w:firstLine="480" w:firstLineChars="200"/>
              <w:rPr>
                <w:rFonts w:ascii="仿宋_GB2312" w:eastAsia="仿宋_GB2312"/>
                <w:b/>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支持丽水市中医院与省内外知名中医医院和高等院校建立高层次合作关系。积极推动龙泉市、青田县、云和县、庆元县、缙云县、遂昌县、松阳县中医院参加浙江省第四周期中医医院等级评审。到2</w:t>
            </w:r>
            <w:r>
              <w:rPr>
                <w:rFonts w:ascii="仿宋_GB2312" w:eastAsia="仿宋_GB2312"/>
                <w:color w:val="000000" w:themeColor="text1"/>
                <w:sz w:val="24"/>
                <w14:textFill>
                  <w14:solidFill>
                    <w14:schemeClr w14:val="tx1"/>
                  </w14:solidFill>
                </w14:textFill>
              </w:rPr>
              <w:t>025年</w:t>
            </w:r>
            <w:r>
              <w:rPr>
                <w:rFonts w:hint="eastAsia" w:ascii="仿宋_GB2312" w:eastAsia="仿宋_GB2312"/>
                <w:color w:val="000000" w:themeColor="text1"/>
                <w:sz w:val="24"/>
                <w14:textFill>
                  <w14:solidFill>
                    <w14:schemeClr w14:val="tx1"/>
                  </w14:solidFill>
                </w14:textFill>
              </w:rPr>
              <w:t>，</w:t>
            </w:r>
            <w:r>
              <w:rPr>
                <w:rFonts w:ascii="仿宋_GB2312" w:eastAsia="仿宋_GB2312"/>
                <w:color w:val="000000" w:themeColor="text1"/>
                <w:sz w:val="24"/>
                <w14:textFill>
                  <w14:solidFill>
                    <w14:schemeClr w14:val="tx1"/>
                  </w14:solidFill>
                </w14:textFill>
              </w:rPr>
              <w:t>丽水市中医院建设成为</w:t>
            </w:r>
            <w:r>
              <w:rPr>
                <w:rFonts w:hint="eastAsia" w:ascii="仿宋_GB2312" w:eastAsia="仿宋_GB2312"/>
                <w:color w:val="000000" w:themeColor="text1"/>
                <w:sz w:val="24"/>
                <w14:textFill>
                  <w14:solidFill>
                    <w14:schemeClr w14:val="tx1"/>
                  </w14:solidFill>
                </w14:textFill>
              </w:rPr>
              <w:t>国家中医特色重点医院、</w:t>
            </w:r>
            <w:r>
              <w:rPr>
                <w:rFonts w:ascii="仿宋_GB2312" w:eastAsia="仿宋_GB2312"/>
                <w:color w:val="000000" w:themeColor="text1"/>
                <w:sz w:val="24"/>
                <w14:textFill>
                  <w14:solidFill>
                    <w14:schemeClr w14:val="tx1"/>
                  </w14:solidFill>
                </w14:textFill>
              </w:rPr>
              <w:t>省级中医医学中心或区域中医医疗中心</w:t>
            </w:r>
            <w:r>
              <w:rPr>
                <w:rFonts w:hint="eastAsia" w:ascii="仿宋_GB2312" w:eastAsia="仿宋_GB2312"/>
                <w:color w:val="000000" w:themeColor="text1"/>
                <w:sz w:val="24"/>
                <w14:textFill>
                  <w14:solidFill>
                    <w14:schemeClr w14:val="tx1"/>
                  </w14:solidFill>
                </w14:textFill>
              </w:rPr>
              <w:t>、现代化综合性中医三甲名院，</w:t>
            </w:r>
            <w:r>
              <w:rPr>
                <w:rFonts w:ascii="仿宋_GB2312" w:eastAsia="仿宋_GB2312"/>
                <w:color w:val="000000" w:themeColor="text1"/>
                <w:sz w:val="24"/>
                <w14:textFill>
                  <w14:solidFill>
                    <w14:schemeClr w14:val="tx1"/>
                  </w14:solidFill>
                </w14:textFill>
              </w:rPr>
              <w:t>力争青田县中医院</w:t>
            </w:r>
            <w:r>
              <w:rPr>
                <w:rFonts w:hint="eastAsia" w:ascii="仿宋_GB2312" w:eastAsia="仿宋_GB2312"/>
                <w:color w:val="000000" w:themeColor="text1"/>
                <w:sz w:val="24"/>
                <w14:textFill>
                  <w14:solidFill>
                    <w14:schemeClr w14:val="tx1"/>
                  </w14:solidFill>
                </w14:textFill>
              </w:rPr>
              <w:t>、</w:t>
            </w:r>
            <w:r>
              <w:rPr>
                <w:rFonts w:ascii="仿宋_GB2312" w:eastAsia="仿宋_GB2312"/>
                <w:color w:val="000000" w:themeColor="text1"/>
                <w:sz w:val="24"/>
                <w14:textFill>
                  <w14:solidFill>
                    <w14:schemeClr w14:val="tx1"/>
                  </w14:solidFill>
                </w14:textFill>
              </w:rPr>
              <w:t>遂昌县中医院达到</w:t>
            </w:r>
            <w:r>
              <w:rPr>
                <w:rFonts w:hint="eastAsia" w:ascii="仿宋_GB2312" w:eastAsia="仿宋_GB2312"/>
                <w:color w:val="000000" w:themeColor="text1"/>
                <w:sz w:val="24"/>
                <w14:textFill>
                  <w14:solidFill>
                    <w14:schemeClr w14:val="tx1"/>
                  </w14:solidFill>
                </w14:textFill>
              </w:rPr>
              <w:t>浙江省</w:t>
            </w:r>
            <w:r>
              <w:rPr>
                <w:rFonts w:ascii="仿宋_GB2312" w:eastAsia="仿宋_GB2312"/>
                <w:color w:val="000000" w:themeColor="text1"/>
                <w:sz w:val="24"/>
                <w14:textFill>
                  <w14:solidFill>
                    <w14:schemeClr w14:val="tx1"/>
                  </w14:solidFill>
                </w14:textFill>
              </w:rPr>
              <w:t>三级乙等中医院水平</w:t>
            </w:r>
            <w:r>
              <w:rPr>
                <w:rFonts w:hint="eastAsia" w:ascii="仿宋_GB2312" w:eastAsia="仿宋_GB2312"/>
                <w:color w:val="000000" w:themeColor="text1"/>
                <w:sz w:val="24"/>
                <w14:textFill>
                  <w14:solidFill>
                    <w14:schemeClr w14:val="tx1"/>
                  </w14:solidFill>
                </w14:textFill>
              </w:rPr>
              <w:t>。</w:t>
            </w:r>
          </w:p>
        </w:tc>
      </w:tr>
    </w:tbl>
    <w:p>
      <w:pPr>
        <w:spacing w:line="579" w:lineRule="exact"/>
        <w:ind w:firstLine="643" w:firstLineChars="200"/>
        <w:rPr>
          <w:rFonts w:ascii="仿宋_GB2312" w:eastAsia="仿宋_GB2312"/>
          <w:color w:val="000000" w:themeColor="text1"/>
          <w:sz w:val="32"/>
          <w14:textFill>
            <w14:solidFill>
              <w14:schemeClr w14:val="tx1"/>
            </w14:solidFill>
          </w14:textFill>
        </w:rPr>
      </w:pPr>
      <w:r>
        <w:rPr>
          <w:rFonts w:hint="eastAsia" w:ascii="仿宋_GB2312" w:eastAsia="仿宋_GB2312"/>
          <w:b/>
          <w:color w:val="000000" w:themeColor="text1"/>
          <w:sz w:val="32"/>
          <w14:textFill>
            <w14:solidFill>
              <w14:schemeClr w14:val="tx1"/>
            </w14:solidFill>
          </w14:textFill>
        </w:rPr>
        <w:t>加快推进中西医结合。</w:t>
      </w:r>
      <w:r>
        <w:rPr>
          <w:rFonts w:hint="eastAsia" w:ascii="仿宋_GB2312" w:eastAsia="仿宋_GB2312"/>
          <w:color w:val="000000" w:themeColor="text1"/>
          <w:sz w:val="32"/>
          <w:szCs w:val="32"/>
          <w14:textFill>
            <w14:solidFill>
              <w14:schemeClr w14:val="tx1"/>
            </w14:solidFill>
          </w14:textFill>
        </w:rPr>
        <w:t>发挥中西医结合诊疗专长，</w:t>
      </w:r>
      <w:r>
        <w:rPr>
          <w:rFonts w:hint="eastAsia" w:ascii="仿宋_GB2312" w:eastAsia="仿宋_GB2312"/>
          <w:color w:val="000000" w:themeColor="text1"/>
          <w:sz w:val="32"/>
          <w14:textFill>
            <w14:solidFill>
              <w14:schemeClr w14:val="tx1"/>
            </w14:solidFill>
          </w14:textFill>
        </w:rPr>
        <w:t>以解决复杂疑难疾病临床治疗难点为核心，完善复杂疑难疾病中西医协同诊治机制，</w:t>
      </w:r>
      <w:r>
        <w:rPr>
          <w:rFonts w:hint="eastAsia" w:ascii="仿宋_GB2312" w:eastAsia="仿宋_GB2312"/>
          <w:color w:val="000000" w:themeColor="text1"/>
          <w:sz w:val="32"/>
          <w:szCs w:val="32"/>
          <w14:textFill>
            <w14:solidFill>
              <w14:schemeClr w14:val="tx1"/>
            </w14:solidFill>
          </w14:textFill>
        </w:rPr>
        <w:t>“宜中则中，宜西则西”，</w:t>
      </w:r>
      <w:r>
        <w:rPr>
          <w:rFonts w:hint="eastAsia" w:ascii="仿宋_GB2312" w:eastAsia="仿宋_GB2312"/>
          <w:color w:val="000000" w:themeColor="text1"/>
          <w:sz w:val="32"/>
          <w14:textFill>
            <w14:solidFill>
              <w14:schemeClr w14:val="tx1"/>
            </w14:solidFill>
          </w14:textFill>
        </w:rPr>
        <w:t>将中医纳入多学科诊疗体系，打造中西医结合团队。</w:t>
      </w:r>
      <w:r>
        <w:rPr>
          <w:rFonts w:hint="eastAsia" w:ascii="仿宋_GB2312" w:eastAsia="仿宋_GB2312"/>
          <w:color w:val="000000" w:themeColor="text1"/>
          <w:sz w:val="32"/>
          <w:szCs w:val="32"/>
          <w14:textFill>
            <w14:solidFill>
              <w14:schemeClr w14:val="tx1"/>
            </w14:solidFill>
          </w14:textFill>
        </w:rPr>
        <w:t>在综合医院、专科医院逐步</w:t>
      </w:r>
      <w:r>
        <w:rPr>
          <w:rFonts w:hint="eastAsia" w:ascii="仿宋_GB2312" w:eastAsia="仿宋_GB2312"/>
          <w:color w:val="000000" w:themeColor="text1"/>
          <w:sz w:val="32"/>
          <w14:textFill>
            <w14:solidFill>
              <w14:schemeClr w14:val="tx1"/>
            </w14:solidFill>
          </w14:textFill>
        </w:rPr>
        <w:t>推广中西医结合诊疗模式，实施“西学中”和“护学中”专项。对医院临床医师开展中医药专业知识轮训，加强住院医师规范化培训基地中医药科室建设，增加中医药知识技能培训。鼓励中西医相互学习，发展壮大中西医结合队伍。</w:t>
      </w:r>
    </w:p>
    <w:tbl>
      <w:tblPr>
        <w:tblStyle w:val="10"/>
        <w:tblW w:w="90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9071" w:type="dxa"/>
            <w:vAlign w:val="center"/>
          </w:tcPr>
          <w:p>
            <w:pPr>
              <w:pStyle w:val="5"/>
              <w:spacing w:line="400" w:lineRule="exact"/>
              <w:jc w:val="center"/>
              <w:rPr>
                <w:rFonts w:ascii="Times New Roman" w:hAnsi="Times New Roman"/>
                <w:color w:val="000000" w:themeColor="text1"/>
                <w:sz w:val="24"/>
                <w:szCs w:val="24"/>
                <w14:textFill>
                  <w14:solidFill>
                    <w14:schemeClr w14:val="tx1"/>
                  </w14:solidFill>
                </w14:textFill>
              </w:rPr>
            </w:pPr>
            <w:bookmarkStart w:id="1" w:name="_Toc69128737"/>
            <w:r>
              <w:rPr>
                <w:rFonts w:ascii="Times New Roman" w:hAnsi="Times New Roman"/>
                <w:color w:val="000000" w:themeColor="text1"/>
                <w:sz w:val="24"/>
                <w:szCs w:val="24"/>
                <w14:textFill>
                  <w14:solidFill>
                    <w14:schemeClr w14:val="tx1"/>
                  </w14:solidFill>
                </w14:textFill>
              </w:rPr>
              <w:t>专栏</w:t>
            </w:r>
            <w:bookmarkEnd w:id="1"/>
            <w:r>
              <w:rPr>
                <w:rFonts w:ascii="Times New Roman" w:hAnsi="Times New Roman"/>
                <w:color w:val="000000" w:themeColor="text1"/>
                <w:sz w:val="24"/>
                <w:szCs w:val="24"/>
                <w14:textFill>
                  <w14:solidFill>
                    <w14:schemeClr w14:val="tx1"/>
                  </w14:solidFill>
                </w14:textFill>
              </w:rPr>
              <w:t>3 中西医结合促进工程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43" w:hRule="atLeast"/>
          <w:jc w:val="center"/>
        </w:trPr>
        <w:tc>
          <w:tcPr>
            <w:tcW w:w="9071" w:type="dxa"/>
            <w:vAlign w:val="center"/>
          </w:tcPr>
          <w:p>
            <w:pPr>
              <w:adjustRightInd w:val="0"/>
              <w:snapToGrid w:val="0"/>
              <w:spacing w:line="400" w:lineRule="exact"/>
              <w:ind w:firstLine="480" w:firstLineChars="200"/>
              <w:rPr>
                <w:rFonts w:ascii="仿宋_GB2312" w:eastAsia="仿宋_GB2312"/>
                <w:b/>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推动综合（专科）医院中西医结合诊疗体系建设，建立综合医院、专科医院中西医会诊制度，将中医纳入多学科会诊体系，支持中医医院、综合医院、妇幼保健机构、专科医院联合，聚焦肿瘤、心脑血管病、耐多药结核病、糖尿病、感染性疾病、老年痴呆、妇儿疾病和抗菌药物耐药问题，建设中西医临床协同基地，推广50项重大疑难疾病中西医结合诊疗技术。</w:t>
            </w:r>
          </w:p>
        </w:tc>
      </w:tr>
    </w:tbl>
    <w:p>
      <w:pPr>
        <w:tabs>
          <w:tab w:val="left" w:pos="3261"/>
        </w:tabs>
        <w:spacing w:line="579" w:lineRule="exact"/>
        <w:ind w:firstLine="643" w:firstLineChars="200"/>
        <w:rPr>
          <w:rFonts w:ascii="仿宋_GB2312" w:hAnsi="宋体" w:eastAsia="仿宋_GB2312" w:cs="宋体"/>
          <w:color w:val="000000" w:themeColor="text1"/>
          <w:sz w:val="32"/>
          <w:szCs w:val="32"/>
          <w14:textFill>
            <w14:solidFill>
              <w14:schemeClr w14:val="tx1"/>
            </w14:solidFill>
          </w14:textFill>
        </w:rPr>
      </w:pPr>
      <w:r>
        <w:rPr>
          <w:rFonts w:ascii="仿宋_GB2312" w:hAnsi="宋体" w:eastAsia="仿宋_GB2312" w:cs="宋体"/>
          <w:b/>
          <w:color w:val="000000" w:themeColor="text1"/>
          <w:sz w:val="32"/>
          <w:szCs w:val="32"/>
          <w14:textFill>
            <w14:solidFill>
              <w14:schemeClr w14:val="tx1"/>
            </w14:solidFill>
          </w14:textFill>
        </w:rPr>
        <w:t>强化中医药特色优势服务</w:t>
      </w:r>
      <w:r>
        <w:rPr>
          <w:rFonts w:hint="eastAsia" w:ascii="仿宋_GB2312" w:hAnsi="宋体" w:eastAsia="仿宋_GB2312" w:cs="宋体"/>
          <w:b/>
          <w:color w:val="000000" w:themeColor="text1"/>
          <w:sz w:val="32"/>
          <w:szCs w:val="32"/>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构建中医优势特色专科体系，大力推广应用中医优势病种诊疗方案，做优做强中医内科、呼吸科、妇科、骨伤、肛肠、儿科、皮肤科、针灸、推拿以及心脑血管病、肿瘤、肾病、脾胃病和情志病等专科专病，支持市级以上中医药重点专科牵头组建中医药专科联盟。</w:t>
      </w:r>
      <w:r>
        <w:rPr>
          <w:rFonts w:ascii="仿宋_GB2312" w:hAnsi="宋体" w:eastAsia="仿宋_GB2312" w:cs="宋体"/>
          <w:color w:val="000000" w:themeColor="text1"/>
          <w:sz w:val="32"/>
          <w:szCs w:val="32"/>
          <w14:textFill>
            <w14:solidFill>
              <w14:schemeClr w14:val="tx1"/>
            </w14:solidFill>
          </w14:textFill>
        </w:rPr>
        <w:t>加强中医康复中心和中医特色的康复医院建设，发挥中医康复特色优势，</w:t>
      </w:r>
      <w:r>
        <w:rPr>
          <w:rFonts w:hint="eastAsia" w:ascii="仿宋_GB2312" w:hAnsi="宋体" w:eastAsia="仿宋_GB2312" w:cs="宋体"/>
          <w:color w:val="000000" w:themeColor="text1"/>
          <w:sz w:val="32"/>
          <w:szCs w:val="32"/>
          <w14:textFill>
            <w14:solidFill>
              <w14:schemeClr w14:val="tx1"/>
            </w14:solidFill>
          </w14:textFill>
        </w:rPr>
        <w:t>提升</w:t>
      </w:r>
      <w:r>
        <w:rPr>
          <w:rFonts w:ascii="仿宋_GB2312" w:hAnsi="宋体" w:eastAsia="仿宋_GB2312" w:cs="宋体"/>
          <w:color w:val="000000" w:themeColor="text1"/>
          <w:sz w:val="32"/>
          <w:szCs w:val="32"/>
          <w14:textFill>
            <w14:solidFill>
              <w14:schemeClr w14:val="tx1"/>
            </w14:solidFill>
          </w14:textFill>
        </w:rPr>
        <w:t>基层医疗卫生机构</w:t>
      </w:r>
      <w:r>
        <w:rPr>
          <w:rFonts w:hint="eastAsia" w:ascii="仿宋_GB2312" w:hAnsi="宋体" w:eastAsia="仿宋_GB2312" w:cs="宋体"/>
          <w:color w:val="000000" w:themeColor="text1"/>
          <w:sz w:val="32"/>
          <w:szCs w:val="32"/>
          <w14:textFill>
            <w14:solidFill>
              <w14:schemeClr w14:val="tx1"/>
            </w14:solidFill>
          </w14:textFill>
        </w:rPr>
        <w:t>中医</w:t>
      </w:r>
      <w:r>
        <w:rPr>
          <w:rFonts w:ascii="仿宋_GB2312" w:hAnsi="宋体" w:eastAsia="仿宋_GB2312" w:cs="宋体"/>
          <w:color w:val="000000" w:themeColor="text1"/>
          <w:sz w:val="32"/>
          <w:szCs w:val="32"/>
          <w14:textFill>
            <w14:solidFill>
              <w14:schemeClr w14:val="tx1"/>
            </w14:solidFill>
          </w14:textFill>
        </w:rPr>
        <w:t>康复服务</w:t>
      </w:r>
      <w:r>
        <w:rPr>
          <w:rFonts w:hint="eastAsia" w:ascii="仿宋_GB2312" w:hAnsi="宋体" w:eastAsia="仿宋_GB2312" w:cs="宋体"/>
          <w:color w:val="000000" w:themeColor="text1"/>
          <w:sz w:val="32"/>
          <w:szCs w:val="32"/>
          <w14:textFill>
            <w14:solidFill>
              <w14:schemeClr w14:val="tx1"/>
            </w14:solidFill>
          </w14:textFill>
        </w:rPr>
        <w:t>能力</w:t>
      </w:r>
      <w:r>
        <w:rPr>
          <w:rFonts w:ascii="仿宋_GB2312" w:hAnsi="宋体" w:eastAsia="仿宋_GB2312" w:cs="宋体"/>
          <w:color w:val="000000" w:themeColor="text1"/>
          <w:sz w:val="32"/>
          <w:szCs w:val="32"/>
          <w14:textFill>
            <w14:solidFill>
              <w14:schemeClr w14:val="tx1"/>
            </w14:solidFill>
          </w14:textFill>
        </w:rPr>
        <w:t>，夯实中医药康复服务基础。</w:t>
      </w:r>
      <w:r>
        <w:rPr>
          <w:rFonts w:hint="eastAsia" w:ascii="仿宋_GB2312" w:hAnsi="宋体" w:eastAsia="仿宋_GB2312" w:cs="宋体"/>
          <w:color w:val="000000" w:themeColor="text1"/>
          <w:sz w:val="32"/>
          <w:szCs w:val="32"/>
          <w14:textFill>
            <w14:solidFill>
              <w14:schemeClr w14:val="tx1"/>
            </w14:solidFill>
          </w14:textFill>
        </w:rPr>
        <w:t>把中医“治未病”的理念体现到诊疗服务全过程，围绕中医预防保健服务的特点优化科室设置、诊疗流程和诊疗行为，探索行之有效的中医预防保健服务模式。加快在县域范围内形成中医预防保健（治未病）服务体系，</w:t>
      </w:r>
      <w:r>
        <w:rPr>
          <w:rFonts w:ascii="仿宋_GB2312" w:hAnsi="宋体" w:eastAsia="仿宋_GB2312" w:cs="宋体"/>
          <w:color w:val="000000" w:themeColor="text1"/>
          <w:sz w:val="32"/>
          <w:szCs w:val="32"/>
          <w14:textFill>
            <w14:solidFill>
              <w14:schemeClr w14:val="tx1"/>
            </w14:solidFill>
          </w14:textFill>
        </w:rPr>
        <w:t>实现家庭医生团队中医服务全覆盖。</w:t>
      </w:r>
    </w:p>
    <w:tbl>
      <w:tblPr>
        <w:tblStyle w:val="10"/>
        <w:tblW w:w="90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71" w:type="dxa"/>
            <w:vAlign w:val="center"/>
          </w:tcPr>
          <w:p>
            <w:pPr>
              <w:pStyle w:val="5"/>
              <w:adjustRightInd w:val="0"/>
              <w:snapToGrid w:val="0"/>
              <w:spacing w:line="400" w:lineRule="exact"/>
              <w:jc w:val="center"/>
              <w:rPr>
                <w:rFonts w:ascii="Times New Roman" w:hAnsi="Times New Roman"/>
                <w:color w:val="000000" w:themeColor="text1"/>
                <w:sz w:val="24"/>
                <w:szCs w:val="24"/>
                <w14:textFill>
                  <w14:solidFill>
                    <w14:schemeClr w14:val="tx1"/>
                  </w14:solidFill>
                </w14:textFill>
              </w:rPr>
            </w:pPr>
            <w:bookmarkStart w:id="2" w:name="_Toc69128740"/>
            <w:r>
              <w:rPr>
                <w:rFonts w:ascii="Times New Roman" w:hAnsi="Times New Roman"/>
                <w:color w:val="000000" w:themeColor="text1"/>
                <w:sz w:val="24"/>
                <w:szCs w:val="24"/>
                <w14:textFill>
                  <w14:solidFill>
                    <w14:schemeClr w14:val="tx1"/>
                  </w14:solidFill>
                </w14:textFill>
              </w:rPr>
              <w:t xml:space="preserve">专栏4 </w:t>
            </w:r>
            <w:r>
              <w:rPr>
                <w:rFonts w:hint="eastAsia" w:ascii="Times New Roman" w:hAnsi="Times New Roman"/>
                <w:color w:val="000000" w:themeColor="text1"/>
                <w:sz w:val="24"/>
                <w:szCs w:val="24"/>
                <w14:textFill>
                  <w14:solidFill>
                    <w14:schemeClr w14:val="tx1"/>
                  </w14:solidFill>
                </w14:textFill>
              </w:rPr>
              <w:t>中医</w:t>
            </w:r>
            <w:bookmarkEnd w:id="2"/>
            <w:r>
              <w:rPr>
                <w:rFonts w:hint="eastAsia" w:ascii="Times New Roman" w:hAnsi="Times New Roman"/>
                <w:color w:val="000000" w:themeColor="text1"/>
                <w:sz w:val="24"/>
                <w:szCs w:val="24"/>
                <w14:textFill>
                  <w14:solidFill>
                    <w14:schemeClr w14:val="tx1"/>
                  </w14:solidFill>
                </w14:textFill>
              </w:rPr>
              <w:t>要特色优势服务能力提升工程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3" w:hRule="atLeast"/>
          <w:jc w:val="center"/>
        </w:trPr>
        <w:tc>
          <w:tcPr>
            <w:tcW w:w="9071" w:type="dxa"/>
            <w:vAlign w:val="center"/>
          </w:tcPr>
          <w:p>
            <w:pPr>
              <w:adjustRightInd w:val="0"/>
              <w:snapToGrid w:val="0"/>
              <w:spacing w:line="360" w:lineRule="exact"/>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1.新增市级及以上中医重点学科、重点专科20个以上，推广50个优势病种中医诊疗方案。</w:t>
            </w:r>
          </w:p>
          <w:p>
            <w:pPr>
              <w:adjustRightInd w:val="0"/>
              <w:snapToGrid w:val="0"/>
              <w:spacing w:line="360" w:lineRule="exact"/>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2.丽水市中医院康复科建成区域中医康复中心，100%县级中医院设置中医康复科，100%的社区卫生服务中心和乡镇卫生院均能提供中医药康复服务。</w:t>
            </w:r>
          </w:p>
          <w:p>
            <w:pPr>
              <w:adjustRightInd w:val="0"/>
              <w:snapToGrid w:val="0"/>
              <w:spacing w:line="360" w:lineRule="exact"/>
              <w:ind w:firstLine="480" w:firstLineChars="200"/>
              <w:rPr>
                <w:b/>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3.丰富基本公共卫生服务项目中医预防保健（治未病）内容，培育推广20项中医药预防保健（治未病）干预方案。</w:t>
            </w:r>
          </w:p>
        </w:tc>
      </w:tr>
    </w:tbl>
    <w:p>
      <w:pPr>
        <w:tabs>
          <w:tab w:val="left" w:pos="3261"/>
        </w:tabs>
        <w:spacing w:line="579" w:lineRule="exact"/>
        <w:ind w:firstLine="643" w:firstLineChars="200"/>
        <w:rPr>
          <w:rFonts w:ascii="仿宋_GB2312" w:hAnsi="宋体" w:eastAsia="仿宋_GB2312" w:cs="宋体"/>
          <w:color w:val="0000FF"/>
          <w:sz w:val="32"/>
          <w:szCs w:val="32"/>
        </w:rPr>
      </w:pPr>
      <w:r>
        <w:rPr>
          <w:rFonts w:hint="eastAsia" w:ascii="仿宋_GB2312" w:eastAsia="仿宋_GB2312"/>
          <w:b/>
          <w:color w:val="000000" w:themeColor="text1"/>
          <w:kern w:val="0"/>
          <w:sz w:val="32"/>
          <w:szCs w:val="32"/>
          <w14:textFill>
            <w14:solidFill>
              <w14:schemeClr w14:val="tx1"/>
            </w14:solidFill>
          </w14:textFill>
        </w:rPr>
        <w:t>3</w:t>
      </w:r>
      <w:r>
        <w:rPr>
          <w:rFonts w:ascii="仿宋_GB2312" w:eastAsia="仿宋_GB2312"/>
          <w:b/>
          <w:color w:val="000000" w:themeColor="text1"/>
          <w:kern w:val="0"/>
          <w:sz w:val="32"/>
          <w:szCs w:val="32"/>
          <w14:textFill>
            <w14:solidFill>
              <w14:schemeClr w14:val="tx1"/>
            </w14:solidFill>
          </w14:textFill>
        </w:rPr>
        <w:t>.</w:t>
      </w:r>
      <w:r>
        <w:rPr>
          <w:rFonts w:hint="eastAsia" w:ascii="仿宋_GB2312" w:eastAsia="仿宋_GB2312"/>
          <w:b/>
          <w:color w:val="000000" w:themeColor="text1"/>
          <w:kern w:val="0"/>
          <w:sz w:val="32"/>
          <w:szCs w:val="32"/>
          <w14:textFill>
            <w14:solidFill>
              <w14:schemeClr w14:val="tx1"/>
            </w14:solidFill>
          </w14:textFill>
        </w:rPr>
        <w:t>构建区域中医药应急防治体系。</w:t>
      </w:r>
      <w:r>
        <w:rPr>
          <w:rFonts w:hint="eastAsia" w:ascii="仿宋_GB2312" w:eastAsia="仿宋_GB2312"/>
          <w:color w:val="000000" w:themeColor="text1"/>
          <w:kern w:val="0"/>
          <w:sz w:val="32"/>
          <w:szCs w:val="32"/>
          <w14:textFill>
            <w14:solidFill>
              <w14:schemeClr w14:val="tx1"/>
            </w14:solidFill>
          </w14:textFill>
        </w:rPr>
        <w:t>建立健全中医药分级分层疫病防治、应急响应和应急指挥机制，</w:t>
      </w:r>
      <w:r>
        <w:rPr>
          <w:rFonts w:hint="eastAsia" w:ascii="仿宋_GB2312" w:eastAsia="仿宋_GB2312"/>
          <w:color w:val="000000" w:themeColor="text1"/>
          <w:sz w:val="32"/>
          <w:szCs w:val="32"/>
          <w14:textFill>
            <w14:solidFill>
              <w14:schemeClr w14:val="tx1"/>
            </w14:solidFill>
          </w14:textFill>
        </w:rPr>
        <w:t>完善中医药“关口前移、深度介入、全程参与”的重大疫情救治制度。</w:t>
      </w:r>
      <w:r>
        <w:rPr>
          <w:rFonts w:hint="eastAsia" w:ascii="仿宋_GB2312" w:hAnsi="宋体" w:eastAsia="仿宋_GB2312" w:cs="宋体"/>
          <w:color w:val="000000" w:themeColor="text1"/>
          <w:sz w:val="32"/>
          <w:szCs w:val="32"/>
          <w14:textFill>
            <w14:solidFill>
              <w14:schemeClr w14:val="tx1"/>
            </w14:solidFill>
          </w14:textFill>
        </w:rPr>
        <w:t>开展中医药疫病防治体系建设，依托丽水市中医院建设中医疫病防治中心（基地），支持有条件的县（市）建设中医药疫病防治分中心（基地）、疫病病区。加强市中医院省级结核病定点医院建设，支持丽水市结核病临床研究中心建设。二级以上公立中医医院规范设置发热门诊和预检分诊点。加强市县两级中医疫病防治队伍和中医紧急救援队建设，充分发挥中医药在呼吸道等新发突发传染病防和突发公共卫生事件应急处置中的作用。</w:t>
      </w:r>
    </w:p>
    <w:tbl>
      <w:tblPr>
        <w:tblStyle w:val="10"/>
        <w:tblW w:w="90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7" w:hRule="atLeast"/>
          <w:jc w:val="center"/>
        </w:trPr>
        <w:tc>
          <w:tcPr>
            <w:tcW w:w="9071" w:type="dxa"/>
          </w:tcPr>
          <w:p>
            <w:pPr>
              <w:pStyle w:val="5"/>
              <w:spacing w:line="360" w:lineRule="exact"/>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专栏5 中医药应急体系</w:t>
            </w:r>
            <w:r>
              <w:rPr>
                <w:rFonts w:hint="eastAsia" w:ascii="Times New Roman" w:hAnsi="Times New Roman"/>
                <w:color w:val="000000" w:themeColor="text1"/>
                <w:sz w:val="24"/>
                <w:szCs w:val="24"/>
                <w14:textFill>
                  <w14:solidFill>
                    <w14:schemeClr w14:val="tx1"/>
                  </w14:solidFill>
                </w14:textFill>
              </w:rPr>
              <w:t>建设工程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6" w:hRule="atLeast"/>
          <w:jc w:val="center"/>
        </w:trPr>
        <w:tc>
          <w:tcPr>
            <w:tcW w:w="9071" w:type="dxa"/>
            <w:vAlign w:val="center"/>
          </w:tcPr>
          <w:p>
            <w:pPr>
              <w:overflowPunct w:val="0"/>
              <w:spacing w:line="400" w:lineRule="exact"/>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中医疫病中心（基地）建设。依托丽水市中医院建设中医疫病防治中心（基地），支持有条件的县（市）建设中医药疫病防治分中心（基地）、疫病病区。加强肺病科、急诊科、重症医学科、感染科等学科建设，配置符合生物安全二级以上标准的临床检验实验室，按照相应要求建设相应病房和病区，并配置基本设备装备。</w:t>
            </w:r>
          </w:p>
          <w:p>
            <w:pPr>
              <w:overflowPunct w:val="0"/>
              <w:spacing w:line="400" w:lineRule="exact"/>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2.中医疫病防治队伍建设。提升卫生应急技术装备水平、医学防治理论技术方法和现代医学技术培训和演练，打造一流的中医疫病防治队伍。</w:t>
            </w:r>
          </w:p>
          <w:p>
            <w:pPr>
              <w:adjustRightInd w:val="0"/>
              <w:snapToGrid w:val="0"/>
              <w:spacing w:line="400" w:lineRule="exact"/>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3.公共卫生防控救治能力建设。支持二级以上中医医院发热门诊规范化建设，加强纳入传染病定点收治医院的中医院基础设施建设和设备升级，争取1-2个省级中医医院公共卫生防控救治能力建设项目。</w:t>
            </w:r>
          </w:p>
        </w:tc>
      </w:tr>
    </w:tbl>
    <w:p>
      <w:pPr>
        <w:tabs>
          <w:tab w:val="left" w:pos="3261"/>
        </w:tabs>
        <w:spacing w:line="579" w:lineRule="exact"/>
        <w:ind w:firstLine="643"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4</w:t>
      </w:r>
      <w:r>
        <w:rPr>
          <w:rFonts w:ascii="仿宋_GB2312" w:hAnsi="宋体" w:eastAsia="仿宋_GB2312" w:cs="宋体"/>
          <w:b/>
          <w:color w:val="000000" w:themeColor="text1"/>
          <w:sz w:val="32"/>
          <w:szCs w:val="32"/>
          <w14:textFill>
            <w14:solidFill>
              <w14:schemeClr w14:val="tx1"/>
            </w14:solidFill>
          </w14:textFill>
        </w:rPr>
        <w:t>.推进社会办中医高质量发展。</w:t>
      </w:r>
      <w:r>
        <w:rPr>
          <w:rFonts w:ascii="仿宋_GB2312" w:hAnsi="宋体" w:eastAsia="仿宋_GB2312" w:cs="宋体"/>
          <w:color w:val="000000" w:themeColor="text1"/>
          <w:sz w:val="32"/>
          <w:szCs w:val="32"/>
          <w14:textFill>
            <w14:solidFill>
              <w14:schemeClr w14:val="tx1"/>
            </w14:solidFill>
          </w14:textFill>
        </w:rPr>
        <w:t>鼓励社会力量举办骨伤等中医专科医院，发展中医特色的康复</w:t>
      </w:r>
      <w:r>
        <w:rPr>
          <w:rFonts w:hint="eastAsia" w:ascii="仿宋_GB2312" w:hAnsi="宋体" w:eastAsia="仿宋_GB2312" w:cs="宋体"/>
          <w:color w:val="000000" w:themeColor="text1"/>
          <w:sz w:val="32"/>
          <w:szCs w:val="32"/>
          <w14:textFill>
            <w14:solidFill>
              <w14:schemeClr w14:val="tx1"/>
            </w14:solidFill>
          </w14:textFill>
        </w:rPr>
        <w:t>、</w:t>
      </w:r>
      <w:r>
        <w:rPr>
          <w:rFonts w:ascii="仿宋_GB2312" w:hAnsi="宋体" w:eastAsia="仿宋_GB2312" w:cs="宋体"/>
          <w:color w:val="000000" w:themeColor="text1"/>
          <w:sz w:val="32"/>
          <w:szCs w:val="32"/>
          <w14:textFill>
            <w14:solidFill>
              <w14:schemeClr w14:val="tx1"/>
            </w14:solidFill>
          </w14:textFill>
        </w:rPr>
        <w:t>护理等医院，支持提供中医特色的老年人居家医疗</w:t>
      </w:r>
      <w:r>
        <w:rPr>
          <w:rFonts w:hint="eastAsia" w:ascii="仿宋_GB2312" w:hAnsi="宋体" w:eastAsia="仿宋_GB2312" w:cs="宋体"/>
          <w:color w:val="000000" w:themeColor="text1"/>
          <w:sz w:val="32"/>
          <w:szCs w:val="32"/>
          <w14:textFill>
            <w14:solidFill>
              <w14:schemeClr w14:val="tx1"/>
            </w14:solidFill>
          </w14:textFill>
        </w:rPr>
        <w:t>及康养</w:t>
      </w:r>
      <w:r>
        <w:rPr>
          <w:rFonts w:ascii="仿宋_GB2312" w:hAnsi="宋体" w:eastAsia="仿宋_GB2312" w:cs="宋体"/>
          <w:color w:val="000000" w:themeColor="text1"/>
          <w:sz w:val="32"/>
          <w:szCs w:val="32"/>
          <w14:textFill>
            <w14:solidFill>
              <w14:schemeClr w14:val="tx1"/>
            </w14:solidFill>
          </w14:textFill>
        </w:rPr>
        <w:t>服务，鼓励社会力量举办连锁中医医疗机构。推进公立中医医院与社会办中医医疗机构加强业务合作，开展多种形式的人才交流与技术合作。鼓励取得《中医（专长）医师资格证书》的人员在基层开办中医诊所，鼓励公立中医医疗机构聘请其在相应岗位执业。加强社会办中医医疗机构的</w:t>
      </w:r>
      <w:r>
        <w:rPr>
          <w:rFonts w:hint="eastAsia" w:ascii="仿宋_GB2312" w:hAnsi="宋体" w:eastAsia="仿宋_GB2312" w:cs="宋体"/>
          <w:color w:val="000000" w:themeColor="text1"/>
          <w:sz w:val="32"/>
          <w:szCs w:val="32"/>
          <w14:textFill>
            <w14:solidFill>
              <w14:schemeClr w14:val="tx1"/>
            </w14:solidFill>
          </w14:textFill>
        </w:rPr>
        <w:t>全程</w:t>
      </w:r>
      <w:r>
        <w:rPr>
          <w:rFonts w:ascii="仿宋_GB2312" w:hAnsi="宋体" w:eastAsia="仿宋_GB2312" w:cs="宋体"/>
          <w:color w:val="000000" w:themeColor="text1"/>
          <w:sz w:val="32"/>
          <w:szCs w:val="32"/>
          <w14:textFill>
            <w14:solidFill>
              <w14:schemeClr w14:val="tx1"/>
            </w14:solidFill>
          </w14:textFill>
        </w:rPr>
        <w:t>监管，规范诊疗行为</w:t>
      </w:r>
      <w:r>
        <w:rPr>
          <w:rFonts w:hint="eastAsia" w:ascii="仿宋_GB2312" w:hAnsi="宋体" w:eastAsia="仿宋_GB2312" w:cs="宋体"/>
          <w:color w:val="000000" w:themeColor="text1"/>
          <w:sz w:val="32"/>
          <w:szCs w:val="32"/>
          <w14:textFill>
            <w14:solidFill>
              <w14:schemeClr w14:val="tx1"/>
            </w14:solidFill>
          </w14:textFill>
        </w:rPr>
        <w:t>，</w:t>
      </w:r>
      <w:r>
        <w:rPr>
          <w:rFonts w:ascii="仿宋_GB2312" w:hAnsi="宋体" w:eastAsia="仿宋_GB2312" w:cs="宋体"/>
          <w:color w:val="000000" w:themeColor="text1"/>
          <w:sz w:val="32"/>
          <w:szCs w:val="32"/>
          <w14:textFill>
            <w14:solidFill>
              <w14:schemeClr w14:val="tx1"/>
            </w14:solidFill>
          </w14:textFill>
        </w:rPr>
        <w:t>提升服务品质。</w:t>
      </w:r>
    </w:p>
    <w:p>
      <w:pPr>
        <w:overflowPunct w:val="0"/>
        <w:spacing w:line="560" w:lineRule="exact"/>
        <w:ind w:firstLine="643" w:firstLineChars="200"/>
        <w:rPr>
          <w:rFonts w:ascii="仿宋_GB2312" w:hAnsi="宋体" w:eastAsia="仿宋_GB2312" w:cs="宋体"/>
          <w:b/>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（二）倾力加强中医药人才队伍建设</w:t>
      </w:r>
    </w:p>
    <w:p>
      <w:pPr>
        <w:tabs>
          <w:tab w:val="left" w:pos="3261"/>
        </w:tabs>
        <w:spacing w:line="560" w:lineRule="exact"/>
        <w:ind w:firstLine="643"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1</w:t>
      </w:r>
      <w:r>
        <w:rPr>
          <w:rFonts w:ascii="仿宋_GB2312" w:hAnsi="宋体" w:eastAsia="仿宋_GB2312" w:cs="宋体"/>
          <w:b/>
          <w:color w:val="000000" w:themeColor="text1"/>
          <w:sz w:val="32"/>
          <w:szCs w:val="32"/>
          <w14:textFill>
            <w14:solidFill>
              <w14:schemeClr w14:val="tx1"/>
            </w14:solidFill>
          </w14:textFill>
        </w:rPr>
        <w:t>.加大中医药特色人才引育。</w:t>
      </w:r>
      <w:r>
        <w:rPr>
          <w:rFonts w:hint="eastAsia" w:ascii="仿宋_GB2312" w:hAnsi="仿宋_GB2312" w:eastAsia="仿宋_GB2312" w:cs="仿宋_GB2312"/>
          <w:color w:val="000000" w:themeColor="text1"/>
          <w:sz w:val="32"/>
          <w:szCs w:val="32"/>
          <w14:textFill>
            <w14:solidFill>
              <w14:schemeClr w14:val="tx1"/>
            </w14:solidFill>
          </w14:textFill>
        </w:rPr>
        <w:t>贯彻浙江省人民政府《关于加快医学教育创新发展的指导意见》，支持丽水学院开设中医康复、中药学、中医护理学等专业。支持丽水市中医院等中医医疗机构柔性引进院士、国医大师、全国名中医、省级名中医等高层次人才建立工作站（室），</w:t>
      </w:r>
      <w:r>
        <w:rPr>
          <w:rFonts w:ascii="仿宋_GB2312" w:hAnsi="宋体" w:eastAsia="仿宋_GB2312" w:cs="宋体"/>
          <w:color w:val="000000" w:themeColor="text1"/>
          <w:sz w:val="32"/>
          <w:szCs w:val="32"/>
          <w14:textFill>
            <w14:solidFill>
              <w14:schemeClr w14:val="tx1"/>
            </w14:solidFill>
          </w14:textFill>
        </w:rPr>
        <w:t>培养高水平中医临床和中医药创新型领军人才</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加强</w:t>
      </w:r>
      <w:r>
        <w:rPr>
          <w:rFonts w:ascii="仿宋_GB2312" w:hAnsi="宋体" w:eastAsia="仿宋_GB2312" w:cs="宋体"/>
          <w:color w:val="000000" w:themeColor="text1"/>
          <w:sz w:val="32"/>
          <w:szCs w:val="32"/>
          <w14:textFill>
            <w14:solidFill>
              <w14:schemeClr w14:val="tx1"/>
            </w14:solidFill>
          </w14:textFill>
        </w:rPr>
        <w:t>中医药学术技术带头人、中青年技术骨干和传承人选拔和培养，</w:t>
      </w:r>
      <w:r>
        <w:rPr>
          <w:rFonts w:hint="eastAsia" w:ascii="仿宋_GB2312" w:hAnsi="宋体" w:eastAsia="仿宋_GB2312" w:cs="宋体"/>
          <w:color w:val="000000" w:themeColor="text1"/>
          <w:sz w:val="32"/>
          <w:szCs w:val="32"/>
          <w14:textFill>
            <w14:solidFill>
              <w14:schemeClr w14:val="tx1"/>
            </w14:solidFill>
          </w14:textFill>
        </w:rPr>
        <w:t>实施“西学中”“护学中”等复合型人才培养项目。鼓励名老中医药专家通过师承模式，培养多层次的中医药传承型人才。支持中药炮制等人才培养，推进中医药传统技能代际传承。加强中医康养人才培养力度，推进“中医+”复合型人才培养改革。</w:t>
      </w:r>
    </w:p>
    <w:p>
      <w:pPr>
        <w:tabs>
          <w:tab w:val="left" w:pos="3261"/>
        </w:tabs>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2.强化基层中医药人才队伍。</w:t>
      </w:r>
      <w:r>
        <w:rPr>
          <w:rFonts w:ascii="仿宋_GB2312" w:hAnsi="仿宋_GB2312" w:eastAsia="仿宋_GB2312" w:cs="仿宋_GB2312"/>
          <w:color w:val="000000" w:themeColor="text1"/>
          <w:sz w:val="32"/>
          <w:szCs w:val="32"/>
          <w14:textFill>
            <w14:solidFill>
              <w14:schemeClr w14:val="tx1"/>
            </w14:solidFill>
          </w14:textFill>
        </w:rPr>
        <w:t>加大中医全科医师培养力度，</w:t>
      </w:r>
      <w:r>
        <w:rPr>
          <w:rFonts w:hint="eastAsia" w:ascii="仿宋_GB2312" w:hAnsi="仿宋_GB2312" w:eastAsia="仿宋_GB2312" w:cs="仿宋_GB2312"/>
          <w:color w:val="000000" w:themeColor="text1"/>
          <w:sz w:val="32"/>
          <w:szCs w:val="32"/>
          <w14:textFill>
            <w14:solidFill>
              <w14:schemeClr w14:val="tx1"/>
            </w14:solidFill>
          </w14:textFill>
        </w:rPr>
        <w:t>建立健全吸引和稳定基层中医药人才的长效激励机制。</w:t>
      </w:r>
      <w:r>
        <w:rPr>
          <w:rFonts w:ascii="仿宋_GB2312" w:hAnsi="仿宋_GB2312" w:eastAsia="仿宋_GB2312" w:cs="仿宋_GB2312"/>
          <w:color w:val="000000" w:themeColor="text1"/>
          <w:sz w:val="32"/>
          <w:szCs w:val="32"/>
          <w14:textFill>
            <w14:solidFill>
              <w14:schemeClr w14:val="tx1"/>
            </w14:solidFill>
          </w14:textFill>
        </w:rPr>
        <w:t>依托中医医院，通过专科专病进修、专题研修等多种途径，培养基层中医药骨干人才，建立一支专业理论扎实和临床实践丰富的基层中医药人才队伍。开展基层在职在岗卫生技术人员中医药知识与技能培训。继续实施中医药人才订单培养，</w:t>
      </w:r>
      <w:r>
        <w:rPr>
          <w:rFonts w:hint="eastAsia" w:ascii="仿宋_GB2312" w:hAnsi="宋体" w:eastAsia="仿宋_GB2312" w:cs="宋体"/>
          <w:color w:val="000000" w:themeColor="text1"/>
          <w:sz w:val="32"/>
          <w:szCs w:val="32"/>
          <w14:textFill>
            <w14:solidFill>
              <w14:schemeClr w14:val="tx1"/>
            </w14:solidFill>
          </w14:textFill>
        </w:rPr>
        <w:t>探索以中医师承模式定向培养基层卫生人才。</w:t>
      </w:r>
      <w:r>
        <w:rPr>
          <w:rFonts w:ascii="仿宋_GB2312" w:hAnsi="仿宋_GB2312" w:eastAsia="仿宋_GB2312" w:cs="仿宋_GB2312"/>
          <w:color w:val="000000" w:themeColor="text1"/>
          <w:sz w:val="32"/>
          <w:szCs w:val="32"/>
          <w14:textFill>
            <w14:solidFill>
              <w14:schemeClr w14:val="tx1"/>
            </w14:solidFill>
          </w14:textFill>
        </w:rPr>
        <w:t>加强基层名老中医药专家传承工作室建设，以师承方式培养基层实用型人才。</w:t>
      </w:r>
      <w:r>
        <w:rPr>
          <w:rFonts w:hint="eastAsia" w:ascii="仿宋_GB2312" w:hAnsi="仿宋_GB2312" w:eastAsia="仿宋_GB2312" w:cs="仿宋_GB2312"/>
          <w:color w:val="000000" w:themeColor="text1"/>
          <w:sz w:val="32"/>
          <w:szCs w:val="32"/>
          <w14:textFill>
            <w14:solidFill>
              <w14:schemeClr w14:val="tx1"/>
            </w14:solidFill>
          </w14:textFill>
        </w:rPr>
        <w:t>支持丽水市中医院加强</w:t>
      </w:r>
      <w:r>
        <w:rPr>
          <w:rFonts w:hint="eastAsia" w:ascii="仿宋_GB2312" w:eastAsia="仿宋_GB2312"/>
          <w:color w:val="000000" w:themeColor="text1"/>
          <w:sz w:val="32"/>
          <w:szCs w:val="32"/>
          <w14:textFill>
            <w14:solidFill>
              <w14:schemeClr w14:val="tx1"/>
            </w14:solidFill>
          </w14:textFill>
        </w:rPr>
        <w:t>国家中医住院医师规范化培训基地、国家中医类别医师资格考试实践技能考试基地及全市中医人才教培基地建设。</w:t>
      </w:r>
    </w:p>
    <w:p>
      <w:pPr>
        <w:tabs>
          <w:tab w:val="left" w:pos="3261"/>
        </w:tabs>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3.健全中医药人才评价激励机制。</w:t>
      </w:r>
      <w:r>
        <w:rPr>
          <w:rFonts w:hint="eastAsia" w:ascii="仿宋_GB2312" w:hAnsi="宋体" w:eastAsia="仿宋_GB2312" w:cs="宋体"/>
          <w:bCs/>
          <w:color w:val="000000" w:themeColor="text1"/>
          <w:sz w:val="32"/>
          <w:szCs w:val="32"/>
          <w14:textFill>
            <w14:solidFill>
              <w14:schemeClr w14:val="tx1"/>
            </w14:solidFill>
          </w14:textFill>
        </w:rPr>
        <w:t>深化医疗卫生单位职称自主评聘改革，完善以业务能力、工作实绩为导向，符合中医药人才成长规律、评价特点的评聘标准。将高年资中医医师带教继承人、名老中医收徒授业作为职称晋升、职称评审、评优评先的重要依据。加快推进公立中医医疗机构薪酬制度改革，建立符合中医药行业特点的激励长效机制。加大对长期服务基层的中医医师职称晋升政策倾斜力度，放宽评审条件，逐步提高基层中医药人员薪酬待遇。按规定做好名中医评选工作，建立中医药人才激励制度。</w:t>
      </w:r>
      <w:r>
        <w:rPr>
          <w:rFonts w:hint="eastAsia" w:ascii="仿宋_GB2312" w:hAnsi="仿宋_GB2312" w:eastAsia="仿宋_GB2312" w:cs="仿宋_GB2312"/>
          <w:color w:val="000000" w:themeColor="text1"/>
          <w:sz w:val="32"/>
          <w:szCs w:val="32"/>
          <w14:textFill>
            <w14:solidFill>
              <w14:schemeClr w14:val="tx1"/>
            </w14:solidFill>
          </w14:textFill>
        </w:rPr>
        <w:t>将中医药学才能、医德医风作为中医药人才主要评价标准，将会看病、看好病作为中医医师的主要评价内容。推进师承教育与评审评价挂钩，将高年资中医医师带继承人、名老中医收徒授业等</w:t>
      </w:r>
      <w:r>
        <w:rPr>
          <w:rFonts w:ascii="仿宋_GB2312" w:hAnsi="仿宋_GB2312" w:eastAsia="仿宋_GB2312" w:cs="仿宋_GB2312"/>
          <w:color w:val="000000" w:themeColor="text1"/>
          <w:sz w:val="32"/>
          <w:szCs w:val="32"/>
          <w14:textFill>
            <w14:solidFill>
              <w14:schemeClr w14:val="tx1"/>
            </w14:solidFill>
          </w14:textFill>
        </w:rPr>
        <w:t>壮大基层中医药人才队伍。</w:t>
      </w:r>
    </w:p>
    <w:tbl>
      <w:tblPr>
        <w:tblStyle w:val="10"/>
        <w:tblW w:w="90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9071" w:type="dxa"/>
            <w:vAlign w:val="center"/>
          </w:tcPr>
          <w:p>
            <w:pPr>
              <w:pStyle w:val="5"/>
              <w:adjustRightInd w:val="0"/>
              <w:snapToGrid w:val="0"/>
              <w:spacing w:line="400" w:lineRule="exact"/>
              <w:jc w:val="center"/>
              <w:rPr>
                <w:rFonts w:ascii="Times New Roman" w:hAnsi="Times New Roman"/>
                <w:color w:val="000000" w:themeColor="text1"/>
                <w:sz w:val="24"/>
                <w:szCs w:val="28"/>
                <w14:textFill>
                  <w14:solidFill>
                    <w14:schemeClr w14:val="tx1"/>
                  </w14:solidFill>
                </w14:textFill>
              </w:rPr>
            </w:pPr>
            <w:bookmarkStart w:id="3" w:name="_Toc69128751"/>
            <w:r>
              <w:rPr>
                <w:rFonts w:ascii="Times New Roman" w:hAnsi="Times New Roman"/>
                <w:color w:val="000000" w:themeColor="text1"/>
                <w:sz w:val="24"/>
                <w:szCs w:val="28"/>
                <w14:textFill>
                  <w14:solidFill>
                    <w14:schemeClr w14:val="tx1"/>
                  </w14:solidFill>
                </w14:textFill>
              </w:rPr>
              <w:t>专栏</w:t>
            </w:r>
            <w:bookmarkEnd w:id="3"/>
            <w:r>
              <w:rPr>
                <w:rFonts w:hint="eastAsia" w:ascii="Times New Roman" w:hAnsi="Times New Roman"/>
                <w:color w:val="000000" w:themeColor="text1"/>
                <w:sz w:val="24"/>
                <w:szCs w:val="28"/>
                <w14:textFill>
                  <w14:solidFill>
                    <w14:schemeClr w14:val="tx1"/>
                  </w14:solidFill>
                </w14:textFill>
              </w:rPr>
              <w:t>6</w:t>
            </w:r>
            <w:r>
              <w:rPr>
                <w:rFonts w:ascii="Times New Roman" w:hAnsi="Times New Roman"/>
                <w:color w:val="000000" w:themeColor="text1"/>
                <w:sz w:val="24"/>
                <w:szCs w:val="28"/>
                <w14:textFill>
                  <w14:solidFill>
                    <w14:schemeClr w14:val="tx1"/>
                  </w14:solidFill>
                </w14:textFill>
              </w:rPr>
              <w:t xml:space="preserve"> </w:t>
            </w:r>
            <w:r>
              <w:rPr>
                <w:rFonts w:hint="eastAsia" w:ascii="Times New Roman" w:hAnsi="Times New Roman"/>
                <w:color w:val="000000" w:themeColor="text1"/>
                <w:sz w:val="24"/>
                <w:szCs w:val="28"/>
                <w14:textFill>
                  <w14:solidFill>
                    <w14:schemeClr w14:val="tx1"/>
                  </w14:solidFill>
                </w14:textFill>
              </w:rPr>
              <w:t>中医药</w:t>
            </w:r>
            <w:r>
              <w:rPr>
                <w:rFonts w:ascii="Times New Roman" w:hAnsi="Times New Roman"/>
                <w:color w:val="000000" w:themeColor="text1"/>
                <w:sz w:val="24"/>
                <w:szCs w:val="28"/>
                <w14:textFill>
                  <w14:solidFill>
                    <w14:schemeClr w14:val="tx1"/>
                  </w14:solidFill>
                </w14:textFill>
              </w:rPr>
              <w:t>人才引育工程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0" w:hRule="atLeast"/>
          <w:jc w:val="center"/>
        </w:trPr>
        <w:tc>
          <w:tcPr>
            <w:tcW w:w="9071" w:type="dxa"/>
            <w:vAlign w:val="center"/>
          </w:tcPr>
          <w:p>
            <w:pPr>
              <w:adjustRightInd w:val="0"/>
              <w:snapToGrid w:val="0"/>
              <w:spacing w:line="360" w:lineRule="exact"/>
              <w:ind w:firstLine="480" w:firstLineChars="200"/>
              <w:rPr>
                <w:rFonts w:ascii="仿宋_GB2312" w:eastAsia="仿宋_GB2312"/>
                <w:color w:val="000000" w:themeColor="text1"/>
                <w:sz w:val="24"/>
                <w:szCs w:val="28"/>
                <w14:textFill>
                  <w14:solidFill>
                    <w14:schemeClr w14:val="tx1"/>
                  </w14:solidFill>
                </w14:textFill>
              </w:rPr>
            </w:pPr>
            <w:r>
              <w:rPr>
                <w:rFonts w:hint="eastAsia" w:ascii="仿宋_GB2312" w:eastAsia="仿宋_GB2312"/>
                <w:color w:val="000000" w:themeColor="text1"/>
                <w:sz w:val="24"/>
                <w:szCs w:val="28"/>
                <w14:textFill>
                  <w14:solidFill>
                    <w14:schemeClr w14:val="tx1"/>
                  </w14:solidFill>
                </w14:textFill>
              </w:rPr>
              <w:t>1.中医药高层次人才引育计划。打造一批具有深厚中医药理论基础和学术经验、较高的中医药传承创新能力、掌握现代科学研究方法的中医药高层次人才队伍。到2</w:t>
            </w:r>
            <w:r>
              <w:rPr>
                <w:rFonts w:ascii="仿宋_GB2312" w:eastAsia="仿宋_GB2312"/>
                <w:color w:val="000000" w:themeColor="text1"/>
                <w:sz w:val="24"/>
                <w:szCs w:val="28"/>
                <w14:textFill>
                  <w14:solidFill>
                    <w14:schemeClr w14:val="tx1"/>
                  </w14:solidFill>
                </w14:textFill>
              </w:rPr>
              <w:t>025年</w:t>
            </w:r>
            <w:r>
              <w:rPr>
                <w:rFonts w:hint="eastAsia" w:ascii="仿宋_GB2312" w:eastAsia="仿宋_GB2312"/>
                <w:color w:val="000000" w:themeColor="text1"/>
                <w:sz w:val="24"/>
                <w:szCs w:val="28"/>
                <w14:textFill>
                  <w14:solidFill>
                    <w14:schemeClr w14:val="tx1"/>
                  </w14:solidFill>
                </w14:textFill>
              </w:rPr>
              <w:t>，引进中医药高层次人才200名，培养省市名中医25名，新建成省市名中医工作室20个。</w:t>
            </w:r>
          </w:p>
          <w:p>
            <w:pPr>
              <w:adjustRightInd w:val="0"/>
              <w:snapToGrid w:val="0"/>
              <w:spacing w:line="360" w:lineRule="exact"/>
              <w:ind w:firstLine="480" w:firstLineChars="200"/>
              <w:rPr>
                <w:rFonts w:ascii="仿宋_GB2312" w:eastAsia="仿宋_GB2312"/>
                <w:color w:val="000000" w:themeColor="text1"/>
                <w:sz w:val="24"/>
                <w:szCs w:val="28"/>
                <w14:textFill>
                  <w14:solidFill>
                    <w14:schemeClr w14:val="tx1"/>
                  </w14:solidFill>
                </w14:textFill>
              </w:rPr>
            </w:pPr>
            <w:r>
              <w:rPr>
                <w:rFonts w:hint="eastAsia" w:ascii="仿宋_GB2312" w:eastAsia="仿宋_GB2312"/>
                <w:color w:val="000000" w:themeColor="text1"/>
                <w:sz w:val="24"/>
                <w:szCs w:val="28"/>
                <w14:textFill>
                  <w14:solidFill>
                    <w14:schemeClr w14:val="tx1"/>
                  </w14:solidFill>
                </w14:textFill>
              </w:rPr>
              <w:t>2.中医医师规范化培训计划。滚动实施中医医师和中医全科医师规范化培训项目，每年培训中医医师、中医全科医师（含转岗）分别达5</w:t>
            </w:r>
            <w:r>
              <w:rPr>
                <w:rFonts w:ascii="仿宋_GB2312" w:eastAsia="仿宋_GB2312"/>
                <w:color w:val="000000" w:themeColor="text1"/>
                <w:sz w:val="24"/>
                <w:szCs w:val="28"/>
                <w14:textFill>
                  <w14:solidFill>
                    <w14:schemeClr w14:val="tx1"/>
                  </w14:solidFill>
                </w14:textFill>
              </w:rPr>
              <w:t>0</w:t>
            </w:r>
            <w:r>
              <w:rPr>
                <w:rFonts w:hint="eastAsia" w:ascii="仿宋_GB2312" w:eastAsia="仿宋_GB2312"/>
                <w:color w:val="000000" w:themeColor="text1"/>
                <w:sz w:val="24"/>
                <w:szCs w:val="28"/>
                <w14:textFill>
                  <w14:solidFill>
                    <w14:schemeClr w14:val="tx1"/>
                  </w14:solidFill>
                </w14:textFill>
              </w:rPr>
              <w:t>名、1</w:t>
            </w:r>
            <w:r>
              <w:rPr>
                <w:rFonts w:ascii="仿宋_GB2312" w:eastAsia="仿宋_GB2312"/>
                <w:color w:val="000000" w:themeColor="text1"/>
                <w:sz w:val="24"/>
                <w:szCs w:val="28"/>
                <w14:textFill>
                  <w14:solidFill>
                    <w14:schemeClr w14:val="tx1"/>
                  </w14:solidFill>
                </w14:textFill>
              </w:rPr>
              <w:t>0</w:t>
            </w:r>
            <w:r>
              <w:rPr>
                <w:rFonts w:hint="eastAsia" w:ascii="仿宋_GB2312" w:eastAsia="仿宋_GB2312"/>
                <w:color w:val="000000" w:themeColor="text1"/>
                <w:sz w:val="24"/>
                <w:szCs w:val="28"/>
                <w14:textFill>
                  <w14:solidFill>
                    <w14:schemeClr w14:val="tx1"/>
                  </w14:solidFill>
                </w14:textFill>
              </w:rPr>
              <w:t>名。</w:t>
            </w:r>
          </w:p>
          <w:p>
            <w:pPr>
              <w:adjustRightInd w:val="0"/>
              <w:snapToGrid w:val="0"/>
              <w:spacing w:line="360" w:lineRule="exact"/>
              <w:ind w:firstLine="480" w:firstLineChars="200"/>
              <w:rPr>
                <w:color w:val="000000" w:themeColor="text1"/>
                <w:sz w:val="24"/>
                <w:szCs w:val="28"/>
                <w14:textFill>
                  <w14:solidFill>
                    <w14:schemeClr w14:val="tx1"/>
                  </w14:solidFill>
                </w14:textFill>
              </w:rPr>
            </w:pPr>
            <w:r>
              <w:rPr>
                <w:rFonts w:hint="eastAsia" w:ascii="仿宋_GB2312" w:eastAsia="仿宋_GB2312"/>
                <w:color w:val="000000" w:themeColor="text1"/>
                <w:sz w:val="24"/>
                <w:szCs w:val="28"/>
                <w14:textFill>
                  <w14:solidFill>
                    <w14:schemeClr w14:val="tx1"/>
                  </w14:solidFill>
                </w14:textFill>
              </w:rPr>
              <w:t>3.基层中医药人才能力提升计划。滚动实施基层中医药人才能力提升项目，每年选</w:t>
            </w:r>
            <w:r>
              <w:rPr>
                <w:rFonts w:hint="eastAsia" w:ascii="仿宋_GB2312" w:eastAsia="仿宋_GB2312"/>
                <w:color w:val="000000" w:themeColor="text1"/>
                <w:spacing w:val="-6"/>
                <w:sz w:val="24"/>
                <w:szCs w:val="28"/>
                <w14:textFill>
                  <w14:solidFill>
                    <w14:schemeClr w14:val="tx1"/>
                  </w14:solidFill>
                </w14:textFill>
              </w:rPr>
              <w:t>派10~20名基层中医全科医生、骨干人才进修学习。</w:t>
            </w:r>
          </w:p>
        </w:tc>
      </w:tr>
    </w:tbl>
    <w:p>
      <w:pPr>
        <w:overflowPunct w:val="0"/>
        <w:spacing w:line="560" w:lineRule="exact"/>
        <w:ind w:firstLine="643" w:firstLineChars="200"/>
        <w:rPr>
          <w:rFonts w:ascii="仿宋_GB2312" w:hAnsi="宋体" w:eastAsia="仿宋_GB2312" w:cs="宋体"/>
          <w:b/>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（三）倾力推动中医药科技创新</w:t>
      </w:r>
    </w:p>
    <w:p>
      <w:pPr>
        <w:tabs>
          <w:tab w:val="left" w:pos="3261"/>
        </w:tabs>
        <w:spacing w:line="560" w:lineRule="exact"/>
        <w:ind w:firstLine="643"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1</w:t>
      </w:r>
      <w:r>
        <w:rPr>
          <w:rFonts w:ascii="仿宋_GB2312" w:hAnsi="宋体" w:eastAsia="仿宋_GB2312" w:cs="宋体"/>
          <w:b/>
          <w:color w:val="000000" w:themeColor="text1"/>
          <w:sz w:val="32"/>
          <w:szCs w:val="32"/>
          <w14:textFill>
            <w14:solidFill>
              <w14:schemeClr w14:val="tx1"/>
            </w14:solidFill>
          </w14:textFill>
        </w:rPr>
        <w:t>.</w:t>
      </w:r>
      <w:r>
        <w:rPr>
          <w:rFonts w:hint="eastAsia" w:ascii="仿宋_GB2312" w:hAnsi="宋体" w:eastAsia="仿宋_GB2312" w:cs="宋体"/>
          <w:b/>
          <w:color w:val="000000" w:themeColor="text1"/>
          <w:sz w:val="32"/>
          <w:szCs w:val="32"/>
          <w14:textFill>
            <w14:solidFill>
              <w14:schemeClr w14:val="tx1"/>
            </w14:solidFill>
          </w14:textFill>
        </w:rPr>
        <w:t>推进传统中医药现代化。</w:t>
      </w:r>
      <w:r>
        <w:rPr>
          <w:rFonts w:hint="eastAsia" w:ascii="仿宋_GB2312" w:hAnsi="宋体" w:eastAsia="仿宋_GB2312" w:cs="宋体"/>
          <w:color w:val="000000" w:themeColor="text1"/>
          <w:sz w:val="32"/>
          <w:szCs w:val="32"/>
          <w14:textFill>
            <w14:solidFill>
              <w14:schemeClr w14:val="tx1"/>
            </w14:solidFill>
          </w14:textFill>
        </w:rPr>
        <w:t>聚焦中医理论创新、服务体系重塑、适宜技术更新、诊疗阵地前移、中药制剂研发等领域，探索实践中医药现代化发展路径。积极运用现代科学技术和传统中医药研究方法，加强对重大疑难疾病防治的联合攻关和对常见病、多发病、慢性病的中医药防治研究。依托名中医传承工作室平台开展省、市级名老中医药专家学术传承，成立丽水市名中医研究院。支持中药炮制和传统制剂技术等传承创新基地建设。强化中医药传统诊疗方法与现代诊疗技术的深度融合，加快形成一批基于循证和科学评价的重大疾病的新疗法、新方案，提升中医疗效。</w:t>
      </w:r>
    </w:p>
    <w:p>
      <w:pPr>
        <w:tabs>
          <w:tab w:val="left" w:pos="3261"/>
        </w:tabs>
        <w:spacing w:line="560" w:lineRule="exact"/>
        <w:ind w:firstLine="643"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2</w:t>
      </w:r>
      <w:r>
        <w:rPr>
          <w:rFonts w:ascii="仿宋_GB2312" w:hAnsi="宋体" w:eastAsia="仿宋_GB2312" w:cs="宋体"/>
          <w:b/>
          <w:color w:val="000000" w:themeColor="text1"/>
          <w:sz w:val="32"/>
          <w:szCs w:val="32"/>
          <w14:textFill>
            <w14:solidFill>
              <w14:schemeClr w14:val="tx1"/>
            </w14:solidFill>
          </w14:textFill>
        </w:rPr>
        <w:t>.强化中医药关键核心技术攻关和成果转化。</w:t>
      </w:r>
      <w:r>
        <w:rPr>
          <w:rFonts w:ascii="仿宋_GB2312" w:hAnsi="宋体" w:eastAsia="仿宋_GB2312" w:cs="宋体"/>
          <w:color w:val="000000" w:themeColor="text1"/>
          <w:sz w:val="32"/>
          <w:szCs w:val="32"/>
          <w14:textFill>
            <w14:solidFill>
              <w14:schemeClr w14:val="tx1"/>
            </w14:solidFill>
          </w14:textFill>
        </w:rPr>
        <w:t>围绕重大疑难疾病、罕见疾病、重大传染病等，强化中医药基础理论、疾病病机、诊疗规律、防治技术等攻关研究。</w:t>
      </w:r>
      <w:r>
        <w:rPr>
          <w:rFonts w:hint="eastAsia" w:ascii="仿宋_GB2312" w:hAnsi="宋体" w:eastAsia="仿宋_GB2312" w:cs="宋体"/>
          <w:color w:val="000000" w:themeColor="text1"/>
          <w:sz w:val="32"/>
          <w:szCs w:val="32"/>
          <w14:textFill>
            <w14:solidFill>
              <w14:schemeClr w14:val="tx1"/>
            </w14:solidFill>
          </w14:textFill>
        </w:rPr>
        <w:t>改革完善中药制剂管理，支持市中医院中药制剂中心建设，开展传统工艺配置中药制剂品种研发生产，并在全市范围内备案后调剂使用。加强基于古代经典名方、名老中医方、中药制剂等中药新药研制开发和应用，鼓励和支持中医药创新药物、中医药医疗器械在丽水注册批件并投资生产，推动中医药领域创新成果优先转化。加强中医药知识产权保护和运用，打造中医药关键技术、产品研发、成果转化和应用平台。完善符合中医药自身发展规律的科研评价体系，健全赋予中医药科研机构和人员自主权的管理制度，构建中医药知识产权和科技成果转化权益保障机制，推动一批中医药科技成果应用和产出。</w:t>
      </w:r>
    </w:p>
    <w:p>
      <w:pPr>
        <w:tabs>
          <w:tab w:val="left" w:pos="3261"/>
        </w:tabs>
        <w:spacing w:line="560" w:lineRule="exact"/>
        <w:ind w:firstLine="643"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3</w:t>
      </w:r>
      <w:r>
        <w:rPr>
          <w:rFonts w:ascii="仿宋_GB2312" w:hAnsi="宋体" w:eastAsia="仿宋_GB2312" w:cs="宋体"/>
          <w:b/>
          <w:color w:val="000000" w:themeColor="text1"/>
          <w:sz w:val="32"/>
          <w:szCs w:val="32"/>
          <w14:textFill>
            <w14:solidFill>
              <w14:schemeClr w14:val="tx1"/>
            </w14:solidFill>
          </w14:textFill>
        </w:rPr>
        <w:t>.建设高能级科技创新平台。</w:t>
      </w:r>
      <w:r>
        <w:rPr>
          <w:rFonts w:hint="eastAsia" w:ascii="仿宋_GB2312" w:hAnsi="宋体" w:eastAsia="仿宋_GB2312" w:cs="宋体"/>
          <w:color w:val="000000" w:themeColor="text1"/>
          <w:sz w:val="32"/>
          <w:szCs w:val="32"/>
          <w14:textFill>
            <w14:solidFill>
              <w14:schemeClr w14:val="tx1"/>
            </w14:solidFill>
          </w14:textFill>
        </w:rPr>
        <w:t>依托丽水市中医院成立丽水市中医药研究院，加强重大疑难疾病、肿瘤病、罕见病、传染病等的中医药基础研究和临床应用。</w:t>
      </w:r>
      <w:r>
        <w:rPr>
          <w:rFonts w:ascii="仿宋_GB2312" w:hAnsi="宋体" w:eastAsia="仿宋_GB2312" w:cs="宋体"/>
          <w:color w:val="000000" w:themeColor="text1"/>
          <w:sz w:val="32"/>
          <w:szCs w:val="32"/>
          <w14:textFill>
            <w14:solidFill>
              <w14:schemeClr w14:val="tx1"/>
            </w14:solidFill>
          </w14:textFill>
        </w:rPr>
        <w:t>加强与</w:t>
      </w:r>
      <w:r>
        <w:rPr>
          <w:rFonts w:hint="eastAsia" w:ascii="仿宋_GB2312" w:hAnsi="宋体" w:eastAsia="仿宋_GB2312" w:cs="宋体"/>
          <w:color w:val="000000" w:themeColor="text1"/>
          <w:sz w:val="32"/>
          <w:szCs w:val="32"/>
          <w14:textFill>
            <w14:solidFill>
              <w14:schemeClr w14:val="tx1"/>
            </w14:solidFill>
          </w14:textFill>
        </w:rPr>
        <w:t>浙江</w:t>
      </w:r>
      <w:r>
        <w:rPr>
          <w:rFonts w:ascii="仿宋_GB2312" w:hAnsi="宋体" w:eastAsia="仿宋_GB2312" w:cs="宋体"/>
          <w:color w:val="000000" w:themeColor="text1"/>
          <w:sz w:val="32"/>
          <w:szCs w:val="32"/>
          <w14:textFill>
            <w14:solidFill>
              <w14:schemeClr w14:val="tx1"/>
            </w14:solidFill>
          </w14:textFill>
        </w:rPr>
        <w:t>中医药大学紧密合作，谋划建设浙江中医药大学丽水研究院。</w:t>
      </w:r>
    </w:p>
    <w:tbl>
      <w:tblPr>
        <w:tblStyle w:val="10"/>
        <w:tblW w:w="90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9071" w:type="dxa"/>
            <w:vAlign w:val="center"/>
          </w:tcPr>
          <w:p>
            <w:pPr>
              <w:pStyle w:val="5"/>
              <w:spacing w:line="400" w:lineRule="exact"/>
              <w:jc w:val="center"/>
              <w:rPr>
                <w:rFonts w:ascii="Times New Roman" w:hAnsi="Times New Roman"/>
                <w:color w:val="000000" w:themeColor="text1"/>
                <w:sz w:val="24"/>
                <w:szCs w:val="24"/>
                <w14:textFill>
                  <w14:solidFill>
                    <w14:schemeClr w14:val="tx1"/>
                  </w14:solidFill>
                </w14:textFill>
              </w:rPr>
            </w:pPr>
            <w:bookmarkStart w:id="4" w:name="_Toc69128748"/>
            <w:r>
              <w:rPr>
                <w:rFonts w:ascii="Times New Roman" w:hAnsi="Times New Roman"/>
                <w:color w:val="000000" w:themeColor="text1"/>
                <w:sz w:val="24"/>
                <w:szCs w:val="24"/>
                <w14:textFill>
                  <w14:solidFill>
                    <w14:schemeClr w14:val="tx1"/>
                  </w14:solidFill>
                </w14:textFill>
              </w:rPr>
              <w:t>专栏</w:t>
            </w:r>
            <w:r>
              <w:rPr>
                <w:rFonts w:hint="eastAsia" w:ascii="Times New Roman" w:hAnsi="Times New Roman"/>
                <w:color w:val="000000" w:themeColor="text1"/>
                <w:sz w:val="24"/>
                <w:szCs w:val="24"/>
                <w14:textFill>
                  <w14:solidFill>
                    <w14:schemeClr w14:val="tx1"/>
                  </w14:solidFill>
                </w14:textFill>
              </w:rPr>
              <w:t>7</w:t>
            </w:r>
            <w:r>
              <w:rPr>
                <w:rFonts w:ascii="Times New Roman" w:hAnsi="Times New Roman"/>
                <w:color w:val="000000" w:themeColor="text1"/>
                <w:sz w:val="24"/>
                <w:szCs w:val="24"/>
                <w14:textFill>
                  <w14:solidFill>
                    <w14:schemeClr w14:val="tx1"/>
                  </w14:solidFill>
                </w14:textFill>
              </w:rPr>
              <w:t xml:space="preserve"> 中医药科研创新</w:t>
            </w:r>
            <w:bookmarkEnd w:id="4"/>
            <w:r>
              <w:rPr>
                <w:rFonts w:hint="eastAsia" w:ascii="Times New Roman" w:hAnsi="Times New Roman"/>
                <w:color w:val="000000" w:themeColor="text1"/>
                <w:sz w:val="24"/>
                <w:szCs w:val="24"/>
                <w14:textFill>
                  <w14:solidFill>
                    <w14:schemeClr w14:val="tx1"/>
                  </w14:solidFill>
                </w14:textFill>
              </w:rPr>
              <w:t>转化工程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071" w:type="dxa"/>
            <w:vAlign w:val="center"/>
          </w:tcPr>
          <w:p>
            <w:pPr>
              <w:adjustRightInd w:val="0"/>
              <w:snapToGrid w:val="0"/>
              <w:spacing w:line="400" w:lineRule="exact"/>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1.与浙江中医药大学合作成立浙江中医药大学丽水研究院。依托丽水市中医院成立丽水市中医药（畲医药）研究院、丽水市名中医研究院。</w:t>
            </w:r>
          </w:p>
          <w:p>
            <w:pPr>
              <w:adjustRightInd w:val="0"/>
              <w:snapToGrid w:val="0"/>
              <w:spacing w:line="400" w:lineRule="exact"/>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2.围绕重大疑难疾病、罕见疾病、重大传染病等，强化中医药基础理论、疾病病机、诊疗规律、防治技术等领域研究，组织实施一批重点研发项目。</w:t>
            </w:r>
          </w:p>
          <w:p>
            <w:pPr>
              <w:adjustRightInd w:val="0"/>
              <w:snapToGrid w:val="0"/>
              <w:spacing w:line="400" w:lineRule="exact"/>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3.聚焦</w:t>
            </w:r>
            <w:r>
              <w:rPr>
                <w:rFonts w:hint="eastAsia" w:ascii="仿宋_GB2312" w:eastAsia="仿宋_GB2312"/>
                <w:color w:val="000000" w:themeColor="text1"/>
                <w:sz w:val="24"/>
                <w:szCs w:val="22"/>
                <w14:textFill>
                  <w14:solidFill>
                    <w14:schemeClr w14:val="tx1"/>
                  </w14:solidFill>
                </w14:textFill>
              </w:rPr>
              <w:t>中医优势病种的</w:t>
            </w:r>
            <w:r>
              <w:rPr>
                <w:rFonts w:hint="eastAsia" w:ascii="仿宋_GB2312" w:eastAsia="仿宋_GB2312"/>
                <w:color w:val="000000" w:themeColor="text1"/>
                <w:sz w:val="24"/>
                <w14:textFill>
                  <w14:solidFill>
                    <w14:schemeClr w14:val="tx1"/>
                  </w14:solidFill>
                </w14:textFill>
              </w:rPr>
              <w:t>中药创新药、中药改良型新药、古代经典名方中药复方制剂等中药新药研发和中医器械、中药制药设备等重点领域，组织实施一批重点研发项目。</w:t>
            </w:r>
          </w:p>
          <w:p>
            <w:pPr>
              <w:adjustRightInd w:val="0"/>
              <w:snapToGrid w:val="0"/>
              <w:spacing w:line="400" w:lineRule="exact"/>
              <w:ind w:firstLine="480" w:firstLineChars="200"/>
              <w:rPr>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4.全面推进中医药知识产权保护体系构建研究，开展中医药专利成果转化机制研究。</w:t>
            </w:r>
          </w:p>
        </w:tc>
      </w:tr>
    </w:tbl>
    <w:p>
      <w:pPr>
        <w:tabs>
          <w:tab w:val="left" w:pos="3261"/>
        </w:tabs>
        <w:spacing w:line="579" w:lineRule="exact"/>
        <w:ind w:firstLine="643" w:firstLineChars="200"/>
        <w:rPr>
          <w:rFonts w:ascii="仿宋_GB2312" w:hAnsi="宋体" w:eastAsia="仿宋_GB2312" w:cs="宋体"/>
          <w:b/>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（四）倾力推动“中医药+”跨界融合发展</w:t>
      </w:r>
    </w:p>
    <w:p>
      <w:pPr>
        <w:tabs>
          <w:tab w:val="left" w:pos="3261"/>
        </w:tabs>
        <w:spacing w:line="579" w:lineRule="exact"/>
        <w:ind w:firstLine="643"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1</w:t>
      </w:r>
      <w:r>
        <w:rPr>
          <w:rFonts w:ascii="仿宋_GB2312" w:hAnsi="宋体" w:eastAsia="仿宋_GB2312" w:cs="宋体"/>
          <w:b/>
          <w:color w:val="000000" w:themeColor="text1"/>
          <w:sz w:val="32"/>
          <w:szCs w:val="32"/>
          <w14:textFill>
            <w14:solidFill>
              <w14:schemeClr w14:val="tx1"/>
            </w14:solidFill>
          </w14:textFill>
        </w:rPr>
        <w:t>.</w:t>
      </w:r>
      <w:r>
        <w:rPr>
          <w:rFonts w:hint="eastAsia" w:ascii="仿宋_GB2312" w:hAnsi="宋体" w:eastAsia="仿宋_GB2312" w:cs="宋体"/>
          <w:b/>
          <w:color w:val="000000" w:themeColor="text1"/>
          <w:sz w:val="32"/>
          <w:szCs w:val="32"/>
          <w14:textFill>
            <w14:solidFill>
              <w14:schemeClr w14:val="tx1"/>
            </w14:solidFill>
          </w14:textFill>
        </w:rPr>
        <w:t>中医药+数字化改革。</w:t>
      </w:r>
      <w:r>
        <w:rPr>
          <w:rFonts w:hint="eastAsia" w:ascii="仿宋_GB2312" w:hAnsi="宋体" w:eastAsia="仿宋_GB2312" w:cs="宋体"/>
          <w:color w:val="000000" w:themeColor="text1"/>
          <w:sz w:val="32"/>
          <w:szCs w:val="32"/>
          <w14:textFill>
            <w14:solidFill>
              <w14:schemeClr w14:val="tx1"/>
            </w14:solidFill>
          </w14:textFill>
        </w:rPr>
        <w:t>依托全市人口健康信息化及中医</w:t>
      </w:r>
      <w:r>
        <w:rPr>
          <w:rFonts w:hint="eastAsia" w:ascii="仿宋_GB2312" w:hAnsi="宋体" w:eastAsia="仿宋_GB2312" w:cs="宋体"/>
          <w:color w:val="000000" w:themeColor="text1"/>
          <w:sz w:val="32"/>
          <w:szCs w:val="32"/>
          <w:lang w:eastAsia="zh-CN"/>
          <w14:textFill>
            <w14:solidFill>
              <w14:schemeClr w14:val="tx1"/>
            </w14:solidFill>
          </w14:textFill>
        </w:rPr>
        <w:t>辨证</w:t>
      </w:r>
      <w:r>
        <w:rPr>
          <w:rFonts w:hint="eastAsia" w:ascii="仿宋_GB2312" w:hAnsi="宋体" w:eastAsia="仿宋_GB2312" w:cs="宋体"/>
          <w:color w:val="000000" w:themeColor="text1"/>
          <w:sz w:val="32"/>
          <w:szCs w:val="32"/>
          <w14:textFill>
            <w14:solidFill>
              <w14:schemeClr w14:val="tx1"/>
            </w14:solidFill>
          </w14:textFill>
        </w:rPr>
        <w:t>论治云药房平台，实施“互联网+中医药”工程，推进中医电子病历、中医处方和中药在全市畅通流动和资源共享。以信息化支撑中医医共体，通过互联网建立健全中医远程医疗服务网络。加强互联网中医医院建设，推进中医医疗流程再造和服务迭代升级，打造智慧中医医院，推广智慧中药房。支持中医药服务融入未来社区，加强基层医疗卫生机构中医馆健康信息平台建设，推进各级中医医院信息化建设，县级中医院电子病历达到4级以上水平，市中医院达到5级以上。</w:t>
      </w:r>
    </w:p>
    <w:p>
      <w:pPr>
        <w:tabs>
          <w:tab w:val="left" w:pos="3261"/>
        </w:tabs>
        <w:spacing w:line="579" w:lineRule="exact"/>
        <w:ind w:firstLine="643"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2</w:t>
      </w:r>
      <w:r>
        <w:rPr>
          <w:rFonts w:ascii="仿宋_GB2312" w:hAnsi="宋体" w:eastAsia="仿宋_GB2312" w:cs="宋体"/>
          <w:b/>
          <w:color w:val="000000" w:themeColor="text1"/>
          <w:sz w:val="32"/>
          <w:szCs w:val="32"/>
          <w14:textFill>
            <w14:solidFill>
              <w14:schemeClr w14:val="tx1"/>
            </w14:solidFill>
          </w14:textFill>
        </w:rPr>
        <w:t>.中医药+健康食品。</w:t>
      </w:r>
      <w:r>
        <w:rPr>
          <w:rFonts w:ascii="仿宋_GB2312" w:hAnsi="宋体" w:eastAsia="仿宋_GB2312" w:cs="宋体"/>
          <w:color w:val="000000" w:themeColor="text1"/>
          <w:sz w:val="32"/>
          <w:szCs w:val="32"/>
          <w14:textFill>
            <w14:solidFill>
              <w14:schemeClr w14:val="tx1"/>
            </w14:solidFill>
          </w14:textFill>
        </w:rPr>
        <w:t>培育壮大中医药健康食品产业，以满足疲劳缓解、睡眠促进、体重控制、四时养生、女性周期调节与儿童发育等人民群众健康需求为重点，开展保健品、食疗产品和功能性化妆品等中医药健康养生产品研发。积极弘扬药膳文化，发挥药膳在</w:t>
      </w:r>
      <w:r>
        <w:rPr>
          <w:rFonts w:hint="eastAsia" w:ascii="仿宋_GB2312" w:hAnsi="宋体" w:eastAsia="仿宋_GB2312" w:cs="宋体"/>
          <w:color w:val="000000" w:themeColor="text1"/>
          <w:sz w:val="32"/>
          <w:szCs w:val="32"/>
          <w14:textFill>
            <w14:solidFill>
              <w14:schemeClr w14:val="tx1"/>
            </w14:solidFill>
          </w14:textFill>
        </w:rPr>
        <w:t>预防保健中</w:t>
      </w:r>
      <w:r>
        <w:rPr>
          <w:rFonts w:ascii="仿宋_GB2312" w:hAnsi="宋体" w:eastAsia="仿宋_GB2312" w:cs="宋体"/>
          <w:color w:val="000000" w:themeColor="text1"/>
          <w:sz w:val="32"/>
          <w:szCs w:val="32"/>
          <w14:textFill>
            <w14:solidFill>
              <w14:schemeClr w14:val="tx1"/>
            </w14:solidFill>
          </w14:textFill>
        </w:rPr>
        <w:t>的作用，开发药汤养生、民族药膳、食药物质功能食品等药膳产品</w:t>
      </w:r>
      <w:r>
        <w:rPr>
          <w:rFonts w:hint="eastAsia" w:ascii="仿宋_GB2312" w:hAnsi="宋体" w:eastAsia="仿宋_GB2312" w:cs="宋体"/>
          <w:color w:val="000000" w:themeColor="text1"/>
          <w:sz w:val="32"/>
          <w:szCs w:val="32"/>
          <w14:textFill>
            <w14:solidFill>
              <w14:schemeClr w14:val="tx1"/>
            </w14:solidFill>
          </w14:textFill>
        </w:rPr>
        <w:t>，</w:t>
      </w:r>
      <w:r>
        <w:rPr>
          <w:rFonts w:ascii="仿宋_GB2312" w:hAnsi="宋体" w:eastAsia="仿宋_GB2312" w:cs="宋体"/>
          <w:color w:val="000000" w:themeColor="text1"/>
          <w:sz w:val="32"/>
          <w:szCs w:val="32"/>
          <w14:textFill>
            <w14:solidFill>
              <w14:schemeClr w14:val="tx1"/>
            </w14:solidFill>
          </w14:textFill>
        </w:rPr>
        <w:t>鼓励医疗机构食堂</w:t>
      </w:r>
      <w:r>
        <w:rPr>
          <w:rFonts w:hint="eastAsia" w:ascii="仿宋_GB2312" w:hAnsi="宋体" w:eastAsia="仿宋_GB2312" w:cs="宋体"/>
          <w:color w:val="000000" w:themeColor="text1"/>
          <w:sz w:val="32"/>
          <w:szCs w:val="32"/>
          <w14:textFill>
            <w14:solidFill>
              <w14:schemeClr w14:val="tx1"/>
            </w14:solidFill>
          </w14:textFill>
        </w:rPr>
        <w:t>开发</w:t>
      </w:r>
      <w:r>
        <w:rPr>
          <w:rFonts w:ascii="仿宋_GB2312" w:hAnsi="宋体" w:eastAsia="仿宋_GB2312" w:cs="宋体"/>
          <w:color w:val="000000" w:themeColor="text1"/>
          <w:sz w:val="32"/>
          <w:szCs w:val="32"/>
          <w14:textFill>
            <w14:solidFill>
              <w14:schemeClr w14:val="tx1"/>
            </w14:solidFill>
          </w14:textFill>
        </w:rPr>
        <w:t>特色药膳</w:t>
      </w:r>
      <w:r>
        <w:rPr>
          <w:rFonts w:hint="eastAsia" w:ascii="仿宋_GB2312" w:hAnsi="宋体" w:eastAsia="仿宋_GB2312" w:cs="宋体"/>
          <w:color w:val="000000" w:themeColor="text1"/>
          <w:sz w:val="32"/>
          <w:szCs w:val="32"/>
          <w14:textFill>
            <w14:solidFill>
              <w14:schemeClr w14:val="tx1"/>
            </w14:solidFill>
          </w14:textFill>
        </w:rPr>
        <w:t>。开展药膳评选活动，形成本地特色药膳品牌。</w:t>
      </w:r>
    </w:p>
    <w:p>
      <w:pPr>
        <w:tabs>
          <w:tab w:val="left" w:pos="3261"/>
        </w:tabs>
        <w:spacing w:line="579" w:lineRule="exact"/>
        <w:ind w:firstLine="643"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3</w:t>
      </w:r>
      <w:r>
        <w:rPr>
          <w:rFonts w:ascii="仿宋_GB2312" w:hAnsi="宋体" w:eastAsia="仿宋_GB2312" w:cs="宋体"/>
          <w:b/>
          <w:color w:val="000000" w:themeColor="text1"/>
          <w:sz w:val="32"/>
          <w:szCs w:val="32"/>
          <w14:textFill>
            <w14:solidFill>
              <w14:schemeClr w14:val="tx1"/>
            </w14:solidFill>
          </w14:textFill>
        </w:rPr>
        <w:t>.中医药+健康养老。</w:t>
      </w:r>
      <w:r>
        <w:rPr>
          <w:rFonts w:ascii="仿宋_GB2312" w:hAnsi="宋体" w:eastAsia="仿宋_GB2312" w:cs="宋体"/>
          <w:color w:val="000000" w:themeColor="text1"/>
          <w:sz w:val="32"/>
          <w:szCs w:val="32"/>
          <w14:textFill>
            <w14:solidFill>
              <w14:schemeClr w14:val="tx1"/>
            </w14:solidFill>
          </w14:textFill>
        </w:rPr>
        <w:t>充分发挥我市作为长寿之乡绿色发展区域合作联盟秘书处的优势</w:t>
      </w:r>
      <w:r>
        <w:rPr>
          <w:rFonts w:hint="eastAsia" w:ascii="仿宋_GB2312" w:hAnsi="宋体" w:eastAsia="仿宋_GB2312" w:cs="宋体"/>
          <w:color w:val="000000" w:themeColor="text1"/>
          <w:sz w:val="32"/>
          <w:szCs w:val="32"/>
          <w14:textFill>
            <w14:solidFill>
              <w14:schemeClr w14:val="tx1"/>
            </w14:solidFill>
          </w14:textFill>
        </w:rPr>
        <w:t>，</w:t>
      </w:r>
      <w:r>
        <w:rPr>
          <w:rFonts w:ascii="仿宋_GB2312" w:hAnsi="宋体" w:eastAsia="仿宋_GB2312" w:cs="宋体"/>
          <w:color w:val="000000" w:themeColor="text1"/>
          <w:sz w:val="32"/>
          <w:szCs w:val="32"/>
          <w14:textFill>
            <w14:solidFill>
              <w14:schemeClr w14:val="tx1"/>
            </w14:solidFill>
          </w14:textFill>
        </w:rPr>
        <w:t>进一步打响</w:t>
      </w:r>
      <w:r>
        <w:rPr>
          <w:rFonts w:hint="eastAsia" w:ascii="仿宋_GB2312" w:hAnsi="宋体" w:eastAsia="仿宋_GB2312" w:cs="宋体"/>
          <w:color w:val="000000" w:themeColor="text1"/>
          <w:sz w:val="32"/>
          <w:szCs w:val="32"/>
          <w14:textFill>
            <w14:solidFill>
              <w14:schemeClr w14:val="tx1"/>
            </w14:solidFill>
          </w14:textFill>
        </w:rPr>
        <w:t>“中国长寿之乡”品牌，</w:t>
      </w:r>
      <w:r>
        <w:rPr>
          <w:rFonts w:ascii="仿宋_GB2312" w:hAnsi="宋体" w:eastAsia="仿宋_GB2312" w:cs="宋体"/>
          <w:color w:val="000000" w:themeColor="text1"/>
          <w:sz w:val="32"/>
          <w:szCs w:val="32"/>
          <w14:textFill>
            <w14:solidFill>
              <w14:schemeClr w14:val="tx1"/>
            </w14:solidFill>
          </w14:textFill>
        </w:rPr>
        <w:t>大力发展中医药健康养老服务，</w:t>
      </w:r>
      <w:r>
        <w:rPr>
          <w:rFonts w:hint="eastAsia" w:ascii="仿宋_GB2312" w:hAnsi="宋体" w:eastAsia="仿宋_GB2312" w:cs="宋体"/>
          <w:color w:val="000000" w:themeColor="text1"/>
          <w:sz w:val="32"/>
          <w:szCs w:val="32"/>
          <w14:textFill>
            <w14:solidFill>
              <w14:schemeClr w14:val="tx1"/>
            </w14:solidFill>
          </w14:textFill>
        </w:rPr>
        <w:t>发挥中医药在疾病预防、</w:t>
      </w:r>
      <w:r>
        <w:rPr>
          <w:rFonts w:ascii="仿宋_GB2312" w:hAnsi="宋体" w:eastAsia="仿宋_GB2312" w:cs="宋体"/>
          <w:color w:val="000000" w:themeColor="text1"/>
          <w:sz w:val="32"/>
          <w:szCs w:val="32"/>
          <w14:textFill>
            <w14:solidFill>
              <w14:schemeClr w14:val="tx1"/>
            </w14:solidFill>
          </w14:textFill>
        </w:rPr>
        <w:t>慢性病管理、疾病治疗和康复中的独特作用，推广中医药适宜技术产品和服务，总结推广中医药特色的“医养结合”经验，促进中医医疗资源进入养老机构、社区和居民家庭。建立健全中医医院与养老机构合作机制，通过建设中医医疗养老联合体等多种形式，整合中医医疗、康复、养老和护理资源，为老年人提供治疗期住院、康复期护理、稳定期生活照料以及安宁疗护一体化的中医药健康养老服务。</w:t>
      </w:r>
      <w:r>
        <w:rPr>
          <w:rFonts w:hint="eastAsia" w:ascii="仿宋_GB2312" w:hAnsi="宋体" w:eastAsia="仿宋_GB2312" w:cs="宋体"/>
          <w:color w:val="000000" w:themeColor="text1"/>
          <w:sz w:val="32"/>
          <w:szCs w:val="32"/>
          <w14:textFill>
            <w14:solidFill>
              <w14:schemeClr w14:val="tx1"/>
            </w14:solidFill>
          </w14:textFill>
        </w:rPr>
        <w:t>支持</w:t>
      </w:r>
      <w:r>
        <w:rPr>
          <w:rFonts w:ascii="仿宋_GB2312" w:hAnsi="宋体" w:eastAsia="仿宋_GB2312" w:cs="宋体"/>
          <w:color w:val="000000" w:themeColor="text1"/>
          <w:sz w:val="32"/>
          <w:szCs w:val="32"/>
          <w14:textFill>
            <w14:solidFill>
              <w14:schemeClr w14:val="tx1"/>
            </w14:solidFill>
          </w14:textFill>
        </w:rPr>
        <w:t>发展以中医药和畲医药为特色的康养产业，建设面向多层次健康养老需求的中医药康养小镇和养老社区，打造长三角旅居康养目的地。</w:t>
      </w:r>
    </w:p>
    <w:p>
      <w:pPr>
        <w:tabs>
          <w:tab w:val="left" w:pos="3261"/>
        </w:tabs>
        <w:spacing w:line="579" w:lineRule="exact"/>
        <w:ind w:firstLine="643"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4</w:t>
      </w:r>
      <w:r>
        <w:rPr>
          <w:rFonts w:ascii="仿宋_GB2312" w:hAnsi="宋体" w:eastAsia="仿宋_GB2312" w:cs="宋体"/>
          <w:b/>
          <w:color w:val="000000" w:themeColor="text1"/>
          <w:sz w:val="32"/>
          <w:szCs w:val="32"/>
          <w14:textFill>
            <w14:solidFill>
              <w14:schemeClr w14:val="tx1"/>
            </w14:solidFill>
          </w14:textFill>
        </w:rPr>
        <w:t>.中医药+休闲旅游。</w:t>
      </w:r>
      <w:r>
        <w:rPr>
          <w:rFonts w:ascii="仿宋_GB2312" w:hAnsi="宋体" w:eastAsia="仿宋_GB2312" w:cs="宋体"/>
          <w:color w:val="000000" w:themeColor="text1"/>
          <w:sz w:val="32"/>
          <w:szCs w:val="32"/>
          <w14:textFill>
            <w14:solidFill>
              <w14:schemeClr w14:val="tx1"/>
            </w14:solidFill>
          </w14:textFill>
        </w:rPr>
        <w:t>推动中医药产业与旅游业的有机融合，大力发展以中医药文化传播和体验为主题，</w:t>
      </w:r>
      <w:r>
        <w:rPr>
          <w:rFonts w:hint="eastAsia" w:ascii="仿宋_GB2312" w:hAnsi="宋体" w:eastAsia="仿宋_GB2312" w:cs="宋体"/>
          <w:color w:val="000000" w:themeColor="text1"/>
          <w:sz w:val="32"/>
          <w:szCs w:val="32"/>
          <w14:textFill>
            <w14:solidFill>
              <w14:schemeClr w14:val="tx1"/>
            </w14:solidFill>
          </w14:textFill>
        </w:rPr>
        <w:t>覆盖</w:t>
      </w:r>
      <w:r>
        <w:rPr>
          <w:rFonts w:ascii="仿宋_GB2312" w:hAnsi="宋体" w:eastAsia="仿宋_GB2312" w:cs="宋体"/>
          <w:color w:val="000000" w:themeColor="text1"/>
          <w:sz w:val="32"/>
          <w:szCs w:val="32"/>
          <w14:textFill>
            <w14:solidFill>
              <w14:schemeClr w14:val="tx1"/>
            </w14:solidFill>
          </w14:textFill>
        </w:rPr>
        <w:t>中医养生、康复、休闲、科普等功能的中医药健康旅游。培育一批</w:t>
      </w:r>
      <w:r>
        <w:rPr>
          <w:rFonts w:hint="eastAsia" w:ascii="仿宋_GB2312" w:hAnsi="宋体" w:eastAsia="仿宋_GB2312" w:cs="宋体"/>
          <w:color w:val="000000" w:themeColor="text1"/>
          <w:sz w:val="32"/>
          <w:szCs w:val="32"/>
          <w14:textFill>
            <w14:solidFill>
              <w14:schemeClr w14:val="tx1"/>
            </w14:solidFill>
          </w14:textFill>
        </w:rPr>
        <w:t>省</w:t>
      </w:r>
      <w:r>
        <w:rPr>
          <w:rFonts w:ascii="仿宋_GB2312" w:hAnsi="宋体" w:eastAsia="仿宋_GB2312" w:cs="宋体"/>
          <w:color w:val="000000" w:themeColor="text1"/>
          <w:sz w:val="32"/>
          <w:szCs w:val="32"/>
          <w14:textFill>
            <w14:solidFill>
              <w14:schemeClr w14:val="tx1"/>
            </w14:solidFill>
          </w14:textFill>
        </w:rPr>
        <w:t>级中医药健康中医药文化养生旅游示范基地，打造一批中医药特色小镇和特色街区。强化体医融合，积极推动中医药休闲健身发展，加大太极拳、五禽戏、八段锦等传统健身项目推广力度。</w:t>
      </w:r>
    </w:p>
    <w:p>
      <w:pPr>
        <w:tabs>
          <w:tab w:val="left" w:pos="3261"/>
        </w:tabs>
        <w:spacing w:line="579" w:lineRule="exact"/>
        <w:ind w:firstLine="643"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5</w:t>
      </w:r>
      <w:r>
        <w:rPr>
          <w:rFonts w:ascii="仿宋_GB2312" w:hAnsi="宋体" w:eastAsia="仿宋_GB2312" w:cs="宋体"/>
          <w:b/>
          <w:color w:val="000000" w:themeColor="text1"/>
          <w:sz w:val="32"/>
          <w:szCs w:val="32"/>
          <w14:textFill>
            <w14:solidFill>
              <w14:schemeClr w14:val="tx1"/>
            </w14:solidFill>
          </w14:textFill>
        </w:rPr>
        <w:t>.中医药+乡村振兴。</w:t>
      </w:r>
      <w:r>
        <w:rPr>
          <w:rFonts w:ascii="仿宋_GB2312" w:hAnsi="宋体" w:eastAsia="仿宋_GB2312" w:cs="宋体"/>
          <w:color w:val="000000" w:themeColor="text1"/>
          <w:sz w:val="32"/>
          <w:szCs w:val="32"/>
          <w14:textFill>
            <w14:solidFill>
              <w14:schemeClr w14:val="tx1"/>
            </w14:solidFill>
          </w14:textFill>
        </w:rPr>
        <w:t>围绕推进乡村振兴和浙西南革命老区振兴发展，将中药材种植作为促进农民增收重点产业，因地制宜推进“</w:t>
      </w:r>
      <w:r>
        <w:rPr>
          <w:rFonts w:hint="eastAsia" w:ascii="仿宋_GB2312" w:hAnsi="宋体" w:eastAsia="仿宋_GB2312" w:cs="宋体"/>
          <w:color w:val="000000" w:themeColor="text1"/>
          <w:sz w:val="32"/>
          <w:szCs w:val="32"/>
          <w14:textFill>
            <w14:solidFill>
              <w14:schemeClr w14:val="tx1"/>
            </w14:solidFill>
          </w14:textFill>
        </w:rPr>
        <w:t>丽</w:t>
      </w:r>
      <w:r>
        <w:rPr>
          <w:rFonts w:ascii="仿宋_GB2312" w:hAnsi="宋体" w:eastAsia="仿宋_GB2312" w:cs="宋体"/>
          <w:color w:val="000000" w:themeColor="text1"/>
          <w:sz w:val="32"/>
          <w:szCs w:val="32"/>
          <w14:textFill>
            <w14:solidFill>
              <w14:schemeClr w14:val="tx1"/>
            </w14:solidFill>
          </w14:textFill>
        </w:rPr>
        <w:t>九味”等道地药材以及畲药等民族药种植，推动乡村资源全域化整合和多元化增值。</w:t>
      </w:r>
      <w:r>
        <w:rPr>
          <w:rFonts w:hint="eastAsia" w:ascii="仿宋_GB2312" w:hAnsi="宋体" w:eastAsia="仿宋_GB2312" w:cs="宋体"/>
          <w:color w:val="000000" w:themeColor="text1"/>
          <w:sz w:val="32"/>
          <w:szCs w:val="32"/>
          <w14:textFill>
            <w14:solidFill>
              <w14:schemeClr w14:val="tx1"/>
            </w14:solidFill>
          </w14:textFill>
        </w:rPr>
        <w:t>打通中药制剂备案“绿色通道”，打造“处州本草”公共区域品牌。做大做强浙西南农贸城中药材集散地，打响“浙西南药城”知名度，打造全国最大的灵芝、灵芝孢子粉相关产品交易市场，打响“中华灵芝第一乡”地域品牌。</w:t>
      </w:r>
      <w:r>
        <w:rPr>
          <w:rFonts w:ascii="仿宋_GB2312" w:hAnsi="宋体" w:eastAsia="仿宋_GB2312" w:cs="宋体"/>
          <w:color w:val="000000" w:themeColor="text1"/>
          <w:sz w:val="32"/>
          <w:szCs w:val="32"/>
          <w14:textFill>
            <w14:solidFill>
              <w14:schemeClr w14:val="tx1"/>
            </w14:solidFill>
          </w14:textFill>
        </w:rPr>
        <w:t>助力乡村振兴、富农增收。</w:t>
      </w:r>
    </w:p>
    <w:p>
      <w:pPr>
        <w:overflowPunct w:val="0"/>
        <w:spacing w:line="560" w:lineRule="exact"/>
        <w:ind w:firstLine="643" w:firstLineChars="200"/>
        <w:rPr>
          <w:rFonts w:ascii="仿宋_GB2312" w:hAnsi="宋体" w:eastAsia="仿宋_GB2312" w:cs="宋体"/>
          <w:b/>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（五）倾力推动中医药文化传播和开放发展</w:t>
      </w:r>
    </w:p>
    <w:p>
      <w:pPr>
        <w:overflowPunct w:val="0"/>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1</w:t>
      </w:r>
      <w:r>
        <w:rPr>
          <w:rFonts w:ascii="仿宋_GB2312" w:eastAsia="仿宋_GB2312"/>
          <w:b/>
          <w:color w:val="000000" w:themeColor="text1"/>
          <w:sz w:val="32"/>
          <w:szCs w:val="32"/>
          <w14:textFill>
            <w14:solidFill>
              <w14:schemeClr w14:val="tx1"/>
            </w14:solidFill>
          </w14:textFill>
        </w:rPr>
        <w:t>.加强中医药文化保护传承。</w:t>
      </w:r>
      <w:r>
        <w:rPr>
          <w:rFonts w:hint="eastAsia" w:ascii="仿宋_GB2312" w:eastAsia="仿宋_GB2312"/>
          <w:color w:val="000000" w:themeColor="text1"/>
          <w:sz w:val="32"/>
          <w:szCs w:val="32"/>
          <w14:textFill>
            <w14:solidFill>
              <w14:schemeClr w14:val="tx1"/>
            </w14:solidFill>
          </w14:textFill>
        </w:rPr>
        <w:t>加强</w:t>
      </w:r>
      <w:r>
        <w:rPr>
          <w:rFonts w:ascii="仿宋_GB2312" w:eastAsia="仿宋_GB2312"/>
          <w:color w:val="000000" w:themeColor="text1"/>
          <w:sz w:val="32"/>
          <w:szCs w:val="32"/>
          <w14:textFill>
            <w14:solidFill>
              <w14:schemeClr w14:val="tx1"/>
            </w14:solidFill>
          </w14:textFill>
        </w:rPr>
        <w:t>非物质文化遗产名录中传统医药类项目的保护和传承，积极推进</w:t>
      </w:r>
      <w:r>
        <w:rPr>
          <w:rFonts w:hint="eastAsia" w:ascii="仿宋_GB2312" w:eastAsia="仿宋_GB2312"/>
          <w:color w:val="000000" w:themeColor="text1"/>
          <w:sz w:val="32"/>
          <w:szCs w:val="32"/>
          <w14:textFill>
            <w14:solidFill>
              <w14:schemeClr w14:val="tx1"/>
            </w14:solidFill>
          </w14:textFill>
        </w:rPr>
        <w:t>省、</w:t>
      </w:r>
      <w:r>
        <w:rPr>
          <w:rFonts w:ascii="仿宋_GB2312" w:eastAsia="仿宋_GB2312"/>
          <w:color w:val="000000" w:themeColor="text1"/>
          <w:sz w:val="32"/>
          <w:szCs w:val="32"/>
          <w14:textFill>
            <w14:solidFill>
              <w14:schemeClr w14:val="tx1"/>
            </w14:solidFill>
          </w14:textFill>
        </w:rPr>
        <w:t>市级非物质文化遗产项目申报</w:t>
      </w:r>
      <w:r>
        <w:rPr>
          <w:rFonts w:hint="eastAsia" w:ascii="仿宋_GB2312" w:eastAsia="仿宋_GB2312"/>
          <w:color w:val="000000" w:themeColor="text1"/>
          <w:sz w:val="32"/>
          <w:szCs w:val="32"/>
          <w14:textFill>
            <w14:solidFill>
              <w14:schemeClr w14:val="tx1"/>
            </w14:solidFill>
          </w14:textFill>
        </w:rPr>
        <w:t>，将本地特色民间医药列入非物质文化遗产代表性项目名录。</w:t>
      </w:r>
      <w:r>
        <w:rPr>
          <w:rFonts w:ascii="仿宋_GB2312" w:eastAsia="仿宋_GB2312"/>
          <w:color w:val="000000" w:themeColor="text1"/>
          <w:sz w:val="32"/>
          <w:szCs w:val="32"/>
          <w14:textFill>
            <w14:solidFill>
              <w14:schemeClr w14:val="tx1"/>
            </w14:solidFill>
          </w14:textFill>
        </w:rPr>
        <w:t>推进名老中医药专家学术经验传承，开展数字化、影像化项目记录研究。</w:t>
      </w:r>
      <w:r>
        <w:rPr>
          <w:rFonts w:hint="eastAsia" w:ascii="仿宋_GB2312" w:eastAsia="仿宋_GB2312"/>
          <w:color w:val="000000" w:themeColor="text1"/>
          <w:sz w:val="32"/>
          <w:szCs w:val="32"/>
          <w14:textFill>
            <w14:solidFill>
              <w14:schemeClr w14:val="tx1"/>
            </w14:solidFill>
          </w14:textFill>
        </w:rPr>
        <w:t>加大丽水中医药文化研究，挖掘、整理、发扬缙云黄帝养生文化、松阳叶法善养生文化、庆元扁鹊医圣文化、青田陈无择学术思想，编撰浙派中医丽水卷</w:t>
      </w:r>
      <w:r>
        <w:rPr>
          <w:rFonts w:ascii="仿宋_GB2312" w:eastAsia="仿宋_GB2312"/>
          <w:color w:val="000000" w:themeColor="text1"/>
          <w:sz w:val="32"/>
          <w:szCs w:val="32"/>
          <w14:textFill>
            <w14:solidFill>
              <w14:schemeClr w14:val="tx1"/>
            </w14:solidFill>
          </w14:textFill>
        </w:rPr>
        <w:t>，开展中医药文化保护传承研究。</w:t>
      </w:r>
    </w:p>
    <w:p>
      <w:pPr>
        <w:overflowPunct w:val="0"/>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2</w:t>
      </w:r>
      <w:r>
        <w:rPr>
          <w:rFonts w:ascii="仿宋_GB2312" w:eastAsia="仿宋_GB2312"/>
          <w:b/>
          <w:color w:val="000000" w:themeColor="text1"/>
          <w:sz w:val="32"/>
          <w:szCs w:val="32"/>
          <w14:textFill>
            <w14:solidFill>
              <w14:schemeClr w14:val="tx1"/>
            </w14:solidFill>
          </w14:textFill>
        </w:rPr>
        <w:t>.深化中医药文化普及推广。</w:t>
      </w:r>
      <w:r>
        <w:rPr>
          <w:rFonts w:hint="eastAsia" w:ascii="仿宋_GB2312" w:eastAsia="仿宋_GB2312"/>
          <w:color w:val="000000" w:themeColor="text1"/>
          <w:sz w:val="32"/>
          <w:szCs w:val="32"/>
          <w14:textFill>
            <w14:solidFill>
              <w14:schemeClr w14:val="tx1"/>
            </w14:solidFill>
          </w14:textFill>
        </w:rPr>
        <w:t>发挥市中医院“全国中医药科普宣教基地”作用，</w:t>
      </w:r>
      <w:r>
        <w:rPr>
          <w:rFonts w:ascii="仿宋_GB2312" w:eastAsia="仿宋_GB2312"/>
          <w:color w:val="000000" w:themeColor="text1"/>
          <w:sz w:val="32"/>
          <w:szCs w:val="32"/>
          <w14:textFill>
            <w14:solidFill>
              <w14:schemeClr w14:val="tx1"/>
            </w14:solidFill>
          </w14:textFill>
        </w:rPr>
        <w:t>持续开展中医药科普知识宣传，提升全市居民中医药健康文化素养。</w:t>
      </w:r>
      <w:r>
        <w:rPr>
          <w:rFonts w:hint="eastAsia" w:ascii="仿宋_GB2312" w:eastAsia="仿宋_GB2312"/>
          <w:color w:val="000000" w:themeColor="text1"/>
          <w:sz w:val="32"/>
          <w:szCs w:val="32"/>
          <w14:textFill>
            <w14:solidFill>
              <w14:schemeClr w14:val="tx1"/>
            </w14:solidFill>
          </w14:textFill>
        </w:rPr>
        <w:t>支持市、县中医药博物馆和中医药文化廊建设，</w:t>
      </w:r>
      <w:r>
        <w:rPr>
          <w:rFonts w:ascii="仿宋_GB2312" w:eastAsia="仿宋_GB2312"/>
          <w:color w:val="000000" w:themeColor="text1"/>
          <w:sz w:val="32"/>
          <w:szCs w:val="32"/>
          <w14:textFill>
            <w14:solidFill>
              <w14:schemeClr w14:val="tx1"/>
            </w14:solidFill>
          </w14:textFill>
        </w:rPr>
        <w:t>展示中医药传统文化。实施中医药文化传播行动，支持中医药文化馆、宣传教育基地、文化科普协会等建设，建立</w:t>
      </w:r>
      <w:r>
        <w:rPr>
          <w:rFonts w:hint="eastAsia" w:ascii="仿宋_GB2312" w:eastAsia="仿宋_GB2312"/>
          <w:color w:val="000000" w:themeColor="text1"/>
          <w:sz w:val="32"/>
          <w:szCs w:val="32"/>
          <w14:textFill>
            <w14:solidFill>
              <w14:schemeClr w14:val="tx1"/>
            </w14:solidFill>
          </w14:textFill>
        </w:rPr>
        <w:t>市</w:t>
      </w:r>
      <w:r>
        <w:rPr>
          <w:rFonts w:ascii="仿宋_GB2312" w:eastAsia="仿宋_GB2312"/>
          <w:color w:val="000000" w:themeColor="text1"/>
          <w:sz w:val="32"/>
          <w:szCs w:val="32"/>
          <w14:textFill>
            <w14:solidFill>
              <w14:schemeClr w14:val="tx1"/>
            </w14:solidFill>
          </w14:textFill>
        </w:rPr>
        <w:t>级中医药文化科普巡讲团，推进中医药文化进校园、进机构、进乡村、进社区、进企业</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进家庭等。</w:t>
      </w:r>
      <w:r>
        <w:rPr>
          <w:rFonts w:hint="eastAsia" w:ascii="仿宋_GB2312" w:eastAsia="仿宋_GB2312"/>
          <w:color w:val="000000" w:themeColor="text1"/>
          <w:sz w:val="32"/>
          <w:szCs w:val="28"/>
          <w14:textFill>
            <w14:solidFill>
              <w14:schemeClr w14:val="tx1"/>
            </w14:solidFill>
          </w14:textFill>
        </w:rPr>
        <w:t>积极开展全市领导干部中医药宣传培训和体验活动。</w:t>
      </w:r>
      <w:r>
        <w:rPr>
          <w:rFonts w:hint="eastAsia" w:ascii="仿宋_GB2312" w:eastAsia="仿宋_GB2312"/>
          <w:color w:val="000000" w:themeColor="text1"/>
          <w:sz w:val="32"/>
          <w:szCs w:val="32"/>
          <w14:textFill>
            <w14:solidFill>
              <w14:schemeClr w14:val="tx1"/>
            </w14:solidFill>
          </w14:textFill>
        </w:rPr>
        <w:t>卫健系统率先开展“学中医、信中医、用中医、爱中医”植根中医药文化三年行动，推动全市中医药健康文化创新性发展、创造性转化。</w:t>
      </w:r>
      <w:r>
        <w:rPr>
          <w:rFonts w:ascii="仿宋_GB2312" w:eastAsia="仿宋_GB2312"/>
          <w:color w:val="000000" w:themeColor="text1"/>
          <w:sz w:val="32"/>
          <w:szCs w:val="32"/>
          <w14:textFill>
            <w14:solidFill>
              <w14:schemeClr w14:val="tx1"/>
            </w14:solidFill>
          </w14:textFill>
        </w:rPr>
        <w:t>鼓励社会力量参与打造一批中医药文化产业园区、文化创意街区。</w:t>
      </w:r>
    </w:p>
    <w:p>
      <w:pPr>
        <w:overflowPunct w:val="0"/>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3.促进</w:t>
      </w:r>
      <w:r>
        <w:rPr>
          <w:rFonts w:ascii="仿宋_GB2312" w:eastAsia="仿宋_GB2312"/>
          <w:b/>
          <w:color w:val="000000" w:themeColor="text1"/>
          <w:sz w:val="32"/>
          <w:szCs w:val="32"/>
          <w14:textFill>
            <w14:solidFill>
              <w14:schemeClr w14:val="tx1"/>
            </w14:solidFill>
          </w14:textFill>
        </w:rPr>
        <w:t>中医药文化传播和开放发展。</w:t>
      </w:r>
      <w:r>
        <w:rPr>
          <w:rFonts w:hint="eastAsia" w:ascii="仿宋_GB2312" w:eastAsia="仿宋_GB2312"/>
          <w:color w:val="000000" w:themeColor="text1"/>
          <w:sz w:val="32"/>
          <w:szCs w:val="32"/>
          <w14:textFill>
            <w14:solidFill>
              <w14:schemeClr w14:val="tx1"/>
            </w14:solidFill>
          </w14:textFill>
        </w:rPr>
        <w:t>推动</w:t>
      </w:r>
      <w:r>
        <w:rPr>
          <w:rFonts w:ascii="仿宋_GB2312" w:eastAsia="仿宋_GB2312"/>
          <w:color w:val="000000" w:themeColor="text1"/>
          <w:sz w:val="32"/>
          <w:szCs w:val="32"/>
          <w14:textFill>
            <w14:solidFill>
              <w14:schemeClr w14:val="tx1"/>
            </w14:solidFill>
          </w14:textFill>
        </w:rPr>
        <w:t>与长三角地区中医药大学和知名中医医院的合作</w:t>
      </w:r>
      <w:r>
        <w:rPr>
          <w:rFonts w:hint="eastAsia" w:ascii="仿宋_GB2312" w:eastAsia="仿宋_GB2312"/>
          <w:color w:val="000000" w:themeColor="text1"/>
          <w:sz w:val="32"/>
          <w:szCs w:val="32"/>
          <w14:textFill>
            <w14:solidFill>
              <w14:schemeClr w14:val="tx1"/>
            </w14:solidFill>
          </w14:textFill>
        </w:rPr>
        <w:t>，通过</w:t>
      </w:r>
      <w:r>
        <w:rPr>
          <w:rFonts w:ascii="仿宋_GB2312" w:eastAsia="仿宋_GB2312"/>
          <w:color w:val="000000" w:themeColor="text1"/>
          <w:sz w:val="32"/>
          <w:szCs w:val="32"/>
          <w14:textFill>
            <w14:solidFill>
              <w14:schemeClr w14:val="tx1"/>
            </w14:solidFill>
          </w14:textFill>
        </w:rPr>
        <w:t>学科帮扶</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科研合作</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学术交流</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人员进修等方式，促进我市中医药服务能力快速提升</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共同促进长三角中医药一体化高质量发展。</w:t>
      </w:r>
      <w:r>
        <w:rPr>
          <w:rFonts w:hint="eastAsia" w:ascii="仿宋_GB2312" w:eastAsia="仿宋_GB2312"/>
          <w:color w:val="000000" w:themeColor="text1"/>
          <w:sz w:val="32"/>
          <w:szCs w:val="32"/>
          <w14:textFill>
            <w14:solidFill>
              <w14:schemeClr w14:val="tx1"/>
            </w14:solidFill>
          </w14:textFill>
        </w:rPr>
        <w:t>创建中医药服务出口基地，</w:t>
      </w:r>
      <w:r>
        <w:rPr>
          <w:rFonts w:ascii="仿宋_GB2312" w:eastAsia="仿宋_GB2312"/>
          <w:color w:val="000000" w:themeColor="text1"/>
          <w:sz w:val="32"/>
          <w:szCs w:val="32"/>
          <w14:textFill>
            <w14:solidFill>
              <w14:schemeClr w14:val="tx1"/>
            </w14:solidFill>
          </w14:textFill>
        </w:rPr>
        <w:t>加强与</w:t>
      </w:r>
      <w:r>
        <w:rPr>
          <w:rFonts w:hint="eastAsia" w:ascii="仿宋_GB2312" w:eastAsia="仿宋_GB2312"/>
          <w:color w:val="000000" w:themeColor="text1"/>
          <w:sz w:val="32"/>
          <w:szCs w:val="32"/>
          <w14:textFill>
            <w14:solidFill>
              <w14:schemeClr w14:val="tx1"/>
            </w14:solidFill>
          </w14:textFill>
        </w:rPr>
        <w:t>“一带一路”沿线国家中医药交流合作，促进</w:t>
      </w:r>
      <w:r>
        <w:rPr>
          <w:rFonts w:ascii="仿宋_GB2312" w:eastAsia="仿宋_GB2312"/>
          <w:color w:val="000000" w:themeColor="text1"/>
          <w:sz w:val="32"/>
          <w:szCs w:val="32"/>
          <w14:textFill>
            <w14:solidFill>
              <w14:schemeClr w14:val="tx1"/>
            </w14:solidFill>
          </w14:textFill>
        </w:rPr>
        <w:t>中医药文化海外传播，在境外文化和旅游推广活动中叠加中医药文化交流的功能，加快推进中医药文化</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走出去</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步伐。</w:t>
      </w:r>
    </w:p>
    <w:tbl>
      <w:tblPr>
        <w:tblStyle w:val="10"/>
        <w:tblW w:w="90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71" w:type="dxa"/>
            <w:vAlign w:val="center"/>
          </w:tcPr>
          <w:p>
            <w:pPr>
              <w:pStyle w:val="5"/>
              <w:adjustRightInd w:val="0"/>
              <w:snapToGrid w:val="0"/>
              <w:spacing w:line="400" w:lineRule="exact"/>
              <w:jc w:val="center"/>
              <w:rPr>
                <w:rFonts w:ascii="Times New Roman" w:hAnsi="Times New Roman"/>
                <w:color w:val="000000" w:themeColor="text1"/>
                <w:sz w:val="24"/>
                <w:szCs w:val="28"/>
                <w14:textFill>
                  <w14:solidFill>
                    <w14:schemeClr w14:val="tx1"/>
                  </w14:solidFill>
                </w14:textFill>
              </w:rPr>
            </w:pPr>
            <w:bookmarkStart w:id="5" w:name="_Toc69128753"/>
            <w:r>
              <w:rPr>
                <w:rFonts w:ascii="Times New Roman" w:hAnsi="Times New Roman"/>
                <w:color w:val="000000" w:themeColor="text1"/>
                <w:sz w:val="24"/>
                <w:szCs w:val="28"/>
                <w14:textFill>
                  <w14:solidFill>
                    <w14:schemeClr w14:val="tx1"/>
                  </w14:solidFill>
                </w14:textFill>
              </w:rPr>
              <w:t>专栏8 中医药文化传播</w:t>
            </w:r>
            <w:bookmarkEnd w:id="5"/>
            <w:r>
              <w:rPr>
                <w:rFonts w:hint="eastAsia" w:ascii="Times New Roman" w:hAnsi="Times New Roman"/>
                <w:color w:val="000000" w:themeColor="text1"/>
                <w:sz w:val="24"/>
                <w:szCs w:val="28"/>
                <w14:textFill>
                  <w14:solidFill>
                    <w14:schemeClr w14:val="tx1"/>
                  </w14:solidFill>
                </w14:textFill>
              </w:rPr>
              <w:t>提升</w:t>
            </w:r>
            <w:r>
              <w:rPr>
                <w:rFonts w:ascii="Times New Roman" w:hAnsi="Times New Roman"/>
                <w:color w:val="000000" w:themeColor="text1"/>
                <w:sz w:val="24"/>
                <w:szCs w:val="28"/>
                <w14:textFill>
                  <w14:solidFill>
                    <w14:schemeClr w14:val="tx1"/>
                  </w14:solidFill>
                </w14:textFill>
              </w:rPr>
              <w:t>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38" w:hRule="atLeast"/>
          <w:jc w:val="center"/>
        </w:trPr>
        <w:tc>
          <w:tcPr>
            <w:tcW w:w="9071" w:type="dxa"/>
            <w:vAlign w:val="center"/>
          </w:tcPr>
          <w:p>
            <w:pPr>
              <w:adjustRightInd w:val="0"/>
              <w:snapToGrid w:val="0"/>
              <w:spacing w:line="360" w:lineRule="exact"/>
              <w:ind w:firstLine="480" w:firstLineChars="200"/>
              <w:rPr>
                <w:color w:val="000000" w:themeColor="text1"/>
                <w:sz w:val="24"/>
                <w:szCs w:val="28"/>
                <w14:textFill>
                  <w14:solidFill>
                    <w14:schemeClr w14:val="tx1"/>
                  </w14:solidFill>
                </w14:textFill>
              </w:rPr>
            </w:pPr>
            <w:r>
              <w:rPr>
                <w:rFonts w:hint="eastAsia" w:ascii="仿宋_GB2312" w:eastAsia="仿宋_GB2312"/>
                <w:color w:val="000000" w:themeColor="text1"/>
                <w:sz w:val="24"/>
                <w:szCs w:val="28"/>
                <w14:textFill>
                  <w14:solidFill>
                    <w14:schemeClr w14:val="tx1"/>
                  </w14:solidFill>
                </w14:textFill>
              </w:rPr>
              <w:t>1</w:t>
            </w:r>
            <w:r>
              <w:rPr>
                <w:rFonts w:ascii="仿宋_GB2312" w:eastAsia="仿宋_GB2312"/>
                <w:color w:val="000000" w:themeColor="text1"/>
                <w:sz w:val="24"/>
                <w:szCs w:val="28"/>
                <w14:textFill>
                  <w14:solidFill>
                    <w14:schemeClr w14:val="tx1"/>
                  </w14:solidFill>
                </w14:textFill>
              </w:rPr>
              <w:t>.鼓励各地整合利用现有博物馆资源展示中医药传统文化，支持各类民间中医药博物馆建设和发展。</w:t>
            </w:r>
          </w:p>
          <w:p>
            <w:pPr>
              <w:adjustRightInd w:val="0"/>
              <w:snapToGrid w:val="0"/>
              <w:spacing w:line="360" w:lineRule="exact"/>
              <w:ind w:firstLine="480" w:firstLineChars="200"/>
              <w:rPr>
                <w:rFonts w:ascii="仿宋_GB2312" w:eastAsia="仿宋_GB2312"/>
                <w:color w:val="000000" w:themeColor="text1"/>
                <w:sz w:val="24"/>
                <w:szCs w:val="28"/>
                <w14:textFill>
                  <w14:solidFill>
                    <w14:schemeClr w14:val="tx1"/>
                  </w14:solidFill>
                </w14:textFill>
              </w:rPr>
            </w:pPr>
            <w:r>
              <w:rPr>
                <w:rFonts w:ascii="仿宋_GB2312" w:eastAsia="仿宋_GB2312"/>
                <w:color w:val="000000" w:themeColor="text1"/>
                <w:sz w:val="24"/>
                <w:szCs w:val="28"/>
                <w14:textFill>
                  <w14:solidFill>
                    <w14:schemeClr w14:val="tx1"/>
                  </w14:solidFill>
                </w14:textFill>
              </w:rPr>
              <w:t>2.</w:t>
            </w:r>
            <w:r>
              <w:rPr>
                <w:rFonts w:hint="eastAsia" w:ascii="仿宋_GB2312" w:eastAsia="仿宋_GB2312"/>
                <w:color w:val="000000" w:themeColor="text1"/>
                <w:sz w:val="24"/>
                <w:szCs w:val="28"/>
                <w14:textFill>
                  <w14:solidFill>
                    <w14:schemeClr w14:val="tx1"/>
                  </w14:solidFill>
                </w14:textFill>
              </w:rPr>
              <w:t>持续开展中医中药中国行系列活动，普及中医药健康养生知识和方法，提升中医药文化影响力。推进中医药进农村文化礼堂，丰富农村文化礼堂内容载体。到2025年，全市公民中医药健康文化素养水平达到30%以上。</w:t>
            </w:r>
          </w:p>
          <w:p>
            <w:pPr>
              <w:adjustRightInd w:val="0"/>
              <w:snapToGrid w:val="0"/>
              <w:spacing w:line="360" w:lineRule="exact"/>
              <w:ind w:firstLine="480" w:firstLineChars="200"/>
              <w:rPr>
                <w:rFonts w:ascii="仿宋_GB2312" w:eastAsia="仿宋_GB2312"/>
                <w:color w:val="000000" w:themeColor="text1"/>
                <w:sz w:val="24"/>
                <w:szCs w:val="28"/>
                <w14:textFill>
                  <w14:solidFill>
                    <w14:schemeClr w14:val="tx1"/>
                  </w14:solidFill>
                </w14:textFill>
              </w:rPr>
            </w:pPr>
            <w:r>
              <w:rPr>
                <w:rFonts w:hint="eastAsia" w:ascii="仿宋_GB2312" w:eastAsia="仿宋_GB2312"/>
                <w:color w:val="000000" w:themeColor="text1"/>
                <w:sz w:val="24"/>
                <w:szCs w:val="28"/>
                <w14:textFill>
                  <w14:solidFill>
                    <w14:schemeClr w14:val="tx1"/>
                  </w14:solidFill>
                </w14:textFill>
              </w:rPr>
              <w:t>3</w:t>
            </w:r>
            <w:r>
              <w:rPr>
                <w:rFonts w:ascii="仿宋_GB2312" w:eastAsia="仿宋_GB2312"/>
                <w:color w:val="000000" w:themeColor="text1"/>
                <w:sz w:val="24"/>
                <w:szCs w:val="28"/>
                <w14:textFill>
                  <w14:solidFill>
                    <w14:schemeClr w14:val="tx1"/>
                  </w14:solidFill>
                </w14:textFill>
              </w:rPr>
              <w:t>.加强中医药（畲医药）非物质文化遗产的发掘、立项、保护与传承，积极申报国家</w:t>
            </w:r>
            <w:r>
              <w:rPr>
                <w:rFonts w:hint="eastAsia" w:ascii="仿宋_GB2312" w:eastAsia="仿宋_GB2312"/>
                <w:color w:val="000000" w:themeColor="text1"/>
                <w:sz w:val="24"/>
                <w:szCs w:val="28"/>
                <w14:textFill>
                  <w14:solidFill>
                    <w14:schemeClr w14:val="tx1"/>
                  </w14:solidFill>
                </w14:textFill>
              </w:rPr>
              <w:t>、</w:t>
            </w:r>
            <w:r>
              <w:rPr>
                <w:rFonts w:ascii="仿宋_GB2312" w:eastAsia="仿宋_GB2312"/>
                <w:color w:val="000000" w:themeColor="text1"/>
                <w:sz w:val="24"/>
                <w:szCs w:val="28"/>
                <w14:textFill>
                  <w14:solidFill>
                    <w14:schemeClr w14:val="tx1"/>
                  </w14:solidFill>
                </w14:textFill>
              </w:rPr>
              <w:t>省</w:t>
            </w:r>
            <w:r>
              <w:rPr>
                <w:rFonts w:hint="eastAsia" w:ascii="仿宋_GB2312" w:eastAsia="仿宋_GB2312"/>
                <w:color w:val="000000" w:themeColor="text1"/>
                <w:sz w:val="24"/>
                <w:szCs w:val="28"/>
                <w14:textFill>
                  <w14:solidFill>
                    <w14:schemeClr w14:val="tx1"/>
                  </w14:solidFill>
                </w14:textFill>
              </w:rPr>
              <w:t>、</w:t>
            </w:r>
            <w:r>
              <w:rPr>
                <w:rFonts w:ascii="仿宋_GB2312" w:eastAsia="仿宋_GB2312"/>
                <w:color w:val="000000" w:themeColor="text1"/>
                <w:sz w:val="24"/>
                <w:szCs w:val="28"/>
                <w14:textFill>
                  <w14:solidFill>
                    <w14:schemeClr w14:val="tx1"/>
                  </w14:solidFill>
                </w14:textFill>
              </w:rPr>
              <w:t>市级非物质文化遗产项目。</w:t>
            </w:r>
          </w:p>
        </w:tc>
      </w:tr>
    </w:tbl>
    <w:p>
      <w:pPr>
        <w:overflowPunct w:val="0"/>
        <w:spacing w:line="560" w:lineRule="exact"/>
        <w:ind w:firstLine="643" w:firstLineChars="200"/>
        <w:rPr>
          <w:rFonts w:ascii="仿宋_GB2312" w:hAnsi="宋体" w:eastAsia="仿宋_GB2312" w:cs="宋体"/>
          <w:b/>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（六）倾力</w:t>
      </w:r>
      <w:r>
        <w:rPr>
          <w:rFonts w:hint="eastAsia" w:ascii="仿宋_GB2312" w:hAnsi="宋体" w:eastAsia="仿宋_GB2312" w:cs="宋体"/>
          <w:b/>
          <w:color w:val="000000" w:themeColor="text1"/>
          <w:sz w:val="32"/>
          <w:szCs w:val="32"/>
          <w:lang w:eastAsia="zh-CN"/>
          <w14:textFill>
            <w14:solidFill>
              <w14:schemeClr w14:val="tx1"/>
            </w14:solidFill>
          </w14:textFill>
        </w:rPr>
        <w:t>打造</w:t>
      </w:r>
      <w:r>
        <w:rPr>
          <w:rFonts w:hint="eastAsia" w:ascii="仿宋_GB2312" w:hAnsi="宋体" w:eastAsia="仿宋_GB2312" w:cs="宋体"/>
          <w:b/>
          <w:color w:val="000000" w:themeColor="text1"/>
          <w:sz w:val="32"/>
          <w:szCs w:val="32"/>
          <w14:textFill>
            <w14:solidFill>
              <w14:schemeClr w14:val="tx1"/>
            </w14:solidFill>
          </w14:textFill>
        </w:rPr>
        <w:t>“浙丽畲药”品牌</w:t>
      </w:r>
    </w:p>
    <w:p>
      <w:pPr>
        <w:overflowPunct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市中医院为依托，整合资源，成立畲医药研究机构。深入挖掘和传承畲医畲药，调查收集畲族珍稀濒危及特有药用物种的分布范围、种群数量，畲族民间传统养生药物、食物品种、配方、制作等数据，建设畲药数据库。做好畲医药独特诊疗技术和单方、验方的筛选、评价工作，推动一批丽水特色畲药进入浙江省中药炮制规范标准，推动已有标准的畲药进入中国药典标准。大力支持开展特色畲药药效物质基础及畲药饮片质量控制研究，积极研发畲药制剂，推动畲药的临床应用及产业化。加强畲医药对常见病、重大病的临床疗效及作用机制研究。加强国家级非遗项目—畲族医药（痧症疗法）的保护研究，推广刮痧、搓痧和针刺等畲医特色技术。将畲医药学科列入本地高校医学教育的选修课程，支持医疗机构内畲医药重点学科建设。</w:t>
      </w:r>
    </w:p>
    <w:p>
      <w:pPr>
        <w:overflowPunct w:val="0"/>
        <w:spacing w:line="560" w:lineRule="exact"/>
        <w:ind w:firstLine="643" w:firstLineChars="200"/>
        <w:rPr>
          <w:rFonts w:ascii="仿宋_GB2312" w:hAnsi="宋体" w:eastAsia="仿宋_GB2312" w:cs="宋体"/>
          <w:b/>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（七）倾力构建整体智治的中医药治理体系</w:t>
      </w:r>
    </w:p>
    <w:p>
      <w:pPr>
        <w:overflowPunct w:val="0"/>
        <w:spacing w:line="560" w:lineRule="exact"/>
        <w:ind w:firstLine="643" w:firstLineChars="200"/>
        <w:rPr>
          <w:rFonts w:ascii="仿宋_GB2312" w:hAnsi="宋体" w:eastAsia="仿宋_GB2312" w:cs="宋体"/>
          <w:bCs/>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1</w:t>
      </w:r>
      <w:r>
        <w:rPr>
          <w:rFonts w:ascii="仿宋_GB2312" w:eastAsia="仿宋_GB2312"/>
          <w:b/>
          <w:color w:val="000000" w:themeColor="text1"/>
          <w:sz w:val="32"/>
          <w:szCs w:val="32"/>
          <w14:textFill>
            <w14:solidFill>
              <w14:schemeClr w14:val="tx1"/>
            </w14:solidFill>
          </w14:textFill>
        </w:rPr>
        <w:t>.坚持党建引领建设发展</w:t>
      </w:r>
      <w:r>
        <w:rPr>
          <w:rFonts w:hint="eastAsia" w:ascii="仿宋_GB2312" w:eastAsia="仿宋_GB2312"/>
          <w:b/>
          <w:color w:val="000000" w:themeColor="text1"/>
          <w:sz w:val="32"/>
          <w:szCs w:val="32"/>
          <w14:textFill>
            <w14:solidFill>
              <w14:schemeClr w14:val="tx1"/>
            </w14:solidFill>
          </w14:textFill>
        </w:rPr>
        <w:t>。</w:t>
      </w:r>
      <w:r>
        <w:rPr>
          <w:rFonts w:hint="eastAsia" w:ascii="仿宋_GB2312" w:hAnsi="宋体" w:eastAsia="仿宋_GB2312" w:cs="宋体"/>
          <w:bCs/>
          <w:color w:val="000000" w:themeColor="text1"/>
          <w:sz w:val="32"/>
          <w:szCs w:val="32"/>
          <w14:textFill>
            <w14:solidFill>
              <w14:schemeClr w14:val="tx1"/>
            </w14:solidFill>
          </w14:textFill>
        </w:rPr>
        <w:t>坚持党的全面领导，完善公立中医医院党委领导下的院长负责制，将党建融入现代中医医院管理各环节。健全公立中医医院党建组织指导体系，完善公立中医医院党建工作质量评价办法，形成主体明晰、责任明确、有机衔接的党建工作机制。推进“一院一品牌”“一支部一品牌”特色党建工作与中医药工作有机融合。加强清廉医院建设，落实党内监督全覆盖，健全廉政风险防控机制，一体推进“不敢腐、不能腐、不想腐”，推动清廉思想、清廉制度、清廉规则、清廉纪律融入医院建设的各方面全过程。</w:t>
      </w:r>
    </w:p>
    <w:p>
      <w:pPr>
        <w:overflowPunct w:val="0"/>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2.完善中医药智治监管</w:t>
      </w:r>
      <w:r>
        <w:rPr>
          <w:rFonts w:hint="eastAsia" w:ascii="仿宋_GB2312" w:eastAsia="仿宋_GB2312"/>
          <w:b/>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依托浙江省“互联网+监管”平台，探索建立中医药信息化监管机制，打造中医药共服务、精密智控的服务监管体系。加强中医医疗机构行业准入许可、医疗质量、医疗行为、机构运行等全链条、全流程、全要素、多主的包容、审慎、有效监管机制。加强中药监管队伍建设，提升中药审评和监管现代化水平。加强医院医疗质量管理和医务人员医德医风教育，规范医疗行为，保障医疗安全。</w:t>
      </w:r>
    </w:p>
    <w:p>
      <w:pPr>
        <w:overflowPunct w:val="0"/>
        <w:spacing w:line="560" w:lineRule="exact"/>
        <w:ind w:firstLine="640" w:firstLineChars="200"/>
        <w:rPr>
          <w:rFonts w:ascii="黑体" w:hAnsi="黑体" w:eastAsia="黑体"/>
          <w:color w:val="000000" w:themeColor="text1"/>
          <w:sz w:val="32"/>
          <w:szCs w:val="28"/>
          <w14:textFill>
            <w14:solidFill>
              <w14:schemeClr w14:val="tx1"/>
            </w14:solidFill>
          </w14:textFill>
        </w:rPr>
      </w:pPr>
      <w:r>
        <w:rPr>
          <w:rFonts w:hint="eastAsia" w:ascii="黑体" w:hAnsi="黑体" w:eastAsia="黑体"/>
          <w:color w:val="000000" w:themeColor="text1"/>
          <w:sz w:val="32"/>
          <w:szCs w:val="28"/>
          <w14:textFill>
            <w14:solidFill>
              <w14:schemeClr w14:val="tx1"/>
            </w14:solidFill>
          </w14:textFill>
        </w:rPr>
        <w:t>四、保障措施</w:t>
      </w:r>
    </w:p>
    <w:p>
      <w:pPr>
        <w:overflowPunct w:val="0"/>
        <w:spacing w:line="560" w:lineRule="exact"/>
        <w:ind w:firstLine="643" w:firstLineChars="200"/>
        <w:rPr>
          <w:rFonts w:ascii="楷体_GB2312" w:eastAsia="楷体_GB2312"/>
          <w:b/>
          <w:color w:val="000000" w:themeColor="text1"/>
          <w:sz w:val="32"/>
          <w:szCs w:val="28"/>
          <w14:textFill>
            <w14:solidFill>
              <w14:schemeClr w14:val="tx1"/>
            </w14:solidFill>
          </w14:textFill>
        </w:rPr>
      </w:pPr>
      <w:r>
        <w:rPr>
          <w:rFonts w:hint="eastAsia" w:ascii="楷体_GB2312" w:eastAsia="楷体_GB2312"/>
          <w:b/>
          <w:color w:val="000000" w:themeColor="text1"/>
          <w:sz w:val="32"/>
          <w:szCs w:val="28"/>
          <w14:textFill>
            <w14:solidFill>
              <w14:schemeClr w14:val="tx1"/>
            </w14:solidFill>
          </w14:textFill>
        </w:rPr>
        <w:t>（一）加强组织领导</w:t>
      </w:r>
    </w:p>
    <w:p>
      <w:pPr>
        <w:overflowPunct w:val="0"/>
        <w:spacing w:line="560" w:lineRule="exact"/>
        <w:ind w:firstLine="640" w:firstLineChars="200"/>
        <w:rPr>
          <w:rFonts w:ascii="仿宋_GB2312" w:eastAsia="仿宋_GB2312"/>
          <w:color w:val="000000" w:themeColor="text1"/>
          <w:sz w:val="32"/>
          <w:szCs w:val="28"/>
          <w14:textFill>
            <w14:solidFill>
              <w14:schemeClr w14:val="tx1"/>
            </w14:solidFill>
          </w14:textFill>
        </w:rPr>
      </w:pPr>
      <w:r>
        <w:rPr>
          <w:rFonts w:hint="eastAsia" w:ascii="仿宋_GB2312" w:eastAsia="仿宋_GB2312"/>
          <w:color w:val="000000" w:themeColor="text1"/>
          <w:sz w:val="32"/>
          <w:szCs w:val="28"/>
          <w14:textFill>
            <w14:solidFill>
              <w14:schemeClr w14:val="tx1"/>
            </w14:solidFill>
          </w14:textFill>
        </w:rPr>
        <w:t>将中医药发展工作纳入党委和政府重要议事日程，列入当地国民经济和社会发展规划，在资源配置、政策机制、制度安排等方面予以倾斜。完善市中医药工作联席会议制度，形成共同推进中医药发展的工作合力。建立健全中医药管理体系，市、县（市、区）设置中医药行政管理机构，配强人员力量，协调做好中医药发展规划、标准制定和质量管理等工作。建立健全部门联动机制，加强卫生健康、发展改革、经信、财政、医保、人力社保、科技、市场监管、农业农村等中医药相关部门间的沟通协调。</w:t>
      </w:r>
    </w:p>
    <w:p>
      <w:pPr>
        <w:overflowPunct w:val="0"/>
        <w:spacing w:line="560" w:lineRule="exact"/>
        <w:ind w:firstLine="643" w:firstLineChars="200"/>
        <w:rPr>
          <w:rFonts w:ascii="楷体_GB2312" w:eastAsia="楷体_GB2312"/>
          <w:b/>
          <w:color w:val="000000" w:themeColor="text1"/>
          <w:sz w:val="32"/>
          <w:szCs w:val="28"/>
          <w14:textFill>
            <w14:solidFill>
              <w14:schemeClr w14:val="tx1"/>
            </w14:solidFill>
          </w14:textFill>
        </w:rPr>
      </w:pPr>
      <w:r>
        <w:rPr>
          <w:rFonts w:hint="eastAsia" w:ascii="楷体_GB2312" w:eastAsia="楷体_GB2312"/>
          <w:b/>
          <w:color w:val="000000" w:themeColor="text1"/>
          <w:sz w:val="32"/>
          <w:szCs w:val="28"/>
          <w14:textFill>
            <w14:solidFill>
              <w14:schemeClr w14:val="tx1"/>
            </w14:solidFill>
          </w14:textFill>
        </w:rPr>
        <w:t>（二）加强要素保障</w:t>
      </w:r>
    </w:p>
    <w:p>
      <w:pPr>
        <w:overflowPunct w:val="0"/>
        <w:spacing w:line="560" w:lineRule="exact"/>
        <w:ind w:firstLine="640" w:firstLineChars="200"/>
        <w:rPr>
          <w:rFonts w:ascii="仿宋_GB2312" w:eastAsia="仿宋_GB2312"/>
          <w:color w:val="000000" w:themeColor="text1"/>
          <w:sz w:val="32"/>
          <w:szCs w:val="28"/>
          <w14:textFill>
            <w14:solidFill>
              <w14:schemeClr w14:val="tx1"/>
            </w14:solidFill>
          </w14:textFill>
        </w:rPr>
      </w:pPr>
      <w:r>
        <w:rPr>
          <w:rFonts w:hint="eastAsia" w:ascii="仿宋_GB2312" w:eastAsia="仿宋_GB2312"/>
          <w:color w:val="000000" w:themeColor="text1"/>
          <w:sz w:val="32"/>
          <w:szCs w:val="28"/>
          <w14:textFill>
            <w14:solidFill>
              <w14:schemeClr w14:val="tx1"/>
            </w14:solidFill>
          </w14:textFill>
        </w:rPr>
        <w:t>建立适应持续稳定的适应中医药发展的多元投入机制，中医药发展经费进行预算单列。落实对公立中医医院基本建设、设备购置、重点学科发展、人才培养等政府投入政策，健全完善中医医疗机构补偿机制，不断加大中医药财政投入力度。中医药事业发展财政投入增幅不低于本年度财政支出和卫生健康投入的增长幅度，提高中医药事业发展经费在同级卫生健康事业经费中的比例。制定有利于中医医疗机构发挥中医药特色医疗服务的补偿办法。</w:t>
      </w:r>
      <w:r>
        <w:rPr>
          <w:rFonts w:ascii="仿宋_GB2312" w:eastAsia="仿宋_GB2312"/>
          <w:color w:val="000000" w:themeColor="text1"/>
          <w:sz w:val="32"/>
          <w:szCs w:val="28"/>
          <w14:textFill>
            <w14:solidFill>
              <w14:schemeClr w14:val="tx1"/>
            </w14:solidFill>
          </w14:textFill>
        </w:rPr>
        <w:t>完善中医药价格和医保政策</w:t>
      </w:r>
      <w:r>
        <w:rPr>
          <w:rFonts w:hint="eastAsia" w:ascii="仿宋_GB2312" w:eastAsia="仿宋_GB2312"/>
          <w:color w:val="000000" w:themeColor="text1"/>
          <w:sz w:val="32"/>
          <w:szCs w:val="28"/>
          <w14:textFill>
            <w14:solidFill>
              <w14:schemeClr w14:val="tx1"/>
            </w14:solidFill>
          </w14:textFill>
        </w:rPr>
        <w:t>，</w:t>
      </w:r>
      <w:r>
        <w:rPr>
          <w:rFonts w:ascii="仿宋_GB2312" w:eastAsia="仿宋_GB2312"/>
          <w:color w:val="000000" w:themeColor="text1"/>
          <w:sz w:val="32"/>
          <w:szCs w:val="28"/>
          <w14:textFill>
            <w14:solidFill>
              <w14:schemeClr w14:val="tx1"/>
            </w14:solidFill>
          </w14:textFill>
        </w:rPr>
        <w:t>将符合条件的医疗机构中药制剂</w:t>
      </w:r>
      <w:r>
        <w:rPr>
          <w:rFonts w:hint="eastAsia" w:ascii="仿宋_GB2312" w:eastAsia="仿宋_GB2312"/>
          <w:color w:val="000000" w:themeColor="text1"/>
          <w:sz w:val="32"/>
          <w:szCs w:val="28"/>
          <w14:textFill>
            <w14:solidFill>
              <w14:schemeClr w14:val="tx1"/>
            </w14:solidFill>
          </w14:textFill>
        </w:rPr>
        <w:t>、</w:t>
      </w:r>
      <w:r>
        <w:rPr>
          <w:rFonts w:ascii="仿宋_GB2312" w:eastAsia="仿宋_GB2312"/>
          <w:color w:val="000000" w:themeColor="text1"/>
          <w:sz w:val="32"/>
          <w:szCs w:val="28"/>
          <w14:textFill>
            <w14:solidFill>
              <w14:schemeClr w14:val="tx1"/>
            </w14:solidFill>
          </w14:textFill>
        </w:rPr>
        <w:t>中药配方颗粒</w:t>
      </w:r>
      <w:r>
        <w:rPr>
          <w:rFonts w:hint="eastAsia" w:ascii="仿宋_GB2312" w:eastAsia="仿宋_GB2312"/>
          <w:color w:val="000000" w:themeColor="text1"/>
          <w:sz w:val="32"/>
          <w:szCs w:val="28"/>
          <w14:textFill>
            <w14:solidFill>
              <w14:schemeClr w14:val="tx1"/>
            </w14:solidFill>
          </w14:textFill>
        </w:rPr>
        <w:t>和中医药适宜技术快速</w:t>
      </w:r>
      <w:r>
        <w:rPr>
          <w:rFonts w:ascii="仿宋_GB2312" w:eastAsia="仿宋_GB2312"/>
          <w:color w:val="000000" w:themeColor="text1"/>
          <w:sz w:val="32"/>
          <w:szCs w:val="28"/>
          <w14:textFill>
            <w14:solidFill>
              <w14:schemeClr w14:val="tx1"/>
            </w14:solidFill>
          </w14:textFill>
        </w:rPr>
        <w:t>纳入医保</w:t>
      </w:r>
      <w:r>
        <w:rPr>
          <w:rFonts w:hint="eastAsia" w:ascii="仿宋_GB2312" w:eastAsia="仿宋_GB2312"/>
          <w:color w:val="000000" w:themeColor="text1"/>
          <w:sz w:val="32"/>
          <w:szCs w:val="28"/>
          <w14:textFill>
            <w14:solidFill>
              <w14:schemeClr w14:val="tx1"/>
            </w14:solidFill>
          </w14:textFill>
        </w:rPr>
        <w:t>目录，定期申报、定期审批，实行动态调整。建立</w:t>
      </w:r>
      <w:r>
        <w:rPr>
          <w:rFonts w:ascii="仿宋_GB2312" w:eastAsia="仿宋_GB2312"/>
          <w:color w:val="000000" w:themeColor="text1"/>
          <w:sz w:val="32"/>
          <w:szCs w:val="28"/>
          <w14:textFill>
            <w14:solidFill>
              <w14:schemeClr w14:val="tx1"/>
            </w14:solidFill>
          </w14:textFill>
        </w:rPr>
        <w:t>科学合理的中医药价格形成和动态调整机制</w:t>
      </w:r>
      <w:r>
        <w:rPr>
          <w:rFonts w:hint="eastAsia" w:ascii="仿宋_GB2312" w:eastAsia="仿宋_GB2312"/>
          <w:color w:val="000000" w:themeColor="text1"/>
          <w:sz w:val="32"/>
          <w:szCs w:val="28"/>
          <w14:textFill>
            <w14:solidFill>
              <w14:schemeClr w14:val="tx1"/>
            </w14:solidFill>
          </w14:textFill>
        </w:rPr>
        <w:t>，中药制剂价格应不低于相同用量的中药饮片处方价格，支持医疗机构中药制剂在全市调剂使用。</w:t>
      </w:r>
    </w:p>
    <w:p>
      <w:pPr>
        <w:overflowPunct w:val="0"/>
        <w:spacing w:line="560" w:lineRule="exact"/>
        <w:ind w:firstLine="643" w:firstLineChars="200"/>
        <w:rPr>
          <w:rFonts w:ascii="楷体_GB2312" w:eastAsia="楷体_GB2312"/>
          <w:b/>
          <w:color w:val="000000" w:themeColor="text1"/>
          <w:sz w:val="32"/>
          <w:szCs w:val="28"/>
          <w14:textFill>
            <w14:solidFill>
              <w14:schemeClr w14:val="tx1"/>
            </w14:solidFill>
          </w14:textFill>
        </w:rPr>
      </w:pPr>
      <w:r>
        <w:rPr>
          <w:rFonts w:hint="eastAsia" w:ascii="楷体_GB2312" w:eastAsia="楷体_GB2312"/>
          <w:b/>
          <w:color w:val="000000" w:themeColor="text1"/>
          <w:sz w:val="32"/>
          <w:szCs w:val="28"/>
          <w14:textFill>
            <w14:solidFill>
              <w14:schemeClr w14:val="tx1"/>
            </w14:solidFill>
          </w14:textFill>
        </w:rPr>
        <w:t>（三）加强监测评估</w:t>
      </w:r>
    </w:p>
    <w:p>
      <w:pPr>
        <w:overflowPunct w:val="0"/>
        <w:spacing w:line="560" w:lineRule="exact"/>
        <w:ind w:firstLine="640" w:firstLineChars="200"/>
        <w:rPr>
          <w:rFonts w:ascii="仿宋_GB2312" w:eastAsia="仿宋_GB2312"/>
          <w:color w:val="000000" w:themeColor="text1"/>
          <w:sz w:val="32"/>
          <w:szCs w:val="28"/>
          <w14:textFill>
            <w14:solidFill>
              <w14:schemeClr w14:val="tx1"/>
            </w14:solidFill>
          </w14:textFill>
        </w:rPr>
      </w:pPr>
      <w:r>
        <w:rPr>
          <w:rFonts w:hint="eastAsia" w:ascii="仿宋_GB2312" w:eastAsia="仿宋_GB2312"/>
          <w:color w:val="000000" w:themeColor="text1"/>
          <w:sz w:val="32"/>
          <w:szCs w:val="28"/>
          <w14:textFill>
            <w14:solidFill>
              <w14:schemeClr w14:val="tx1"/>
            </w14:solidFill>
          </w14:textFill>
        </w:rPr>
        <w:t>将中医药工作纳入健康丽水一级考核指标进行考核。建立严格的规划实施监督评估、监测评价制度，实行规划年度监测、中期评估和终期检查制度，定期对规划实施进度和实施效果开展评估，监督重大项目的执行情况，及时发现和解决规划实施中存在的问题，提高监测评估的科学性和有效性，确保规划顺利实施。</w:t>
      </w:r>
    </w:p>
    <w:p>
      <w:pPr>
        <w:overflowPunct w:val="0"/>
        <w:spacing w:line="560" w:lineRule="exact"/>
        <w:ind w:firstLine="643" w:firstLineChars="200"/>
        <w:rPr>
          <w:rFonts w:ascii="楷体_GB2312" w:eastAsia="楷体_GB2312"/>
          <w:b/>
          <w:color w:val="000000" w:themeColor="text1"/>
          <w:sz w:val="32"/>
          <w:szCs w:val="28"/>
          <w14:textFill>
            <w14:solidFill>
              <w14:schemeClr w14:val="tx1"/>
            </w14:solidFill>
          </w14:textFill>
        </w:rPr>
      </w:pPr>
      <w:r>
        <w:rPr>
          <w:rFonts w:hint="eastAsia" w:ascii="楷体_GB2312" w:eastAsia="楷体_GB2312"/>
          <w:b/>
          <w:color w:val="000000" w:themeColor="text1"/>
          <w:sz w:val="32"/>
          <w:szCs w:val="28"/>
          <w14:textFill>
            <w14:solidFill>
              <w14:schemeClr w14:val="tx1"/>
            </w14:solidFill>
          </w14:textFill>
        </w:rPr>
        <w:t>（四）加强氛围营造</w:t>
      </w:r>
    </w:p>
    <w:p>
      <w:pPr>
        <w:overflowPunct w:val="0"/>
        <w:spacing w:line="560" w:lineRule="exact"/>
        <w:ind w:firstLine="640" w:firstLineChars="200"/>
        <w:rPr>
          <w:rFonts w:ascii="仿宋_GB2312" w:eastAsia="仿宋_GB2312"/>
          <w:color w:val="000000" w:themeColor="text1"/>
          <w:sz w:val="32"/>
          <w:szCs w:val="28"/>
          <w14:textFill>
            <w14:solidFill>
              <w14:schemeClr w14:val="tx1"/>
            </w14:solidFill>
          </w14:textFill>
        </w:rPr>
      </w:pPr>
      <w:r>
        <w:rPr>
          <w:rFonts w:hint="eastAsia" w:ascii="仿宋_GB2312" w:eastAsia="仿宋_GB2312"/>
          <w:color w:val="000000" w:themeColor="text1"/>
          <w:sz w:val="32"/>
          <w:szCs w:val="28"/>
          <w14:textFill>
            <w14:solidFill>
              <w14:schemeClr w14:val="tx1"/>
            </w14:solidFill>
          </w14:textFill>
        </w:rPr>
        <w:t>进一步加强中医药系统医德医风建设，树立先进典型，大力弘扬“大医精诚”的美德，引领全市中医药工作者悬壶济世、治病救人，切实维护中医药行业的良好形象。采取“多形式、多内容、多途径”措施做深做实中医药文化宣传和中医药防病治病知识普及</w:t>
      </w:r>
      <w:r>
        <w:rPr>
          <w:rFonts w:hint="eastAsia" w:ascii="仿宋_GB2312" w:eastAsia="仿宋_GB2312"/>
          <w:color w:val="000000" w:themeColor="text1"/>
          <w:sz w:val="32"/>
          <w:szCs w:val="32"/>
          <w14:textFill>
            <w14:solidFill>
              <w14:schemeClr w14:val="tx1"/>
            </w14:solidFill>
          </w14:textFill>
        </w:rPr>
        <w:t>。建立完善调动医务人员积极性的制度机制，关心爱护医务人员身心健康，通过多种形式营造崇尚生命、关爱健康、全社会尊医重卫的良好氛围。</w:t>
      </w:r>
    </w:p>
    <w:p>
      <w:pPr>
        <w:overflowPunct w:val="0"/>
        <w:spacing w:line="560" w:lineRule="exact"/>
        <w:ind w:firstLine="640" w:firstLineChars="200"/>
        <w:rPr>
          <w:rFonts w:ascii="仿宋_GB2312" w:eastAsia="仿宋_GB2312"/>
          <w:color w:val="000000" w:themeColor="text1"/>
          <w:sz w:val="32"/>
          <w:szCs w:val="28"/>
          <w14:textFill>
            <w14:solidFill>
              <w14:schemeClr w14:val="tx1"/>
            </w14:solidFill>
          </w14:textFill>
        </w:rPr>
      </w:pPr>
    </w:p>
    <w:p>
      <w:pPr>
        <w:overflowPunct w:val="0"/>
        <w:spacing w:line="560" w:lineRule="exact"/>
        <w:ind w:firstLine="640" w:firstLineChars="200"/>
        <w:rPr>
          <w:rFonts w:ascii="仿宋_GB2312" w:eastAsia="仿宋_GB2312"/>
          <w:color w:val="000000" w:themeColor="text1"/>
          <w:sz w:val="32"/>
          <w:szCs w:val="28"/>
          <w14:textFill>
            <w14:solidFill>
              <w14:schemeClr w14:val="tx1"/>
            </w14:solidFill>
          </w14:textFill>
        </w:rPr>
        <w:sectPr>
          <w:footerReference r:id="rId3" w:type="default"/>
          <w:pgSz w:w="11906" w:h="16838"/>
          <w:pgMar w:top="1985" w:right="1418" w:bottom="1985" w:left="1418" w:header="851" w:footer="992" w:gutter="0"/>
          <w:pgNumType w:fmt="numberInDash"/>
          <w:cols w:space="425" w:num="1"/>
          <w:docGrid w:type="lines" w:linePitch="312" w:charSpace="0"/>
        </w:sectPr>
      </w:pPr>
    </w:p>
    <w:p>
      <w:pPr>
        <w:overflowPunct w:val="0"/>
        <w:spacing w:line="54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附件：重大项目</w:t>
      </w:r>
    </w:p>
    <w:tbl>
      <w:tblPr>
        <w:tblStyle w:val="11"/>
        <w:tblW w:w="134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512"/>
        <w:gridCol w:w="6662"/>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vAlign w:val="center"/>
          </w:tcPr>
          <w:p>
            <w:pPr>
              <w:overflowPunct w:val="0"/>
              <w:spacing w:line="40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项目名称</w:t>
            </w:r>
          </w:p>
        </w:tc>
        <w:tc>
          <w:tcPr>
            <w:tcW w:w="1512" w:type="dxa"/>
            <w:vAlign w:val="center"/>
          </w:tcPr>
          <w:p>
            <w:pPr>
              <w:overflowPunct w:val="0"/>
              <w:spacing w:line="40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项目期限</w:t>
            </w:r>
          </w:p>
        </w:tc>
        <w:tc>
          <w:tcPr>
            <w:tcW w:w="6662" w:type="dxa"/>
            <w:vAlign w:val="center"/>
          </w:tcPr>
          <w:p>
            <w:pPr>
              <w:overflowPunct w:val="0"/>
              <w:spacing w:line="40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建设内容和规模</w:t>
            </w:r>
          </w:p>
        </w:tc>
        <w:tc>
          <w:tcPr>
            <w:tcW w:w="1701" w:type="dxa"/>
            <w:vAlign w:val="center"/>
          </w:tcPr>
          <w:p>
            <w:pPr>
              <w:overflowPunct w:val="0"/>
              <w:spacing w:line="40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总投资规模（万元）</w:t>
            </w:r>
          </w:p>
        </w:tc>
        <w:tc>
          <w:tcPr>
            <w:tcW w:w="1701" w:type="dxa"/>
            <w:vAlign w:val="center"/>
          </w:tcPr>
          <w:p>
            <w:pPr>
              <w:overflowPunct w:val="0"/>
              <w:spacing w:line="40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“十四五”计划投资（万元）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丽水市中医院中医传承创新楼工程</w:t>
            </w:r>
          </w:p>
        </w:tc>
        <w:tc>
          <w:tcPr>
            <w:tcW w:w="1512"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2020-2023</w:t>
            </w:r>
          </w:p>
        </w:tc>
        <w:tc>
          <w:tcPr>
            <w:tcW w:w="6662" w:type="dxa"/>
            <w:vAlign w:val="center"/>
          </w:tcPr>
          <w:p>
            <w:pPr>
              <w:overflowPunct w:val="0"/>
              <w:spacing w:line="400" w:lineRule="exact"/>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项目总建筑面积 32441 平方米，其中地上十三层建筑面积 27611 平方米，地下二层建筑面积 4830 平方米。新增用地约 5.2 亩，拟建设中医治未病中心、中医诊疗区、中医药经典病房、呼吸与危重病病区、名老中医经验传承工作室等内容。</w:t>
            </w:r>
          </w:p>
        </w:tc>
        <w:tc>
          <w:tcPr>
            <w:tcW w:w="1701"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21400</w:t>
            </w:r>
          </w:p>
        </w:tc>
        <w:tc>
          <w:tcPr>
            <w:tcW w:w="1701"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丽水市中医院一院两区项目</w:t>
            </w:r>
          </w:p>
        </w:tc>
        <w:tc>
          <w:tcPr>
            <w:tcW w:w="1512"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2025-2035</w:t>
            </w:r>
          </w:p>
        </w:tc>
        <w:tc>
          <w:tcPr>
            <w:tcW w:w="6662" w:type="dxa"/>
            <w:vAlign w:val="center"/>
          </w:tcPr>
          <w:p>
            <w:pPr>
              <w:overflowPunct w:val="0"/>
              <w:spacing w:line="400" w:lineRule="exact"/>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项目用地约 100 亩，总建筑面积约 70000 平方米，主要建设中医疫病中心、中医康复中心、临床教学中心、中药制剂中心、中医博物馆（含中药百草园）等内容。</w:t>
            </w:r>
          </w:p>
        </w:tc>
        <w:tc>
          <w:tcPr>
            <w:tcW w:w="1701"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80000</w:t>
            </w:r>
          </w:p>
        </w:tc>
        <w:tc>
          <w:tcPr>
            <w:tcW w:w="1701"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龙泉市中医医院迁建工程</w:t>
            </w:r>
          </w:p>
        </w:tc>
        <w:tc>
          <w:tcPr>
            <w:tcW w:w="1512"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2019-2022</w:t>
            </w:r>
          </w:p>
        </w:tc>
        <w:tc>
          <w:tcPr>
            <w:tcW w:w="6662" w:type="dxa"/>
            <w:vAlign w:val="center"/>
          </w:tcPr>
          <w:p>
            <w:pPr>
              <w:overflowPunct w:val="0"/>
              <w:spacing w:line="400" w:lineRule="exact"/>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项目规划总床位数250张，总用地面积21904平方米，预留用地7435平方米，总建筑面积25565平方米。</w:t>
            </w:r>
          </w:p>
        </w:tc>
        <w:tc>
          <w:tcPr>
            <w:tcW w:w="1701"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28000</w:t>
            </w:r>
          </w:p>
        </w:tc>
        <w:tc>
          <w:tcPr>
            <w:tcW w:w="1701"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青田县中医医院沙埠院区(青田县第二人民医院)</w:t>
            </w:r>
          </w:p>
        </w:tc>
        <w:tc>
          <w:tcPr>
            <w:tcW w:w="1512"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2020-2023</w:t>
            </w:r>
          </w:p>
        </w:tc>
        <w:tc>
          <w:tcPr>
            <w:tcW w:w="6662" w:type="dxa"/>
            <w:vAlign w:val="center"/>
          </w:tcPr>
          <w:p>
            <w:pPr>
              <w:rPr>
                <w:rFonts w:ascii="仿宋_GB2312" w:hAnsi="宋体" w:eastAsia="仿宋_GB2312" w:cs="宋体"/>
                <w:color w:val="000000"/>
                <w:kern w:val="0"/>
                <w:sz w:val="24"/>
                <w:lang w:bidi="ar"/>
              </w:rPr>
            </w:pPr>
            <w:r>
              <w:rPr>
                <w:rFonts w:hint="eastAsia" w:ascii="仿宋_GB2312" w:eastAsia="仿宋_GB2312"/>
                <w:color w:val="000000" w:themeColor="text1"/>
                <w:sz w:val="24"/>
                <w14:textFill>
                  <w14:solidFill>
                    <w14:schemeClr w14:val="tx1"/>
                  </w14:solidFill>
                </w14:textFill>
              </w:rPr>
              <w:t>青田县中医医院沙埠院区(青田县第二人民医院)，</w:t>
            </w:r>
            <w:r>
              <w:rPr>
                <w:rFonts w:hint="eastAsia" w:ascii="仿宋_GB2312" w:hAnsi="宋体" w:eastAsia="仿宋_GB2312" w:cs="宋体"/>
                <w:color w:val="000000"/>
                <w:kern w:val="0"/>
                <w:sz w:val="24"/>
                <w:lang w:bidi="ar"/>
              </w:rPr>
              <w:t>工程用地面积19470平方米，总建筑面积为43050.7平方米(含地下建筑面积8873.2平方米)，主要建筑包括：门诊医技综合楼、住院楼、食堂、设备用房等。拟建床位数300张。项目总投资25899万元。</w:t>
            </w:r>
          </w:p>
        </w:tc>
        <w:tc>
          <w:tcPr>
            <w:tcW w:w="1701"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25899</w:t>
            </w:r>
          </w:p>
        </w:tc>
        <w:tc>
          <w:tcPr>
            <w:tcW w:w="1701"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25899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浙西南中医养老护理康复中心(庆元县中医院迁建工程)</w:t>
            </w:r>
          </w:p>
        </w:tc>
        <w:tc>
          <w:tcPr>
            <w:tcW w:w="1512"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2021-2025</w:t>
            </w:r>
          </w:p>
        </w:tc>
        <w:tc>
          <w:tcPr>
            <w:tcW w:w="6662" w:type="dxa"/>
            <w:vAlign w:val="center"/>
          </w:tcPr>
          <w:p>
            <w:pPr>
              <w:overflowPunct w:val="0"/>
              <w:spacing w:line="400" w:lineRule="exact"/>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项目总用地面积约30600平方米，床位数量450 床，总建筑面积45500平方米，总投资2.98亿元，分两期建设。一期建设浙西南中医养老护理康复中心，总用地面积约17262平方米（25.88亩），核定床位250床，投资1.58亿元，总建筑面积约26000平方米（其中地上建筑面积约20000平方米，地下建筑面积约6000平方米）。新建医技综合用房、康养用房及相关附属用房；设备信息化、消防设施、电气系统、绿化、道路及其他相关配套设施等。二期建设中医院综合大楼，总用地面积约13340平方米，核定床位200床，投资1.4亿元，总建筑面积约19500平方米。新建门诊综大楼及相关附属用房等。</w:t>
            </w:r>
          </w:p>
        </w:tc>
        <w:tc>
          <w:tcPr>
            <w:tcW w:w="1701"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29800</w:t>
            </w:r>
          </w:p>
        </w:tc>
        <w:tc>
          <w:tcPr>
            <w:tcW w:w="1701"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云和县医疗健康集团中医医院迁建工程</w:t>
            </w:r>
          </w:p>
        </w:tc>
        <w:tc>
          <w:tcPr>
            <w:tcW w:w="1512"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2020-2023</w:t>
            </w:r>
          </w:p>
        </w:tc>
        <w:tc>
          <w:tcPr>
            <w:tcW w:w="6662" w:type="dxa"/>
            <w:vAlign w:val="center"/>
          </w:tcPr>
          <w:p>
            <w:pPr>
              <w:overflowPunct w:val="0"/>
              <w:spacing w:line="400" w:lineRule="exact"/>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按二级甲等标准建设，项目总用地面积22754平方米，总建筑面积29750平方米，设计床位250张。</w:t>
            </w:r>
          </w:p>
        </w:tc>
        <w:tc>
          <w:tcPr>
            <w:tcW w:w="1701"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19978</w:t>
            </w:r>
          </w:p>
        </w:tc>
        <w:tc>
          <w:tcPr>
            <w:tcW w:w="1701"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19745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缙云县中医医院迁建项目</w:t>
            </w:r>
          </w:p>
        </w:tc>
        <w:tc>
          <w:tcPr>
            <w:tcW w:w="1512"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2020-2023</w:t>
            </w:r>
          </w:p>
        </w:tc>
        <w:tc>
          <w:tcPr>
            <w:tcW w:w="6662" w:type="dxa"/>
            <w:vAlign w:val="center"/>
          </w:tcPr>
          <w:p>
            <w:pPr>
              <w:overflowPunct w:val="0"/>
              <w:spacing w:line="400" w:lineRule="exact"/>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项目规划床位300张，用地面积13668.96平方米，拆除原人民医院老旧危房9174平方米；新建建筑总面积13600平方米，包括住院大楼一幢面积约9800平方米、后勤楼一幢面积1000平方米、地下停车库面积2800平方米。</w:t>
            </w:r>
          </w:p>
        </w:tc>
        <w:tc>
          <w:tcPr>
            <w:tcW w:w="1701"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10428</w:t>
            </w:r>
          </w:p>
        </w:tc>
        <w:tc>
          <w:tcPr>
            <w:tcW w:w="1701"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10428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缙云县中医医院感染楼及门诊楼建设项目</w:t>
            </w:r>
          </w:p>
        </w:tc>
        <w:tc>
          <w:tcPr>
            <w:tcW w:w="1512"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2021-2023</w:t>
            </w:r>
          </w:p>
        </w:tc>
        <w:tc>
          <w:tcPr>
            <w:tcW w:w="6662" w:type="dxa"/>
            <w:vAlign w:val="center"/>
          </w:tcPr>
          <w:p>
            <w:pPr>
              <w:overflowPunct w:val="0"/>
              <w:spacing w:line="400" w:lineRule="exact"/>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项目建设主要内容包括新建发热门诊及其附属设施，项目用地面积2309平方米，建筑面积1760平方米；新建地下停车库，建筑面积7187平方米；门诊楼内部及外立面改造，估算改造面积约21400平方米。</w:t>
            </w:r>
          </w:p>
        </w:tc>
        <w:tc>
          <w:tcPr>
            <w:tcW w:w="1701"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7500</w:t>
            </w:r>
          </w:p>
        </w:tc>
        <w:tc>
          <w:tcPr>
            <w:tcW w:w="1701"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松阳县中医医院迁建工程</w:t>
            </w:r>
          </w:p>
        </w:tc>
        <w:tc>
          <w:tcPr>
            <w:tcW w:w="1512"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2020-2024</w:t>
            </w:r>
          </w:p>
        </w:tc>
        <w:tc>
          <w:tcPr>
            <w:tcW w:w="6662" w:type="dxa"/>
            <w:vAlign w:val="center"/>
          </w:tcPr>
          <w:p>
            <w:pPr>
              <w:overflowPunct w:val="0"/>
              <w:spacing w:line="400" w:lineRule="exact"/>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新建医疗综合楼、住院楼、后勤楼、发热门诊用房，设置床位500张，项目占地面积56686.62平方米，总建筑面积70406.96平方米。</w:t>
            </w:r>
          </w:p>
        </w:tc>
        <w:tc>
          <w:tcPr>
            <w:tcW w:w="1701"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46660</w:t>
            </w:r>
          </w:p>
        </w:tc>
        <w:tc>
          <w:tcPr>
            <w:tcW w:w="1701" w:type="dxa"/>
            <w:vAlign w:val="center"/>
          </w:tcPr>
          <w:p>
            <w:pPr>
              <w:overflowPunct w:val="0"/>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37160</w:t>
            </w:r>
          </w:p>
        </w:tc>
      </w:tr>
    </w:tbl>
    <w:p>
      <w:pPr>
        <w:overflowPunct w:val="0"/>
        <w:spacing w:line="540" w:lineRule="exact"/>
        <w:ind w:firstLine="560" w:firstLineChars="200"/>
        <w:rPr>
          <w:rFonts w:ascii="仿宋_GB2312" w:eastAsia="仿宋_GB2312"/>
          <w:color w:val="000000" w:themeColor="text1"/>
          <w:sz w:val="28"/>
          <w:szCs w:val="28"/>
          <w14:textFill>
            <w14:solidFill>
              <w14:schemeClr w14:val="tx1"/>
            </w14:solidFill>
          </w14:textFill>
        </w:rPr>
      </w:pPr>
    </w:p>
    <w:sectPr>
      <w:pgSz w:w="16838" w:h="11906" w:orient="landscape"/>
      <w:pgMar w:top="1418" w:right="1985" w:bottom="1418"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方正大标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4497980"/>
    </w:sdtPr>
    <w:sdtEndPr>
      <w:rPr>
        <w:rFonts w:ascii="Times New Roman" w:hAnsi="Times New Roman" w:cs="Times New Roman"/>
        <w:sz w:val="24"/>
      </w:rPr>
    </w:sdtEndPr>
    <w:sdtContent>
      <w:p>
        <w:pPr>
          <w:pStyle w:val="7"/>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PAGE   \* MERGEFORMAT</w:instrText>
        </w:r>
        <w:r>
          <w:rPr>
            <w:rFonts w:ascii="Times New Roman" w:hAnsi="Times New Roman" w:cs="Times New Roman"/>
            <w:sz w:val="24"/>
          </w:rPr>
          <w:fldChar w:fldCharType="separate"/>
        </w:r>
        <w:r>
          <w:rPr>
            <w:rFonts w:ascii="Times New Roman" w:hAnsi="Times New Roman" w:cs="Times New Roman"/>
            <w:sz w:val="24"/>
            <w:lang w:val="zh-CN"/>
          </w:rPr>
          <w:t>-</w:t>
        </w:r>
        <w:r>
          <w:rPr>
            <w:rFonts w:ascii="Times New Roman" w:hAnsi="Times New Roman" w:cs="Times New Roman"/>
            <w:sz w:val="24"/>
          </w:rPr>
          <w:t xml:space="preserve"> 12 -</w:t>
        </w:r>
        <w:r>
          <w:rPr>
            <w:rFonts w:ascii="Times New Roman" w:hAnsi="Times New Roman" w:cs="Times New Roman"/>
            <w:sz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NTgxNjlhMjdhMjVhYjFhMzg5OWFiZDcwNDY3NDkifQ=="/>
  </w:docVars>
  <w:rsids>
    <w:rsidRoot w:val="00F03A8A"/>
    <w:rsid w:val="00000995"/>
    <w:rsid w:val="00000E51"/>
    <w:rsid w:val="00003475"/>
    <w:rsid w:val="000067A2"/>
    <w:rsid w:val="00015069"/>
    <w:rsid w:val="00015BCC"/>
    <w:rsid w:val="00016AFA"/>
    <w:rsid w:val="0001798D"/>
    <w:rsid w:val="000216E6"/>
    <w:rsid w:val="00021725"/>
    <w:rsid w:val="00022FB7"/>
    <w:rsid w:val="0003024B"/>
    <w:rsid w:val="00031547"/>
    <w:rsid w:val="00035EB7"/>
    <w:rsid w:val="00036AA0"/>
    <w:rsid w:val="00040DC8"/>
    <w:rsid w:val="00044420"/>
    <w:rsid w:val="00053567"/>
    <w:rsid w:val="00054321"/>
    <w:rsid w:val="000550DF"/>
    <w:rsid w:val="00056032"/>
    <w:rsid w:val="00057270"/>
    <w:rsid w:val="00062EAE"/>
    <w:rsid w:val="00064CD2"/>
    <w:rsid w:val="00066645"/>
    <w:rsid w:val="0006691D"/>
    <w:rsid w:val="00072825"/>
    <w:rsid w:val="00073165"/>
    <w:rsid w:val="00073595"/>
    <w:rsid w:val="00073BE5"/>
    <w:rsid w:val="00076037"/>
    <w:rsid w:val="0008195C"/>
    <w:rsid w:val="000836CC"/>
    <w:rsid w:val="00084F0E"/>
    <w:rsid w:val="000879F7"/>
    <w:rsid w:val="000900C7"/>
    <w:rsid w:val="00091B2D"/>
    <w:rsid w:val="00095073"/>
    <w:rsid w:val="00095513"/>
    <w:rsid w:val="000A020F"/>
    <w:rsid w:val="000A1012"/>
    <w:rsid w:val="000A1D56"/>
    <w:rsid w:val="000A26F8"/>
    <w:rsid w:val="000A34D8"/>
    <w:rsid w:val="000A351D"/>
    <w:rsid w:val="000A427B"/>
    <w:rsid w:val="000A63FA"/>
    <w:rsid w:val="000A78F8"/>
    <w:rsid w:val="000B1276"/>
    <w:rsid w:val="000B635D"/>
    <w:rsid w:val="000C15A9"/>
    <w:rsid w:val="000C1F88"/>
    <w:rsid w:val="000D149D"/>
    <w:rsid w:val="000D1585"/>
    <w:rsid w:val="000D17AB"/>
    <w:rsid w:val="000D28D6"/>
    <w:rsid w:val="000D4075"/>
    <w:rsid w:val="000D613B"/>
    <w:rsid w:val="000E17A9"/>
    <w:rsid w:val="000E3AC8"/>
    <w:rsid w:val="000E5F96"/>
    <w:rsid w:val="000E6467"/>
    <w:rsid w:val="000F3373"/>
    <w:rsid w:val="000F3C12"/>
    <w:rsid w:val="000F439E"/>
    <w:rsid w:val="000F5E93"/>
    <w:rsid w:val="000F61AD"/>
    <w:rsid w:val="000F6791"/>
    <w:rsid w:val="001012B5"/>
    <w:rsid w:val="00105F7C"/>
    <w:rsid w:val="0010691B"/>
    <w:rsid w:val="001079CC"/>
    <w:rsid w:val="0011006A"/>
    <w:rsid w:val="001107BB"/>
    <w:rsid w:val="00112061"/>
    <w:rsid w:val="00113092"/>
    <w:rsid w:val="00113783"/>
    <w:rsid w:val="00113A5E"/>
    <w:rsid w:val="00114CD7"/>
    <w:rsid w:val="00117B9B"/>
    <w:rsid w:val="00121D72"/>
    <w:rsid w:val="00124962"/>
    <w:rsid w:val="001327D2"/>
    <w:rsid w:val="0013574F"/>
    <w:rsid w:val="00142939"/>
    <w:rsid w:val="00145C52"/>
    <w:rsid w:val="0015513A"/>
    <w:rsid w:val="00162CCF"/>
    <w:rsid w:val="00163B5A"/>
    <w:rsid w:val="00164701"/>
    <w:rsid w:val="00164BEF"/>
    <w:rsid w:val="00167064"/>
    <w:rsid w:val="0016727C"/>
    <w:rsid w:val="0017007D"/>
    <w:rsid w:val="0017514A"/>
    <w:rsid w:val="001866CD"/>
    <w:rsid w:val="00190F41"/>
    <w:rsid w:val="0019257C"/>
    <w:rsid w:val="00192779"/>
    <w:rsid w:val="00192B54"/>
    <w:rsid w:val="001934D2"/>
    <w:rsid w:val="00193637"/>
    <w:rsid w:val="0019592A"/>
    <w:rsid w:val="00197177"/>
    <w:rsid w:val="0019769A"/>
    <w:rsid w:val="001A1E85"/>
    <w:rsid w:val="001A22AF"/>
    <w:rsid w:val="001A37F7"/>
    <w:rsid w:val="001B131D"/>
    <w:rsid w:val="001B22C1"/>
    <w:rsid w:val="001B31A1"/>
    <w:rsid w:val="001B71A4"/>
    <w:rsid w:val="001C1A31"/>
    <w:rsid w:val="001C45A2"/>
    <w:rsid w:val="001C5953"/>
    <w:rsid w:val="001C7E65"/>
    <w:rsid w:val="001C7EF4"/>
    <w:rsid w:val="001D3368"/>
    <w:rsid w:val="001D6185"/>
    <w:rsid w:val="001D61FA"/>
    <w:rsid w:val="001E0A10"/>
    <w:rsid w:val="001E22D0"/>
    <w:rsid w:val="001E4B9D"/>
    <w:rsid w:val="001E552E"/>
    <w:rsid w:val="001F0196"/>
    <w:rsid w:val="001F1784"/>
    <w:rsid w:val="001F39DA"/>
    <w:rsid w:val="00200B73"/>
    <w:rsid w:val="00201D89"/>
    <w:rsid w:val="00206A3C"/>
    <w:rsid w:val="00210C40"/>
    <w:rsid w:val="00212C49"/>
    <w:rsid w:val="0021381A"/>
    <w:rsid w:val="00215809"/>
    <w:rsid w:val="002166D4"/>
    <w:rsid w:val="00217320"/>
    <w:rsid w:val="00220EE8"/>
    <w:rsid w:val="002211AC"/>
    <w:rsid w:val="00223934"/>
    <w:rsid w:val="0022411F"/>
    <w:rsid w:val="00231811"/>
    <w:rsid w:val="0023383D"/>
    <w:rsid w:val="00233B81"/>
    <w:rsid w:val="002346F9"/>
    <w:rsid w:val="002350C9"/>
    <w:rsid w:val="00236E50"/>
    <w:rsid w:val="00237543"/>
    <w:rsid w:val="00241E89"/>
    <w:rsid w:val="002449CA"/>
    <w:rsid w:val="0024755A"/>
    <w:rsid w:val="00251675"/>
    <w:rsid w:val="00253F1A"/>
    <w:rsid w:val="002548CE"/>
    <w:rsid w:val="00255291"/>
    <w:rsid w:val="00255523"/>
    <w:rsid w:val="002632BB"/>
    <w:rsid w:val="00266BE8"/>
    <w:rsid w:val="00271618"/>
    <w:rsid w:val="0027269D"/>
    <w:rsid w:val="00276106"/>
    <w:rsid w:val="00283C29"/>
    <w:rsid w:val="0028512F"/>
    <w:rsid w:val="0028595C"/>
    <w:rsid w:val="0028709C"/>
    <w:rsid w:val="002907E3"/>
    <w:rsid w:val="002A06FF"/>
    <w:rsid w:val="002A203A"/>
    <w:rsid w:val="002A2B32"/>
    <w:rsid w:val="002A33F3"/>
    <w:rsid w:val="002A3AE8"/>
    <w:rsid w:val="002A3B1C"/>
    <w:rsid w:val="002B00F7"/>
    <w:rsid w:val="002B5754"/>
    <w:rsid w:val="002C09AD"/>
    <w:rsid w:val="002C0AED"/>
    <w:rsid w:val="002C40DA"/>
    <w:rsid w:val="002C6536"/>
    <w:rsid w:val="002C70F1"/>
    <w:rsid w:val="002C798A"/>
    <w:rsid w:val="002D2EB3"/>
    <w:rsid w:val="002D7BE0"/>
    <w:rsid w:val="002E0F77"/>
    <w:rsid w:val="002E6354"/>
    <w:rsid w:val="002F0351"/>
    <w:rsid w:val="002F04CF"/>
    <w:rsid w:val="002F218F"/>
    <w:rsid w:val="002F2654"/>
    <w:rsid w:val="002F36E9"/>
    <w:rsid w:val="002F3F9E"/>
    <w:rsid w:val="002F4522"/>
    <w:rsid w:val="002F6666"/>
    <w:rsid w:val="00300077"/>
    <w:rsid w:val="00303058"/>
    <w:rsid w:val="00304582"/>
    <w:rsid w:val="00304CB7"/>
    <w:rsid w:val="00305CFD"/>
    <w:rsid w:val="00307956"/>
    <w:rsid w:val="003129E2"/>
    <w:rsid w:val="0031373A"/>
    <w:rsid w:val="00321490"/>
    <w:rsid w:val="00323D18"/>
    <w:rsid w:val="0032453D"/>
    <w:rsid w:val="003249EF"/>
    <w:rsid w:val="0032575A"/>
    <w:rsid w:val="00330C43"/>
    <w:rsid w:val="00330E6F"/>
    <w:rsid w:val="00336F60"/>
    <w:rsid w:val="003405C8"/>
    <w:rsid w:val="0034100E"/>
    <w:rsid w:val="00342694"/>
    <w:rsid w:val="0034385C"/>
    <w:rsid w:val="00346531"/>
    <w:rsid w:val="00350A61"/>
    <w:rsid w:val="00352ABF"/>
    <w:rsid w:val="00352FEB"/>
    <w:rsid w:val="0036352B"/>
    <w:rsid w:val="00370218"/>
    <w:rsid w:val="0037372C"/>
    <w:rsid w:val="0037437E"/>
    <w:rsid w:val="00376F12"/>
    <w:rsid w:val="003835A5"/>
    <w:rsid w:val="00390AC3"/>
    <w:rsid w:val="00391160"/>
    <w:rsid w:val="00393A61"/>
    <w:rsid w:val="003942B2"/>
    <w:rsid w:val="003955EA"/>
    <w:rsid w:val="00395886"/>
    <w:rsid w:val="003A39AD"/>
    <w:rsid w:val="003A6019"/>
    <w:rsid w:val="003A61FC"/>
    <w:rsid w:val="003A64A0"/>
    <w:rsid w:val="003A7CBD"/>
    <w:rsid w:val="003B28D2"/>
    <w:rsid w:val="003C2CDE"/>
    <w:rsid w:val="003C4022"/>
    <w:rsid w:val="003C5E03"/>
    <w:rsid w:val="003C6E9C"/>
    <w:rsid w:val="003C78D1"/>
    <w:rsid w:val="003C7C74"/>
    <w:rsid w:val="003D2A47"/>
    <w:rsid w:val="003D33C5"/>
    <w:rsid w:val="003D53FD"/>
    <w:rsid w:val="003D7447"/>
    <w:rsid w:val="003E0979"/>
    <w:rsid w:val="003E375E"/>
    <w:rsid w:val="003E7D6C"/>
    <w:rsid w:val="003E7DD2"/>
    <w:rsid w:val="003F060C"/>
    <w:rsid w:val="003F0F09"/>
    <w:rsid w:val="003F2AF5"/>
    <w:rsid w:val="00400591"/>
    <w:rsid w:val="004011D0"/>
    <w:rsid w:val="0040177A"/>
    <w:rsid w:val="004027C8"/>
    <w:rsid w:val="0040536E"/>
    <w:rsid w:val="00406A66"/>
    <w:rsid w:val="00411DD3"/>
    <w:rsid w:val="0042048C"/>
    <w:rsid w:val="00420A5F"/>
    <w:rsid w:val="004236B3"/>
    <w:rsid w:val="00427A10"/>
    <w:rsid w:val="004336F6"/>
    <w:rsid w:val="00436DC8"/>
    <w:rsid w:val="004373DB"/>
    <w:rsid w:val="00444AE5"/>
    <w:rsid w:val="0044582C"/>
    <w:rsid w:val="00447427"/>
    <w:rsid w:val="00450AB7"/>
    <w:rsid w:val="004574E4"/>
    <w:rsid w:val="00463C6A"/>
    <w:rsid w:val="00466242"/>
    <w:rsid w:val="00480530"/>
    <w:rsid w:val="00480C47"/>
    <w:rsid w:val="004819BD"/>
    <w:rsid w:val="00484684"/>
    <w:rsid w:val="0049780A"/>
    <w:rsid w:val="004A4448"/>
    <w:rsid w:val="004A527E"/>
    <w:rsid w:val="004A5501"/>
    <w:rsid w:val="004B0EBB"/>
    <w:rsid w:val="004B37BA"/>
    <w:rsid w:val="004B53E0"/>
    <w:rsid w:val="004B5714"/>
    <w:rsid w:val="004B6171"/>
    <w:rsid w:val="004C0B56"/>
    <w:rsid w:val="004C2524"/>
    <w:rsid w:val="004C30E9"/>
    <w:rsid w:val="004C61B3"/>
    <w:rsid w:val="004D0FFE"/>
    <w:rsid w:val="004D1112"/>
    <w:rsid w:val="004D139F"/>
    <w:rsid w:val="004D2EB8"/>
    <w:rsid w:val="004D4BDB"/>
    <w:rsid w:val="004E0CB4"/>
    <w:rsid w:val="004E228E"/>
    <w:rsid w:val="004E3BCE"/>
    <w:rsid w:val="004E6BEA"/>
    <w:rsid w:val="004E7F30"/>
    <w:rsid w:val="004F2350"/>
    <w:rsid w:val="004F43B9"/>
    <w:rsid w:val="004F52A8"/>
    <w:rsid w:val="004F5873"/>
    <w:rsid w:val="00505A12"/>
    <w:rsid w:val="00507A18"/>
    <w:rsid w:val="00510C1A"/>
    <w:rsid w:val="005148CD"/>
    <w:rsid w:val="0051661A"/>
    <w:rsid w:val="00516DF0"/>
    <w:rsid w:val="00521BF5"/>
    <w:rsid w:val="005220C2"/>
    <w:rsid w:val="00526124"/>
    <w:rsid w:val="00531DE5"/>
    <w:rsid w:val="00534424"/>
    <w:rsid w:val="0053481A"/>
    <w:rsid w:val="0053707A"/>
    <w:rsid w:val="00540A6A"/>
    <w:rsid w:val="00540FBB"/>
    <w:rsid w:val="00542D7D"/>
    <w:rsid w:val="005452B5"/>
    <w:rsid w:val="00545450"/>
    <w:rsid w:val="00546ADB"/>
    <w:rsid w:val="00552857"/>
    <w:rsid w:val="005548FA"/>
    <w:rsid w:val="00566E4E"/>
    <w:rsid w:val="005703F6"/>
    <w:rsid w:val="005707F0"/>
    <w:rsid w:val="005730E8"/>
    <w:rsid w:val="00573EF6"/>
    <w:rsid w:val="0058284A"/>
    <w:rsid w:val="005840AC"/>
    <w:rsid w:val="00587FBC"/>
    <w:rsid w:val="00590CCF"/>
    <w:rsid w:val="00590E91"/>
    <w:rsid w:val="00595C4E"/>
    <w:rsid w:val="00596AB6"/>
    <w:rsid w:val="005979B1"/>
    <w:rsid w:val="00597AA9"/>
    <w:rsid w:val="005A04C4"/>
    <w:rsid w:val="005A2604"/>
    <w:rsid w:val="005A29F1"/>
    <w:rsid w:val="005A63CD"/>
    <w:rsid w:val="005A793F"/>
    <w:rsid w:val="005B13FF"/>
    <w:rsid w:val="005B2AB5"/>
    <w:rsid w:val="005B68D3"/>
    <w:rsid w:val="005B6B8E"/>
    <w:rsid w:val="005B746F"/>
    <w:rsid w:val="005C074D"/>
    <w:rsid w:val="005C1A2C"/>
    <w:rsid w:val="005C63F6"/>
    <w:rsid w:val="005D1F99"/>
    <w:rsid w:val="005D3EE1"/>
    <w:rsid w:val="005D453C"/>
    <w:rsid w:val="005D5CD1"/>
    <w:rsid w:val="005D7151"/>
    <w:rsid w:val="005E27DF"/>
    <w:rsid w:val="005E552E"/>
    <w:rsid w:val="005E62E4"/>
    <w:rsid w:val="005F15A3"/>
    <w:rsid w:val="005F1E5E"/>
    <w:rsid w:val="005F2C30"/>
    <w:rsid w:val="005F2D80"/>
    <w:rsid w:val="005F4892"/>
    <w:rsid w:val="005F747C"/>
    <w:rsid w:val="00605810"/>
    <w:rsid w:val="00605E13"/>
    <w:rsid w:val="00606134"/>
    <w:rsid w:val="00611767"/>
    <w:rsid w:val="0061192F"/>
    <w:rsid w:val="006122A9"/>
    <w:rsid w:val="00613BC2"/>
    <w:rsid w:val="00613D7B"/>
    <w:rsid w:val="00614F91"/>
    <w:rsid w:val="006219E0"/>
    <w:rsid w:val="00623690"/>
    <w:rsid w:val="0062369B"/>
    <w:rsid w:val="00623920"/>
    <w:rsid w:val="00623A83"/>
    <w:rsid w:val="0062447F"/>
    <w:rsid w:val="006263BA"/>
    <w:rsid w:val="006305BA"/>
    <w:rsid w:val="00631281"/>
    <w:rsid w:val="0063393D"/>
    <w:rsid w:val="006441DF"/>
    <w:rsid w:val="00646AE6"/>
    <w:rsid w:val="0065165F"/>
    <w:rsid w:val="00651AED"/>
    <w:rsid w:val="00660B4C"/>
    <w:rsid w:val="00665FD6"/>
    <w:rsid w:val="00666A63"/>
    <w:rsid w:val="00666CF5"/>
    <w:rsid w:val="006731ED"/>
    <w:rsid w:val="00677F5E"/>
    <w:rsid w:val="0068275D"/>
    <w:rsid w:val="006834C2"/>
    <w:rsid w:val="0068508E"/>
    <w:rsid w:val="00691148"/>
    <w:rsid w:val="00695905"/>
    <w:rsid w:val="006A09C1"/>
    <w:rsid w:val="006A120D"/>
    <w:rsid w:val="006A19DA"/>
    <w:rsid w:val="006A1F4B"/>
    <w:rsid w:val="006A5FD4"/>
    <w:rsid w:val="006A6915"/>
    <w:rsid w:val="006A7887"/>
    <w:rsid w:val="006B09BE"/>
    <w:rsid w:val="006B32BE"/>
    <w:rsid w:val="006B478A"/>
    <w:rsid w:val="006B629E"/>
    <w:rsid w:val="006B6FB6"/>
    <w:rsid w:val="006B73E3"/>
    <w:rsid w:val="006C1640"/>
    <w:rsid w:val="006C2E7B"/>
    <w:rsid w:val="006C7A4B"/>
    <w:rsid w:val="006D1136"/>
    <w:rsid w:val="006D41D0"/>
    <w:rsid w:val="006D5720"/>
    <w:rsid w:val="006E005B"/>
    <w:rsid w:val="006E017D"/>
    <w:rsid w:val="006E08AB"/>
    <w:rsid w:val="006E1958"/>
    <w:rsid w:val="006E259F"/>
    <w:rsid w:val="006E26C1"/>
    <w:rsid w:val="006E5ABD"/>
    <w:rsid w:val="006E70EB"/>
    <w:rsid w:val="006F077C"/>
    <w:rsid w:val="006F2E3B"/>
    <w:rsid w:val="006F4150"/>
    <w:rsid w:val="006F5E95"/>
    <w:rsid w:val="006F6A6C"/>
    <w:rsid w:val="006F7F1C"/>
    <w:rsid w:val="00700A06"/>
    <w:rsid w:val="00702D37"/>
    <w:rsid w:val="00705FCF"/>
    <w:rsid w:val="007161C1"/>
    <w:rsid w:val="00716B89"/>
    <w:rsid w:val="00720309"/>
    <w:rsid w:val="00730D89"/>
    <w:rsid w:val="00737B04"/>
    <w:rsid w:val="00742D5A"/>
    <w:rsid w:val="00742FF5"/>
    <w:rsid w:val="00745523"/>
    <w:rsid w:val="00747FC2"/>
    <w:rsid w:val="00751153"/>
    <w:rsid w:val="00752C4E"/>
    <w:rsid w:val="00753429"/>
    <w:rsid w:val="0075575B"/>
    <w:rsid w:val="00756594"/>
    <w:rsid w:val="00761C96"/>
    <w:rsid w:val="007655F5"/>
    <w:rsid w:val="007662FC"/>
    <w:rsid w:val="0076697C"/>
    <w:rsid w:val="00766ECB"/>
    <w:rsid w:val="00770DF9"/>
    <w:rsid w:val="00771873"/>
    <w:rsid w:val="00774751"/>
    <w:rsid w:val="007751AD"/>
    <w:rsid w:val="00782129"/>
    <w:rsid w:val="0078628A"/>
    <w:rsid w:val="00786E32"/>
    <w:rsid w:val="007906F3"/>
    <w:rsid w:val="00790905"/>
    <w:rsid w:val="00794D80"/>
    <w:rsid w:val="00795739"/>
    <w:rsid w:val="00796CEB"/>
    <w:rsid w:val="007A1B79"/>
    <w:rsid w:val="007A2993"/>
    <w:rsid w:val="007A2C81"/>
    <w:rsid w:val="007A69FA"/>
    <w:rsid w:val="007B09C7"/>
    <w:rsid w:val="007B1396"/>
    <w:rsid w:val="007B545B"/>
    <w:rsid w:val="007B5D9F"/>
    <w:rsid w:val="007C0582"/>
    <w:rsid w:val="007C4A69"/>
    <w:rsid w:val="007D1110"/>
    <w:rsid w:val="007D573D"/>
    <w:rsid w:val="007E00F1"/>
    <w:rsid w:val="007E3004"/>
    <w:rsid w:val="007E71FF"/>
    <w:rsid w:val="007F0A20"/>
    <w:rsid w:val="007F18F5"/>
    <w:rsid w:val="007F247B"/>
    <w:rsid w:val="007F470D"/>
    <w:rsid w:val="007F7A1F"/>
    <w:rsid w:val="008028D5"/>
    <w:rsid w:val="00803EB8"/>
    <w:rsid w:val="00810226"/>
    <w:rsid w:val="008104DE"/>
    <w:rsid w:val="00811638"/>
    <w:rsid w:val="00816C9A"/>
    <w:rsid w:val="00821C97"/>
    <w:rsid w:val="00822AA4"/>
    <w:rsid w:val="00823B08"/>
    <w:rsid w:val="00827BA9"/>
    <w:rsid w:val="00830E80"/>
    <w:rsid w:val="00831E04"/>
    <w:rsid w:val="0083290F"/>
    <w:rsid w:val="008329AD"/>
    <w:rsid w:val="00832F6B"/>
    <w:rsid w:val="008358BB"/>
    <w:rsid w:val="008415AD"/>
    <w:rsid w:val="0084241B"/>
    <w:rsid w:val="0084447B"/>
    <w:rsid w:val="008509FA"/>
    <w:rsid w:val="00850E88"/>
    <w:rsid w:val="00852512"/>
    <w:rsid w:val="00855D50"/>
    <w:rsid w:val="00864566"/>
    <w:rsid w:val="008646F4"/>
    <w:rsid w:val="00865A82"/>
    <w:rsid w:val="00866907"/>
    <w:rsid w:val="00867F0E"/>
    <w:rsid w:val="0087148F"/>
    <w:rsid w:val="00871717"/>
    <w:rsid w:val="00874E71"/>
    <w:rsid w:val="00875C44"/>
    <w:rsid w:val="008807B5"/>
    <w:rsid w:val="00883136"/>
    <w:rsid w:val="008831DF"/>
    <w:rsid w:val="00884819"/>
    <w:rsid w:val="00884EE4"/>
    <w:rsid w:val="008868BD"/>
    <w:rsid w:val="00891C8C"/>
    <w:rsid w:val="00892602"/>
    <w:rsid w:val="008941FF"/>
    <w:rsid w:val="00894955"/>
    <w:rsid w:val="00895B01"/>
    <w:rsid w:val="00895CB7"/>
    <w:rsid w:val="0089763A"/>
    <w:rsid w:val="00897892"/>
    <w:rsid w:val="008A7D48"/>
    <w:rsid w:val="008B0DC0"/>
    <w:rsid w:val="008B3E4E"/>
    <w:rsid w:val="008B4D3B"/>
    <w:rsid w:val="008B76DA"/>
    <w:rsid w:val="008B777F"/>
    <w:rsid w:val="008C18DB"/>
    <w:rsid w:val="008C1F96"/>
    <w:rsid w:val="008C3B1A"/>
    <w:rsid w:val="008C6438"/>
    <w:rsid w:val="008D0AAC"/>
    <w:rsid w:val="008D15B5"/>
    <w:rsid w:val="008D2EDD"/>
    <w:rsid w:val="008D31D7"/>
    <w:rsid w:val="008D32F3"/>
    <w:rsid w:val="008D3925"/>
    <w:rsid w:val="008D41D0"/>
    <w:rsid w:val="008D4DAC"/>
    <w:rsid w:val="008D7D80"/>
    <w:rsid w:val="008E5A92"/>
    <w:rsid w:val="008F10B9"/>
    <w:rsid w:val="008F3914"/>
    <w:rsid w:val="008F7801"/>
    <w:rsid w:val="008F7FF9"/>
    <w:rsid w:val="00900F68"/>
    <w:rsid w:val="00901186"/>
    <w:rsid w:val="00901FB4"/>
    <w:rsid w:val="00903292"/>
    <w:rsid w:val="00907C2D"/>
    <w:rsid w:val="00910D72"/>
    <w:rsid w:val="00914759"/>
    <w:rsid w:val="009165A9"/>
    <w:rsid w:val="00916988"/>
    <w:rsid w:val="00916F3D"/>
    <w:rsid w:val="00917D10"/>
    <w:rsid w:val="00920EF5"/>
    <w:rsid w:val="00925AE6"/>
    <w:rsid w:val="0092653D"/>
    <w:rsid w:val="0092657E"/>
    <w:rsid w:val="00926FD4"/>
    <w:rsid w:val="00930755"/>
    <w:rsid w:val="00930DA7"/>
    <w:rsid w:val="009336FD"/>
    <w:rsid w:val="00946418"/>
    <w:rsid w:val="00946CF3"/>
    <w:rsid w:val="009475C0"/>
    <w:rsid w:val="00951335"/>
    <w:rsid w:val="00952196"/>
    <w:rsid w:val="00954E8A"/>
    <w:rsid w:val="00957D1B"/>
    <w:rsid w:val="00962396"/>
    <w:rsid w:val="00962570"/>
    <w:rsid w:val="00962E7D"/>
    <w:rsid w:val="0096320D"/>
    <w:rsid w:val="00963B43"/>
    <w:rsid w:val="00964740"/>
    <w:rsid w:val="00974B58"/>
    <w:rsid w:val="00976169"/>
    <w:rsid w:val="00976F84"/>
    <w:rsid w:val="0097759B"/>
    <w:rsid w:val="00993374"/>
    <w:rsid w:val="0099645B"/>
    <w:rsid w:val="009A4513"/>
    <w:rsid w:val="009A47CC"/>
    <w:rsid w:val="009A5054"/>
    <w:rsid w:val="009A607C"/>
    <w:rsid w:val="009A7071"/>
    <w:rsid w:val="009A72DC"/>
    <w:rsid w:val="009B3A32"/>
    <w:rsid w:val="009B40D1"/>
    <w:rsid w:val="009B71E5"/>
    <w:rsid w:val="009B7415"/>
    <w:rsid w:val="009C1C9B"/>
    <w:rsid w:val="009C1ECD"/>
    <w:rsid w:val="009C635C"/>
    <w:rsid w:val="009D0154"/>
    <w:rsid w:val="009D0560"/>
    <w:rsid w:val="009D4060"/>
    <w:rsid w:val="009D622B"/>
    <w:rsid w:val="009D7B16"/>
    <w:rsid w:val="009E39A5"/>
    <w:rsid w:val="009E6BEB"/>
    <w:rsid w:val="009E6FE9"/>
    <w:rsid w:val="009F34DF"/>
    <w:rsid w:val="009F4C2C"/>
    <w:rsid w:val="00A0233B"/>
    <w:rsid w:val="00A029A7"/>
    <w:rsid w:val="00A02CD4"/>
    <w:rsid w:val="00A067A2"/>
    <w:rsid w:val="00A12481"/>
    <w:rsid w:val="00A12889"/>
    <w:rsid w:val="00A168B5"/>
    <w:rsid w:val="00A17EC5"/>
    <w:rsid w:val="00A22132"/>
    <w:rsid w:val="00A229F1"/>
    <w:rsid w:val="00A23CAD"/>
    <w:rsid w:val="00A262AE"/>
    <w:rsid w:val="00A37045"/>
    <w:rsid w:val="00A40013"/>
    <w:rsid w:val="00A43589"/>
    <w:rsid w:val="00A46299"/>
    <w:rsid w:val="00A46BAB"/>
    <w:rsid w:val="00A5058E"/>
    <w:rsid w:val="00A53369"/>
    <w:rsid w:val="00A5500E"/>
    <w:rsid w:val="00A56AC0"/>
    <w:rsid w:val="00A56CDA"/>
    <w:rsid w:val="00A57D08"/>
    <w:rsid w:val="00A611E3"/>
    <w:rsid w:val="00A62DFD"/>
    <w:rsid w:val="00A65CC0"/>
    <w:rsid w:val="00A65F3B"/>
    <w:rsid w:val="00A67F3A"/>
    <w:rsid w:val="00A718E5"/>
    <w:rsid w:val="00A724DA"/>
    <w:rsid w:val="00A734EF"/>
    <w:rsid w:val="00A821B5"/>
    <w:rsid w:val="00A832A3"/>
    <w:rsid w:val="00A867FF"/>
    <w:rsid w:val="00A937CE"/>
    <w:rsid w:val="00A96EDE"/>
    <w:rsid w:val="00AA3293"/>
    <w:rsid w:val="00AA3732"/>
    <w:rsid w:val="00AA7CE9"/>
    <w:rsid w:val="00AB3869"/>
    <w:rsid w:val="00AB7410"/>
    <w:rsid w:val="00AB782F"/>
    <w:rsid w:val="00AC1E90"/>
    <w:rsid w:val="00AC710B"/>
    <w:rsid w:val="00AE448C"/>
    <w:rsid w:val="00AE789E"/>
    <w:rsid w:val="00AF046E"/>
    <w:rsid w:val="00AF0647"/>
    <w:rsid w:val="00AF0796"/>
    <w:rsid w:val="00AF17DE"/>
    <w:rsid w:val="00AF2583"/>
    <w:rsid w:val="00AF3541"/>
    <w:rsid w:val="00AF4866"/>
    <w:rsid w:val="00AF54BF"/>
    <w:rsid w:val="00AF5C3A"/>
    <w:rsid w:val="00AF7A99"/>
    <w:rsid w:val="00B01237"/>
    <w:rsid w:val="00B039DE"/>
    <w:rsid w:val="00B03DC8"/>
    <w:rsid w:val="00B14830"/>
    <w:rsid w:val="00B204A3"/>
    <w:rsid w:val="00B2151C"/>
    <w:rsid w:val="00B24F7F"/>
    <w:rsid w:val="00B26971"/>
    <w:rsid w:val="00B26F59"/>
    <w:rsid w:val="00B27B24"/>
    <w:rsid w:val="00B36624"/>
    <w:rsid w:val="00B375CF"/>
    <w:rsid w:val="00B4005D"/>
    <w:rsid w:val="00B43CD0"/>
    <w:rsid w:val="00B43FE9"/>
    <w:rsid w:val="00B50197"/>
    <w:rsid w:val="00B50BBF"/>
    <w:rsid w:val="00B53571"/>
    <w:rsid w:val="00B53F7F"/>
    <w:rsid w:val="00B62879"/>
    <w:rsid w:val="00B62D7C"/>
    <w:rsid w:val="00B63283"/>
    <w:rsid w:val="00B64A02"/>
    <w:rsid w:val="00B65657"/>
    <w:rsid w:val="00B671D0"/>
    <w:rsid w:val="00B7013C"/>
    <w:rsid w:val="00B721F7"/>
    <w:rsid w:val="00B7320E"/>
    <w:rsid w:val="00B7662B"/>
    <w:rsid w:val="00B8013F"/>
    <w:rsid w:val="00B8050E"/>
    <w:rsid w:val="00B83459"/>
    <w:rsid w:val="00B861B7"/>
    <w:rsid w:val="00B92F17"/>
    <w:rsid w:val="00B936AA"/>
    <w:rsid w:val="00B97272"/>
    <w:rsid w:val="00BA01D3"/>
    <w:rsid w:val="00BA0BFF"/>
    <w:rsid w:val="00BA1FBE"/>
    <w:rsid w:val="00BA5EC1"/>
    <w:rsid w:val="00BA7870"/>
    <w:rsid w:val="00BB0EF5"/>
    <w:rsid w:val="00BB7DA1"/>
    <w:rsid w:val="00BC2CF3"/>
    <w:rsid w:val="00BC2FDF"/>
    <w:rsid w:val="00BC35D2"/>
    <w:rsid w:val="00BC473D"/>
    <w:rsid w:val="00BC5709"/>
    <w:rsid w:val="00BC5E00"/>
    <w:rsid w:val="00BD0BD9"/>
    <w:rsid w:val="00BD3640"/>
    <w:rsid w:val="00BD4A67"/>
    <w:rsid w:val="00BD4D7D"/>
    <w:rsid w:val="00BE1DD0"/>
    <w:rsid w:val="00BF3B60"/>
    <w:rsid w:val="00BF43D6"/>
    <w:rsid w:val="00BF5084"/>
    <w:rsid w:val="00BF639E"/>
    <w:rsid w:val="00BF7E91"/>
    <w:rsid w:val="00C02C30"/>
    <w:rsid w:val="00C06D4E"/>
    <w:rsid w:val="00C123ED"/>
    <w:rsid w:val="00C1306B"/>
    <w:rsid w:val="00C13760"/>
    <w:rsid w:val="00C21179"/>
    <w:rsid w:val="00C21A7F"/>
    <w:rsid w:val="00C24F5E"/>
    <w:rsid w:val="00C25150"/>
    <w:rsid w:val="00C27688"/>
    <w:rsid w:val="00C27CA9"/>
    <w:rsid w:val="00C33B0B"/>
    <w:rsid w:val="00C3428E"/>
    <w:rsid w:val="00C35070"/>
    <w:rsid w:val="00C36A52"/>
    <w:rsid w:val="00C37603"/>
    <w:rsid w:val="00C40CFA"/>
    <w:rsid w:val="00C41FBF"/>
    <w:rsid w:val="00C42DBF"/>
    <w:rsid w:val="00C4315D"/>
    <w:rsid w:val="00C467DC"/>
    <w:rsid w:val="00C56657"/>
    <w:rsid w:val="00C578A1"/>
    <w:rsid w:val="00C61685"/>
    <w:rsid w:val="00C7229B"/>
    <w:rsid w:val="00C77297"/>
    <w:rsid w:val="00C77822"/>
    <w:rsid w:val="00C801DD"/>
    <w:rsid w:val="00C81B61"/>
    <w:rsid w:val="00C84FE1"/>
    <w:rsid w:val="00C87152"/>
    <w:rsid w:val="00C90B18"/>
    <w:rsid w:val="00C93192"/>
    <w:rsid w:val="00C937B5"/>
    <w:rsid w:val="00C96F3B"/>
    <w:rsid w:val="00C970E6"/>
    <w:rsid w:val="00C972B7"/>
    <w:rsid w:val="00CA151A"/>
    <w:rsid w:val="00CA2921"/>
    <w:rsid w:val="00CA5F5D"/>
    <w:rsid w:val="00CB5556"/>
    <w:rsid w:val="00CC0052"/>
    <w:rsid w:val="00CC2CA5"/>
    <w:rsid w:val="00CC3091"/>
    <w:rsid w:val="00CC620B"/>
    <w:rsid w:val="00CC7EAA"/>
    <w:rsid w:val="00CD3A9A"/>
    <w:rsid w:val="00CD7F91"/>
    <w:rsid w:val="00CE18A2"/>
    <w:rsid w:val="00CE4E11"/>
    <w:rsid w:val="00CF12A0"/>
    <w:rsid w:val="00CF33B7"/>
    <w:rsid w:val="00CF4151"/>
    <w:rsid w:val="00CF438D"/>
    <w:rsid w:val="00CF70D3"/>
    <w:rsid w:val="00D00722"/>
    <w:rsid w:val="00D010B9"/>
    <w:rsid w:val="00D01B4F"/>
    <w:rsid w:val="00D03FB6"/>
    <w:rsid w:val="00D118B5"/>
    <w:rsid w:val="00D262F3"/>
    <w:rsid w:val="00D26E08"/>
    <w:rsid w:val="00D279A7"/>
    <w:rsid w:val="00D27B76"/>
    <w:rsid w:val="00D30A98"/>
    <w:rsid w:val="00D32C70"/>
    <w:rsid w:val="00D32FFD"/>
    <w:rsid w:val="00D33585"/>
    <w:rsid w:val="00D33B2C"/>
    <w:rsid w:val="00D33BEF"/>
    <w:rsid w:val="00D371A5"/>
    <w:rsid w:val="00D37A85"/>
    <w:rsid w:val="00D41D02"/>
    <w:rsid w:val="00D45D2C"/>
    <w:rsid w:val="00D47DCC"/>
    <w:rsid w:val="00D51710"/>
    <w:rsid w:val="00D53BF7"/>
    <w:rsid w:val="00D557F6"/>
    <w:rsid w:val="00D6020F"/>
    <w:rsid w:val="00D60434"/>
    <w:rsid w:val="00D6361E"/>
    <w:rsid w:val="00D66624"/>
    <w:rsid w:val="00D66A12"/>
    <w:rsid w:val="00D67735"/>
    <w:rsid w:val="00D73B71"/>
    <w:rsid w:val="00D80D43"/>
    <w:rsid w:val="00D84406"/>
    <w:rsid w:val="00D878C2"/>
    <w:rsid w:val="00D9185F"/>
    <w:rsid w:val="00D93303"/>
    <w:rsid w:val="00D9348B"/>
    <w:rsid w:val="00D93DD9"/>
    <w:rsid w:val="00DA466F"/>
    <w:rsid w:val="00DA469A"/>
    <w:rsid w:val="00DA4AAF"/>
    <w:rsid w:val="00DA5D31"/>
    <w:rsid w:val="00DB467B"/>
    <w:rsid w:val="00DB6457"/>
    <w:rsid w:val="00DC2955"/>
    <w:rsid w:val="00DC71AC"/>
    <w:rsid w:val="00DC780E"/>
    <w:rsid w:val="00DD0D4E"/>
    <w:rsid w:val="00DD1956"/>
    <w:rsid w:val="00DD2234"/>
    <w:rsid w:val="00DD35E5"/>
    <w:rsid w:val="00DD4B3B"/>
    <w:rsid w:val="00DD64C6"/>
    <w:rsid w:val="00DD651E"/>
    <w:rsid w:val="00DE0478"/>
    <w:rsid w:val="00DE36AC"/>
    <w:rsid w:val="00DE666C"/>
    <w:rsid w:val="00DE7FEB"/>
    <w:rsid w:val="00DF3365"/>
    <w:rsid w:val="00DF3571"/>
    <w:rsid w:val="00DF62D4"/>
    <w:rsid w:val="00E02E4B"/>
    <w:rsid w:val="00E11EB0"/>
    <w:rsid w:val="00E12C39"/>
    <w:rsid w:val="00E1531D"/>
    <w:rsid w:val="00E176C3"/>
    <w:rsid w:val="00E20C75"/>
    <w:rsid w:val="00E21E88"/>
    <w:rsid w:val="00E25B83"/>
    <w:rsid w:val="00E26B64"/>
    <w:rsid w:val="00E26DBE"/>
    <w:rsid w:val="00E30018"/>
    <w:rsid w:val="00E3114B"/>
    <w:rsid w:val="00E358F3"/>
    <w:rsid w:val="00E36856"/>
    <w:rsid w:val="00E36EF4"/>
    <w:rsid w:val="00E43247"/>
    <w:rsid w:val="00E45C93"/>
    <w:rsid w:val="00E50BA4"/>
    <w:rsid w:val="00E51713"/>
    <w:rsid w:val="00E57826"/>
    <w:rsid w:val="00E60E57"/>
    <w:rsid w:val="00E64757"/>
    <w:rsid w:val="00E649B3"/>
    <w:rsid w:val="00E64D36"/>
    <w:rsid w:val="00E65AA1"/>
    <w:rsid w:val="00E66F36"/>
    <w:rsid w:val="00E70050"/>
    <w:rsid w:val="00E7452A"/>
    <w:rsid w:val="00E75ABB"/>
    <w:rsid w:val="00E7645A"/>
    <w:rsid w:val="00E8179A"/>
    <w:rsid w:val="00E82520"/>
    <w:rsid w:val="00E82718"/>
    <w:rsid w:val="00E869E0"/>
    <w:rsid w:val="00E87826"/>
    <w:rsid w:val="00E915AE"/>
    <w:rsid w:val="00E94042"/>
    <w:rsid w:val="00E95497"/>
    <w:rsid w:val="00E96D37"/>
    <w:rsid w:val="00E97641"/>
    <w:rsid w:val="00EB2137"/>
    <w:rsid w:val="00EB5A9D"/>
    <w:rsid w:val="00EB66DF"/>
    <w:rsid w:val="00EC0E73"/>
    <w:rsid w:val="00EC2CB4"/>
    <w:rsid w:val="00EC2CD3"/>
    <w:rsid w:val="00EC2EA8"/>
    <w:rsid w:val="00ED0054"/>
    <w:rsid w:val="00ED1758"/>
    <w:rsid w:val="00ED44AA"/>
    <w:rsid w:val="00ED457D"/>
    <w:rsid w:val="00ED5F6A"/>
    <w:rsid w:val="00ED72C9"/>
    <w:rsid w:val="00ED7C46"/>
    <w:rsid w:val="00EE167B"/>
    <w:rsid w:val="00EE561B"/>
    <w:rsid w:val="00EE5B57"/>
    <w:rsid w:val="00EE796E"/>
    <w:rsid w:val="00EF1C58"/>
    <w:rsid w:val="00EF1DA7"/>
    <w:rsid w:val="00EF72A7"/>
    <w:rsid w:val="00F00044"/>
    <w:rsid w:val="00F01E52"/>
    <w:rsid w:val="00F02919"/>
    <w:rsid w:val="00F032D3"/>
    <w:rsid w:val="00F03A8A"/>
    <w:rsid w:val="00F03C9F"/>
    <w:rsid w:val="00F050AE"/>
    <w:rsid w:val="00F07CAF"/>
    <w:rsid w:val="00F10258"/>
    <w:rsid w:val="00F17AF2"/>
    <w:rsid w:val="00F17B6E"/>
    <w:rsid w:val="00F21D9E"/>
    <w:rsid w:val="00F222F5"/>
    <w:rsid w:val="00F22BC3"/>
    <w:rsid w:val="00F22E8E"/>
    <w:rsid w:val="00F24E14"/>
    <w:rsid w:val="00F30074"/>
    <w:rsid w:val="00F32C8E"/>
    <w:rsid w:val="00F36283"/>
    <w:rsid w:val="00F405F7"/>
    <w:rsid w:val="00F40AFF"/>
    <w:rsid w:val="00F40BE8"/>
    <w:rsid w:val="00F4728E"/>
    <w:rsid w:val="00F47FE3"/>
    <w:rsid w:val="00F54C23"/>
    <w:rsid w:val="00F605DA"/>
    <w:rsid w:val="00F60DA0"/>
    <w:rsid w:val="00F629DD"/>
    <w:rsid w:val="00F63B08"/>
    <w:rsid w:val="00F71543"/>
    <w:rsid w:val="00F72A75"/>
    <w:rsid w:val="00F73699"/>
    <w:rsid w:val="00F77D27"/>
    <w:rsid w:val="00F80001"/>
    <w:rsid w:val="00F80179"/>
    <w:rsid w:val="00F80734"/>
    <w:rsid w:val="00F82161"/>
    <w:rsid w:val="00F83D8C"/>
    <w:rsid w:val="00F865D6"/>
    <w:rsid w:val="00F876EB"/>
    <w:rsid w:val="00F9051B"/>
    <w:rsid w:val="00F910C1"/>
    <w:rsid w:val="00F91C0F"/>
    <w:rsid w:val="00F92A7F"/>
    <w:rsid w:val="00F9358C"/>
    <w:rsid w:val="00F9382E"/>
    <w:rsid w:val="00F94114"/>
    <w:rsid w:val="00F9600E"/>
    <w:rsid w:val="00F966B7"/>
    <w:rsid w:val="00FA126D"/>
    <w:rsid w:val="00FA227F"/>
    <w:rsid w:val="00FA2E90"/>
    <w:rsid w:val="00FA50E1"/>
    <w:rsid w:val="00FA5DF9"/>
    <w:rsid w:val="00FA6CCD"/>
    <w:rsid w:val="00FA7606"/>
    <w:rsid w:val="00FA770A"/>
    <w:rsid w:val="00FB0309"/>
    <w:rsid w:val="00FB10F9"/>
    <w:rsid w:val="00FC563C"/>
    <w:rsid w:val="00FC6646"/>
    <w:rsid w:val="00FC7366"/>
    <w:rsid w:val="00FD5A62"/>
    <w:rsid w:val="00FE256B"/>
    <w:rsid w:val="00FE2790"/>
    <w:rsid w:val="00FE2FBE"/>
    <w:rsid w:val="00FE5841"/>
    <w:rsid w:val="00FF01A1"/>
    <w:rsid w:val="00FF03EC"/>
    <w:rsid w:val="00FF132E"/>
    <w:rsid w:val="00FF422E"/>
    <w:rsid w:val="011108C8"/>
    <w:rsid w:val="01BC0A51"/>
    <w:rsid w:val="02A10413"/>
    <w:rsid w:val="036D2DAF"/>
    <w:rsid w:val="069D1B76"/>
    <w:rsid w:val="082E5202"/>
    <w:rsid w:val="08B51480"/>
    <w:rsid w:val="0AA5619D"/>
    <w:rsid w:val="0ABC61E6"/>
    <w:rsid w:val="0BFF2A12"/>
    <w:rsid w:val="0CCE1161"/>
    <w:rsid w:val="0D763004"/>
    <w:rsid w:val="0E594244"/>
    <w:rsid w:val="0F9419E1"/>
    <w:rsid w:val="10E84DFE"/>
    <w:rsid w:val="11143F58"/>
    <w:rsid w:val="118410B5"/>
    <w:rsid w:val="12490362"/>
    <w:rsid w:val="129739A4"/>
    <w:rsid w:val="1C8A2EFF"/>
    <w:rsid w:val="222C5547"/>
    <w:rsid w:val="232E23A1"/>
    <w:rsid w:val="24050811"/>
    <w:rsid w:val="249D6FF1"/>
    <w:rsid w:val="25694C38"/>
    <w:rsid w:val="260E78CA"/>
    <w:rsid w:val="27E26B41"/>
    <w:rsid w:val="28D53D25"/>
    <w:rsid w:val="2BBF0AD5"/>
    <w:rsid w:val="2C7C3EDF"/>
    <w:rsid w:val="2CA4367D"/>
    <w:rsid w:val="2D62169D"/>
    <w:rsid w:val="2E496043"/>
    <w:rsid w:val="3106158C"/>
    <w:rsid w:val="313F0452"/>
    <w:rsid w:val="31B578A0"/>
    <w:rsid w:val="33EE4AEC"/>
    <w:rsid w:val="342F761D"/>
    <w:rsid w:val="34ED58F5"/>
    <w:rsid w:val="363C28F1"/>
    <w:rsid w:val="380C293F"/>
    <w:rsid w:val="38F11292"/>
    <w:rsid w:val="398135EA"/>
    <w:rsid w:val="3C6F5886"/>
    <w:rsid w:val="3E265A58"/>
    <w:rsid w:val="3EBD6794"/>
    <w:rsid w:val="3EC14D8F"/>
    <w:rsid w:val="3F272B6D"/>
    <w:rsid w:val="3F2A77CA"/>
    <w:rsid w:val="417B0EC7"/>
    <w:rsid w:val="426B5CBC"/>
    <w:rsid w:val="456B54F8"/>
    <w:rsid w:val="456B7DE9"/>
    <w:rsid w:val="478E5ADB"/>
    <w:rsid w:val="47CA1B4A"/>
    <w:rsid w:val="4AC02720"/>
    <w:rsid w:val="4B5D5A67"/>
    <w:rsid w:val="4C54241E"/>
    <w:rsid w:val="4F0C550E"/>
    <w:rsid w:val="4F6D3002"/>
    <w:rsid w:val="4FC4400D"/>
    <w:rsid w:val="503B5F6D"/>
    <w:rsid w:val="513A09CD"/>
    <w:rsid w:val="52A83C11"/>
    <w:rsid w:val="52E36BCF"/>
    <w:rsid w:val="532D44D8"/>
    <w:rsid w:val="54D77EF9"/>
    <w:rsid w:val="571F669C"/>
    <w:rsid w:val="582A522C"/>
    <w:rsid w:val="5B466532"/>
    <w:rsid w:val="5CEF1A38"/>
    <w:rsid w:val="5D310CF9"/>
    <w:rsid w:val="5D913CFC"/>
    <w:rsid w:val="5E820631"/>
    <w:rsid w:val="5F6C3A22"/>
    <w:rsid w:val="5FB52EE2"/>
    <w:rsid w:val="5FCE60BE"/>
    <w:rsid w:val="60687CFB"/>
    <w:rsid w:val="60974D64"/>
    <w:rsid w:val="61927C24"/>
    <w:rsid w:val="61F5631C"/>
    <w:rsid w:val="621B7447"/>
    <w:rsid w:val="64513DD0"/>
    <w:rsid w:val="646C1FEA"/>
    <w:rsid w:val="65847367"/>
    <w:rsid w:val="683240BA"/>
    <w:rsid w:val="691D031D"/>
    <w:rsid w:val="6A841AD9"/>
    <w:rsid w:val="6B773E3A"/>
    <w:rsid w:val="6B7B02B0"/>
    <w:rsid w:val="6C111246"/>
    <w:rsid w:val="6C2F28C3"/>
    <w:rsid w:val="6C5F6CCD"/>
    <w:rsid w:val="6C900C98"/>
    <w:rsid w:val="6D9D7236"/>
    <w:rsid w:val="6EF05238"/>
    <w:rsid w:val="6F1F43C2"/>
    <w:rsid w:val="70A949C0"/>
    <w:rsid w:val="71D61553"/>
    <w:rsid w:val="724B3187"/>
    <w:rsid w:val="72DD3AC0"/>
    <w:rsid w:val="74DF4BB9"/>
    <w:rsid w:val="75430682"/>
    <w:rsid w:val="782B4F9D"/>
    <w:rsid w:val="78660317"/>
    <w:rsid w:val="79604491"/>
    <w:rsid w:val="7A3369B0"/>
    <w:rsid w:val="7D266E92"/>
    <w:rsid w:val="7F947D6D"/>
    <w:rsid w:val="7FD66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9"/>
    <w:pPr>
      <w:keepNext/>
      <w:keepLines/>
      <w:spacing w:before="340" w:after="330" w:line="576" w:lineRule="auto"/>
      <w:outlineLvl w:val="0"/>
    </w:pPr>
    <w:rPr>
      <w:b/>
      <w:kern w:val="44"/>
      <w:sz w:val="44"/>
    </w:rPr>
  </w:style>
  <w:style w:type="paragraph" w:styleId="3">
    <w:name w:val="heading 2"/>
    <w:basedOn w:val="1"/>
    <w:next w:val="1"/>
    <w:link w:val="16"/>
    <w:autoRedefine/>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4"/>
    <w:autoRedefine/>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5">
    <w:name w:val="caption"/>
    <w:basedOn w:val="1"/>
    <w:next w:val="1"/>
    <w:autoRedefine/>
    <w:unhideWhenUsed/>
    <w:qFormat/>
    <w:uiPriority w:val="35"/>
    <w:rPr>
      <w:rFonts w:ascii="Cambria" w:hAnsi="Cambria" w:eastAsia="黑体" w:cs="Times New Roman"/>
      <w:sz w:val="20"/>
      <w:szCs w:val="20"/>
    </w:rPr>
  </w:style>
  <w:style w:type="paragraph" w:styleId="6">
    <w:name w:val="Balloon Text"/>
    <w:basedOn w:val="1"/>
    <w:link w:val="15"/>
    <w:autoRedefine/>
    <w:semiHidden/>
    <w:unhideWhenUsed/>
    <w:qFormat/>
    <w:uiPriority w:val="0"/>
    <w:rPr>
      <w:sz w:val="18"/>
      <w:szCs w:val="18"/>
    </w:rPr>
  </w:style>
  <w:style w:type="paragraph" w:styleId="7">
    <w:name w:val="footer"/>
    <w:basedOn w:val="1"/>
    <w:link w:val="17"/>
    <w:autoRedefine/>
    <w:qFormat/>
    <w:uiPriority w:val="99"/>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autoRedefine/>
    <w:unhideWhenUsed/>
    <w:qFormat/>
    <w:uiPriority w:val="0"/>
    <w:pPr>
      <w:widowControl/>
      <w:spacing w:before="100" w:beforeAutospacing="1" w:after="100" w:afterAutospacing="1"/>
      <w:jc w:val="left"/>
    </w:pPr>
    <w:rPr>
      <w:rFonts w:ascii="宋体" w:hAnsi="宋体" w:eastAsia="宋体" w:cs="宋体"/>
      <w:kern w:val="0"/>
      <w:sz w:val="24"/>
    </w:rPr>
  </w:style>
  <w:style w:type="table" w:styleId="11">
    <w:name w:val="Table Grid"/>
    <w:basedOn w:val="10"/>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autoRedefine/>
    <w:qFormat/>
    <w:uiPriority w:val="99"/>
    <w:pPr>
      <w:ind w:firstLine="420" w:firstLineChars="200"/>
    </w:pPr>
  </w:style>
  <w:style w:type="character" w:customStyle="1" w:styleId="14">
    <w:name w:val="标题 3 Char"/>
    <w:basedOn w:val="12"/>
    <w:link w:val="4"/>
    <w:autoRedefine/>
    <w:qFormat/>
    <w:uiPriority w:val="0"/>
    <w:rPr>
      <w:rFonts w:ascii="Times New Roman" w:hAnsi="Times New Roman" w:eastAsia="宋体" w:cs="Times New Roman"/>
      <w:b/>
      <w:bCs/>
      <w:kern w:val="2"/>
      <w:sz w:val="32"/>
      <w:szCs w:val="32"/>
    </w:rPr>
  </w:style>
  <w:style w:type="character" w:customStyle="1" w:styleId="15">
    <w:name w:val="批注框文本 Char"/>
    <w:basedOn w:val="12"/>
    <w:link w:val="6"/>
    <w:autoRedefine/>
    <w:semiHidden/>
    <w:qFormat/>
    <w:uiPriority w:val="0"/>
    <w:rPr>
      <w:kern w:val="2"/>
      <w:sz w:val="18"/>
      <w:szCs w:val="18"/>
    </w:rPr>
  </w:style>
  <w:style w:type="character" w:customStyle="1" w:styleId="16">
    <w:name w:val="标题 2 Char"/>
    <w:basedOn w:val="12"/>
    <w:link w:val="3"/>
    <w:autoRedefine/>
    <w:semiHidden/>
    <w:qFormat/>
    <w:uiPriority w:val="0"/>
    <w:rPr>
      <w:rFonts w:asciiTheme="majorHAnsi" w:hAnsiTheme="majorHAnsi" w:eastAsiaTheme="majorEastAsia" w:cstheme="majorBidi"/>
      <w:b/>
      <w:bCs/>
      <w:kern w:val="2"/>
      <w:sz w:val="32"/>
      <w:szCs w:val="32"/>
    </w:rPr>
  </w:style>
  <w:style w:type="character" w:customStyle="1" w:styleId="17">
    <w:name w:val="页脚 Char"/>
    <w:basedOn w:val="12"/>
    <w:link w:val="7"/>
    <w:autoRedefine/>
    <w:qFormat/>
    <w:uiPriority w:val="99"/>
    <w:rPr>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7F30B-3ECB-447D-B8FB-80A02F61DF65}">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28</Pages>
  <Words>2476</Words>
  <Characters>14115</Characters>
  <Lines>117</Lines>
  <Paragraphs>33</Paragraphs>
  <TotalTime>97</TotalTime>
  <ScaleCrop>false</ScaleCrop>
  <LinksUpToDate>false</LinksUpToDate>
  <CharactersWithSpaces>16558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2021-08-09T02:49:00Z</dcterms:created>
  <dc:creator>Administrator</dc:creator>
  <cp:lastModifiedBy>Icarus</cp:lastModifiedBy>
  <dcterms:modified xsi:type="dcterms:W3CDTF">2024-02-20T06:36:36Z</dcterms:modified>
  <cp:revision>182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1678720D2DC64D7098151E83E3FE0A70_13</vt:lpwstr>
  </property>
  <property fmtid="{D5CDD505-2E9C-101B-9397-08002B2CF9AE}" pid="4" name="commondata">
    <vt:lpwstr>eyJoZGlkIjoiMTgyNTgxNjlhMjdhMjVhYjFhMzg5OWFiZDcwNDY3NDkifQ==</vt:lpwstr>
  </property>
</Properties>
</file>