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宋体" w:hAnsi="宋体"/>
          <w:b/>
          <w:bCs/>
          <w:sz w:val="52"/>
          <w:szCs w:val="52"/>
        </w:rPr>
      </w:pPr>
      <w:bookmarkStart w:id="22" w:name="_GoBack"/>
      <w:bookmarkEnd w:id="22"/>
    </w:p>
    <w:p>
      <w:pPr>
        <w:spacing w:line="579" w:lineRule="exact"/>
        <w:jc w:val="center"/>
        <w:rPr>
          <w:rFonts w:ascii="宋体" w:hAnsi="宋体"/>
          <w:b/>
          <w:bCs/>
          <w:sz w:val="52"/>
          <w:szCs w:val="52"/>
        </w:rPr>
      </w:pPr>
    </w:p>
    <w:p>
      <w:pPr>
        <w:spacing w:line="579" w:lineRule="exact"/>
        <w:jc w:val="center"/>
        <w:rPr>
          <w:rFonts w:ascii="宋体" w:hAnsi="宋体"/>
          <w:b/>
          <w:bCs/>
          <w:sz w:val="84"/>
          <w:szCs w:val="84"/>
        </w:rPr>
      </w:pPr>
    </w:p>
    <w:p>
      <w:pPr>
        <w:spacing w:line="579" w:lineRule="exact"/>
        <w:jc w:val="center"/>
        <w:rPr>
          <w:rFonts w:ascii="宋体" w:hAnsi="宋体"/>
          <w:b/>
          <w:bCs/>
          <w:sz w:val="84"/>
          <w:szCs w:val="84"/>
        </w:rPr>
      </w:pPr>
    </w:p>
    <w:p>
      <w:pPr>
        <w:spacing w:line="579" w:lineRule="exact"/>
        <w:jc w:val="center"/>
        <w:rPr>
          <w:rFonts w:ascii="黑体" w:hAnsi="黑体" w:eastAsia="黑体"/>
          <w:b/>
          <w:bCs/>
          <w:sz w:val="52"/>
          <w:szCs w:val="52"/>
        </w:rPr>
      </w:pPr>
      <w:r>
        <w:rPr>
          <w:rFonts w:hint="eastAsia" w:ascii="黑体" w:hAnsi="黑体" w:eastAsia="黑体"/>
          <w:b/>
          <w:bCs/>
          <w:sz w:val="52"/>
          <w:szCs w:val="52"/>
        </w:rPr>
        <w:t>丽水市医疗保障事业发展</w:t>
      </w:r>
    </w:p>
    <w:p>
      <w:pPr>
        <w:spacing w:line="579" w:lineRule="exact"/>
        <w:jc w:val="center"/>
        <w:rPr>
          <w:rFonts w:ascii="黑体" w:hAnsi="黑体" w:eastAsia="黑体"/>
          <w:b/>
          <w:bCs/>
          <w:sz w:val="52"/>
          <w:szCs w:val="52"/>
        </w:rPr>
      </w:pPr>
    </w:p>
    <w:p>
      <w:pPr>
        <w:spacing w:line="579" w:lineRule="exact"/>
        <w:jc w:val="center"/>
        <w:rPr>
          <w:rFonts w:ascii="黑体" w:hAnsi="黑体" w:eastAsia="黑体"/>
          <w:b/>
          <w:bCs/>
          <w:sz w:val="52"/>
          <w:szCs w:val="52"/>
        </w:rPr>
      </w:pPr>
      <w:r>
        <w:rPr>
          <w:rFonts w:hint="eastAsia" w:ascii="黑体" w:hAnsi="黑体" w:eastAsia="黑体"/>
          <w:b/>
          <w:bCs/>
          <w:sz w:val="52"/>
          <w:szCs w:val="52"/>
        </w:rPr>
        <w:t>“十四五”规划</w:t>
      </w: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r>
        <w:rPr>
          <w:rFonts w:hint="eastAsia" w:ascii="楷体_GB2312" w:hAnsi="Times New Roman" w:eastAsia="楷体_GB2312"/>
          <w:sz w:val="44"/>
          <w:szCs w:val="44"/>
        </w:rPr>
        <w:t>（</w:t>
      </w:r>
      <w:r>
        <w:rPr>
          <w:rFonts w:hint="eastAsia" w:ascii="楷体_GB2312" w:hAnsi="Times New Roman" w:eastAsia="楷体_GB2312"/>
          <w:sz w:val="44"/>
          <w:szCs w:val="44"/>
          <w:lang w:eastAsia="zh-CN"/>
        </w:rPr>
        <w:t>征求意见</w:t>
      </w:r>
      <w:r>
        <w:rPr>
          <w:rFonts w:hint="eastAsia" w:ascii="楷体_GB2312" w:hAnsi="Times New Roman" w:eastAsia="楷体_GB2312"/>
          <w:sz w:val="44"/>
          <w:szCs w:val="44"/>
        </w:rPr>
        <w:t>稿）</w:t>
      </w: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楷体" w:hAnsi="楷体" w:eastAsia="楷体"/>
          <w:b/>
          <w:bCs/>
          <w:sz w:val="36"/>
          <w:szCs w:val="36"/>
        </w:rPr>
      </w:pPr>
    </w:p>
    <w:p>
      <w:pPr>
        <w:spacing w:line="579" w:lineRule="exact"/>
        <w:jc w:val="center"/>
        <w:rPr>
          <w:rFonts w:ascii="楷体" w:hAnsi="楷体" w:eastAsia="楷体"/>
          <w:b/>
          <w:bCs/>
          <w:sz w:val="36"/>
          <w:szCs w:val="36"/>
        </w:rPr>
      </w:pPr>
    </w:p>
    <w:p>
      <w:pPr>
        <w:spacing w:line="579" w:lineRule="exact"/>
        <w:jc w:val="center"/>
        <w:rPr>
          <w:rFonts w:ascii="Times New Roman" w:hAnsi="Times New Roman" w:eastAsia="楷体_GB2312"/>
          <w:b/>
          <w:bCs/>
          <w:sz w:val="36"/>
          <w:szCs w:val="36"/>
        </w:rPr>
      </w:pPr>
      <w:r>
        <w:rPr>
          <w:rFonts w:ascii="Times New Roman" w:hAnsi="Times New Roman" w:eastAsia="楷体_GB2312"/>
          <w:b/>
          <w:bCs/>
          <w:sz w:val="36"/>
          <w:szCs w:val="36"/>
        </w:rPr>
        <w:t>2021年9月</w:t>
      </w:r>
    </w:p>
    <w:p>
      <w:pPr>
        <w:widowControl/>
        <w:jc w:val="left"/>
        <w:rPr>
          <w:rFonts w:ascii="Times New Roman" w:hAnsi="Times New Roman" w:eastAsia="方正小标宋简体"/>
          <w:sz w:val="44"/>
          <w:szCs w:val="44"/>
        </w:rPr>
      </w:pPr>
      <w:r>
        <w:rPr>
          <w:rFonts w:ascii="Times New Roman" w:hAnsi="Times New Roman" w:eastAsia="方正小标宋简体"/>
          <w:sz w:val="44"/>
          <w:szCs w:val="44"/>
        </w:rPr>
        <w:br w:type="page"/>
      </w:r>
    </w:p>
    <w:sdt>
      <w:sdtPr>
        <w:rPr>
          <w:rFonts w:ascii="Calibri" w:hAnsi="Calibri" w:eastAsia="宋体" w:cs="Times New Roman"/>
          <w:color w:val="auto"/>
          <w:kern w:val="2"/>
          <w:sz w:val="21"/>
          <w:szCs w:val="22"/>
          <w:lang w:val="zh-CN"/>
        </w:rPr>
        <w:id w:val="137317021"/>
      </w:sdtPr>
      <w:sdtEndPr>
        <w:rPr>
          <w:rFonts w:ascii="Calibri" w:hAnsi="Calibri" w:eastAsia="宋体" w:cs="Times New Roman"/>
          <w:b/>
          <w:bCs/>
          <w:color w:val="auto"/>
          <w:kern w:val="2"/>
          <w:sz w:val="21"/>
          <w:szCs w:val="22"/>
          <w:lang w:val="zh-CN"/>
        </w:rPr>
      </w:sdtEndPr>
      <w:sdtContent>
        <w:p>
          <w:pPr>
            <w:pStyle w:val="25"/>
            <w:jc w:val="center"/>
            <w:rPr>
              <w:rFonts w:ascii="黑体" w:hAnsi="黑体" w:eastAsia="黑体"/>
              <w:b/>
              <w:bCs/>
              <w:color w:val="auto"/>
              <w:sz w:val="44"/>
              <w:szCs w:val="44"/>
            </w:rPr>
          </w:pPr>
          <w:r>
            <w:rPr>
              <w:rFonts w:ascii="黑体" w:hAnsi="黑体" w:eastAsia="黑体"/>
              <w:b/>
              <w:bCs/>
              <w:color w:val="auto"/>
              <w:sz w:val="44"/>
              <w:szCs w:val="44"/>
              <w:lang w:val="zh-CN"/>
            </w:rPr>
            <w:t>目</w:t>
          </w:r>
          <w:r>
            <w:rPr>
              <w:rFonts w:hint="eastAsia" w:ascii="黑体" w:hAnsi="黑体" w:eastAsia="黑体"/>
              <w:b/>
              <w:bCs/>
              <w:color w:val="auto"/>
              <w:sz w:val="44"/>
              <w:szCs w:val="44"/>
              <w:lang w:val="zh-CN"/>
            </w:rPr>
            <w:t xml:space="preserve"> </w:t>
          </w:r>
          <w:r>
            <w:rPr>
              <w:rFonts w:ascii="黑体" w:hAnsi="黑体" w:eastAsia="黑体"/>
              <w:b/>
              <w:bCs/>
              <w:color w:val="auto"/>
              <w:sz w:val="44"/>
              <w:szCs w:val="44"/>
              <w:lang w:val="zh-CN"/>
            </w:rPr>
            <w:t>录</w:t>
          </w:r>
        </w:p>
        <w:p>
          <w:pPr>
            <w:pStyle w:val="8"/>
            <w:tabs>
              <w:tab w:val="right" w:leader="dot" w:pos="8296"/>
            </w:tabs>
            <w:rPr>
              <w:rFonts w:cstheme="minorBidi"/>
              <w:kern w:val="2"/>
              <w:sz w:val="32"/>
              <w:szCs w:val="32"/>
            </w:rPr>
          </w:pPr>
          <w:r>
            <w:fldChar w:fldCharType="begin"/>
          </w:r>
          <w:r>
            <w:instrText xml:space="preserve"> TOC \o "1-3" \h \z \u </w:instrText>
          </w:r>
          <w:r>
            <w:fldChar w:fldCharType="separate"/>
          </w:r>
          <w:r>
            <w:rPr>
              <w:sz w:val="32"/>
              <w:szCs w:val="32"/>
            </w:rPr>
            <w:fldChar w:fldCharType="begin"/>
          </w:r>
          <w:r>
            <w:rPr>
              <w:sz w:val="32"/>
              <w:szCs w:val="32"/>
            </w:rPr>
            <w:instrText xml:space="preserve"> HYPERLINK \l "_Toc81666342" </w:instrText>
          </w:r>
          <w:r>
            <w:rPr>
              <w:sz w:val="32"/>
              <w:szCs w:val="32"/>
            </w:rPr>
            <w:fldChar w:fldCharType="separate"/>
          </w:r>
          <w:r>
            <w:rPr>
              <w:rStyle w:val="16"/>
              <w:rFonts w:ascii="黑体" w:hAnsi="黑体" w:eastAsia="黑体"/>
              <w:sz w:val="32"/>
              <w:szCs w:val="32"/>
            </w:rPr>
            <w:t>一、规划背景</w:t>
          </w:r>
          <w:r>
            <w:rPr>
              <w:sz w:val="32"/>
              <w:szCs w:val="32"/>
            </w:rPr>
            <w:tab/>
          </w:r>
          <w:r>
            <w:rPr>
              <w:sz w:val="32"/>
              <w:szCs w:val="32"/>
            </w:rPr>
            <w:fldChar w:fldCharType="begin"/>
          </w:r>
          <w:r>
            <w:rPr>
              <w:sz w:val="32"/>
              <w:szCs w:val="32"/>
            </w:rPr>
            <w:instrText xml:space="preserve"> PAGEREF _Toc81666342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"_Toc81666343" </w:instrText>
          </w:r>
          <w:r>
            <w:fldChar w:fldCharType="separate"/>
          </w:r>
          <w:r>
            <w:rPr>
              <w:rStyle w:val="16"/>
              <w:rFonts w:ascii="仿宋" w:hAnsi="仿宋" w:eastAsia="仿宋"/>
              <w:sz w:val="24"/>
              <w:szCs w:val="24"/>
            </w:rPr>
            <w:t>（一）现实基础</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_Toc81666343 \h </w:instrText>
          </w:r>
          <w:r>
            <w:rPr>
              <w:rFonts w:ascii="仿宋" w:hAnsi="仿宋" w:eastAsia="仿宋"/>
              <w:sz w:val="24"/>
              <w:szCs w:val="24"/>
            </w:rPr>
            <w:fldChar w:fldCharType="separate"/>
          </w:r>
          <w:r>
            <w:rPr>
              <w:rFonts w:ascii="仿宋" w:hAnsi="仿宋" w:eastAsia="仿宋"/>
              <w:sz w:val="24"/>
              <w:szCs w:val="24"/>
            </w:rPr>
            <w:t>1</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"_Toc81666344" </w:instrText>
          </w:r>
          <w:r>
            <w:fldChar w:fldCharType="separate"/>
          </w:r>
          <w:r>
            <w:rPr>
              <w:rStyle w:val="16"/>
              <w:rFonts w:ascii="仿宋" w:hAnsi="仿宋" w:eastAsia="仿宋"/>
              <w:sz w:val="24"/>
              <w:szCs w:val="24"/>
            </w:rPr>
            <w:t>（二）发展环境</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_Toc81666344 \h </w:instrText>
          </w:r>
          <w:r>
            <w:rPr>
              <w:rFonts w:ascii="仿宋" w:hAnsi="仿宋" w:eastAsia="仿宋"/>
              <w:sz w:val="24"/>
              <w:szCs w:val="24"/>
            </w:rPr>
            <w:fldChar w:fldCharType="separate"/>
          </w:r>
          <w:r>
            <w:rPr>
              <w:rFonts w:ascii="仿宋" w:hAnsi="仿宋" w:eastAsia="仿宋"/>
              <w:sz w:val="24"/>
              <w:szCs w:val="24"/>
            </w:rPr>
            <w:t>5</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296"/>
            </w:tabs>
            <w:rPr>
              <w:rFonts w:cstheme="minorBidi"/>
              <w:kern w:val="2"/>
              <w:sz w:val="24"/>
              <w:szCs w:val="24"/>
            </w:rPr>
          </w:pPr>
          <w:r>
            <w:fldChar w:fldCharType="begin"/>
          </w:r>
          <w:r>
            <w:instrText xml:space="preserve"> HYPERLINK \l "_Toc81666345" </w:instrText>
          </w:r>
          <w:r>
            <w:fldChar w:fldCharType="separate"/>
          </w:r>
          <w:r>
            <w:rPr>
              <w:rStyle w:val="16"/>
              <w:rFonts w:ascii="黑体" w:hAnsi="黑体" w:eastAsia="黑体"/>
              <w:sz w:val="24"/>
              <w:szCs w:val="24"/>
            </w:rPr>
            <w:t>二、总体要求</w:t>
          </w:r>
          <w:r>
            <w:rPr>
              <w:sz w:val="24"/>
              <w:szCs w:val="24"/>
            </w:rPr>
            <w:tab/>
          </w:r>
          <w:r>
            <w:rPr>
              <w:sz w:val="24"/>
              <w:szCs w:val="24"/>
            </w:rPr>
            <w:fldChar w:fldCharType="begin"/>
          </w:r>
          <w:r>
            <w:rPr>
              <w:sz w:val="24"/>
              <w:szCs w:val="24"/>
            </w:rPr>
            <w:instrText xml:space="preserve"> PAGEREF _Toc81666345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"_Toc81666346" </w:instrText>
          </w:r>
          <w:r>
            <w:fldChar w:fldCharType="separate"/>
          </w:r>
          <w:r>
            <w:rPr>
              <w:rStyle w:val="16"/>
              <w:rFonts w:ascii="仿宋" w:hAnsi="仿宋" w:eastAsia="仿宋"/>
              <w:sz w:val="24"/>
              <w:szCs w:val="24"/>
            </w:rPr>
            <w:t>（一）指导思想</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_Toc81666346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"_Toc81666347" </w:instrText>
          </w:r>
          <w:r>
            <w:fldChar w:fldCharType="separate"/>
          </w:r>
          <w:r>
            <w:rPr>
              <w:rStyle w:val="16"/>
              <w:rFonts w:ascii="仿宋" w:hAnsi="仿宋" w:eastAsia="仿宋"/>
              <w:sz w:val="24"/>
              <w:szCs w:val="24"/>
            </w:rPr>
            <w:t>（二）基本原则</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_Toc81666347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cstheme="minorBidi"/>
              <w:kern w:val="2"/>
              <w:sz w:val="24"/>
              <w:szCs w:val="24"/>
            </w:rPr>
          </w:pPr>
          <w:r>
            <w:fldChar w:fldCharType="begin"/>
          </w:r>
          <w:r>
            <w:instrText xml:space="preserve"> HYPERLINK \l "_Toc81666348" </w:instrText>
          </w:r>
          <w:r>
            <w:fldChar w:fldCharType="separate"/>
          </w:r>
          <w:r>
            <w:rPr>
              <w:rStyle w:val="16"/>
              <w:rFonts w:ascii="仿宋" w:hAnsi="仿宋" w:eastAsia="仿宋"/>
              <w:sz w:val="24"/>
              <w:szCs w:val="24"/>
            </w:rPr>
            <w:t>（三）总体目标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_Toc81666348 \h </w:instrText>
          </w:r>
          <w:r>
            <w:rPr>
              <w:rFonts w:ascii="仿宋" w:hAnsi="仿宋" w:eastAsia="仿宋"/>
              <w:sz w:val="24"/>
              <w:szCs w:val="24"/>
            </w:rPr>
            <w:fldChar w:fldCharType="separate"/>
          </w:r>
          <w:r>
            <w:rPr>
              <w:rFonts w:ascii="仿宋" w:hAnsi="仿宋" w:eastAsia="仿宋"/>
              <w:sz w:val="24"/>
              <w:szCs w:val="24"/>
            </w:rPr>
            <w:t>9</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296"/>
            </w:tabs>
            <w:rPr>
              <w:rFonts w:cstheme="minorBidi"/>
              <w:kern w:val="2"/>
              <w:sz w:val="24"/>
              <w:szCs w:val="24"/>
            </w:rPr>
          </w:pPr>
          <w:r>
            <w:fldChar w:fldCharType="begin"/>
          </w:r>
          <w:r>
            <w:instrText xml:space="preserve"> HYPERLINK \l "_Toc81666349" </w:instrText>
          </w:r>
          <w:r>
            <w:fldChar w:fldCharType="separate"/>
          </w:r>
          <w:r>
            <w:rPr>
              <w:rStyle w:val="16"/>
              <w:rFonts w:ascii="黑体" w:hAnsi="黑体" w:eastAsia="黑体"/>
              <w:sz w:val="24"/>
              <w:szCs w:val="24"/>
            </w:rPr>
            <w:t>三、主要任务</w:t>
          </w:r>
          <w:r>
            <w:rPr>
              <w:sz w:val="24"/>
              <w:szCs w:val="24"/>
            </w:rPr>
            <w:tab/>
          </w:r>
          <w:r>
            <w:rPr>
              <w:sz w:val="24"/>
              <w:szCs w:val="24"/>
            </w:rPr>
            <w:fldChar w:fldCharType="begin"/>
          </w:r>
          <w:r>
            <w:rPr>
              <w:sz w:val="24"/>
              <w:szCs w:val="24"/>
            </w:rPr>
            <w:instrText xml:space="preserve"> PAGEREF _Toc81666349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"_Toc81666350" </w:instrText>
          </w:r>
          <w:r>
            <w:fldChar w:fldCharType="separate"/>
          </w:r>
          <w:r>
            <w:rPr>
              <w:rStyle w:val="16"/>
              <w:rFonts w:ascii="仿宋" w:hAnsi="仿宋" w:eastAsia="仿宋"/>
              <w:sz w:val="24"/>
              <w:szCs w:val="24"/>
            </w:rPr>
            <w:t>（一）健全多层次医疗保障制度体系</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_Toc81666350 \h </w:instrText>
          </w:r>
          <w:r>
            <w:rPr>
              <w:rFonts w:ascii="仿宋" w:hAnsi="仿宋" w:eastAsia="仿宋"/>
              <w:sz w:val="24"/>
              <w:szCs w:val="24"/>
            </w:rPr>
            <w:fldChar w:fldCharType="separate"/>
          </w:r>
          <w:r>
            <w:rPr>
              <w:rFonts w:ascii="仿宋" w:hAnsi="仿宋" w:eastAsia="仿宋"/>
              <w:sz w:val="24"/>
              <w:szCs w:val="24"/>
            </w:rPr>
            <w:t>11</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"_Toc81666351" </w:instrText>
          </w:r>
          <w:r>
            <w:fldChar w:fldCharType="separate"/>
          </w:r>
          <w:r>
            <w:rPr>
              <w:rStyle w:val="16"/>
              <w:rFonts w:ascii="仿宋" w:hAnsi="仿宋" w:eastAsia="仿宋"/>
              <w:sz w:val="24"/>
              <w:szCs w:val="24"/>
            </w:rPr>
            <w:t>（二）优化医疗保障运行机制</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_Toc81666351 \h </w:instrText>
          </w:r>
          <w:r>
            <w:rPr>
              <w:rFonts w:ascii="仿宋" w:hAnsi="仿宋" w:eastAsia="仿宋"/>
              <w:sz w:val="24"/>
              <w:szCs w:val="24"/>
            </w:rPr>
            <w:fldChar w:fldCharType="separate"/>
          </w:r>
          <w:r>
            <w:rPr>
              <w:rFonts w:ascii="仿宋" w:hAnsi="仿宋" w:eastAsia="仿宋"/>
              <w:sz w:val="24"/>
              <w:szCs w:val="24"/>
            </w:rPr>
            <w:t>16</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"_Toc81666352" </w:instrText>
          </w:r>
          <w:r>
            <w:fldChar w:fldCharType="separate"/>
          </w:r>
          <w:r>
            <w:rPr>
              <w:rStyle w:val="16"/>
              <w:rFonts w:ascii="仿宋" w:hAnsi="仿宋" w:eastAsia="仿宋"/>
              <w:sz w:val="24"/>
              <w:szCs w:val="24"/>
            </w:rPr>
            <w:t>（三）协同推进医药服务供给侧改革</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_Toc81666352 \h </w:instrText>
          </w:r>
          <w:r>
            <w:rPr>
              <w:rFonts w:ascii="仿宋" w:hAnsi="仿宋" w:eastAsia="仿宋"/>
              <w:sz w:val="24"/>
              <w:szCs w:val="24"/>
            </w:rPr>
            <w:fldChar w:fldCharType="separate"/>
          </w:r>
          <w:r>
            <w:rPr>
              <w:rFonts w:ascii="仿宋" w:hAnsi="仿宋" w:eastAsia="仿宋"/>
              <w:sz w:val="24"/>
              <w:szCs w:val="24"/>
            </w:rPr>
            <w:t>17</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"_Toc81666353" </w:instrText>
          </w:r>
          <w:r>
            <w:fldChar w:fldCharType="separate"/>
          </w:r>
          <w:r>
            <w:rPr>
              <w:rStyle w:val="16"/>
              <w:rFonts w:ascii="仿宋" w:hAnsi="仿宋" w:eastAsia="仿宋"/>
              <w:sz w:val="24"/>
              <w:szCs w:val="24"/>
            </w:rPr>
            <w:t>（四）优化医疗保障基金综合监管</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_Toc81666353 \h </w:instrText>
          </w:r>
          <w:r>
            <w:rPr>
              <w:rFonts w:ascii="仿宋" w:hAnsi="仿宋" w:eastAsia="仿宋"/>
              <w:sz w:val="24"/>
              <w:szCs w:val="24"/>
            </w:rPr>
            <w:fldChar w:fldCharType="separate"/>
          </w:r>
          <w:r>
            <w:rPr>
              <w:rFonts w:ascii="仿宋" w:hAnsi="仿宋" w:eastAsia="仿宋"/>
              <w:sz w:val="24"/>
              <w:szCs w:val="24"/>
            </w:rPr>
            <w:t>20</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"_Toc81666354" </w:instrText>
          </w:r>
          <w:r>
            <w:fldChar w:fldCharType="separate"/>
          </w:r>
          <w:r>
            <w:rPr>
              <w:rStyle w:val="16"/>
              <w:rFonts w:ascii="仿宋" w:hAnsi="仿宋" w:eastAsia="仿宋"/>
              <w:sz w:val="24"/>
              <w:szCs w:val="24"/>
            </w:rPr>
            <w:t>（五）深化医疗保障领域数字化改革</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_Toc81666354 \h </w:instrText>
          </w:r>
          <w:r>
            <w:rPr>
              <w:rFonts w:ascii="仿宋" w:hAnsi="仿宋" w:eastAsia="仿宋"/>
              <w:sz w:val="24"/>
              <w:szCs w:val="24"/>
            </w:rPr>
            <w:fldChar w:fldCharType="separate"/>
          </w:r>
          <w:r>
            <w:rPr>
              <w:rFonts w:ascii="仿宋" w:hAnsi="仿宋" w:eastAsia="仿宋"/>
              <w:sz w:val="24"/>
              <w:szCs w:val="24"/>
            </w:rPr>
            <w:t>24</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"_Toc81666355" </w:instrText>
          </w:r>
          <w:r>
            <w:fldChar w:fldCharType="separate"/>
          </w:r>
          <w:r>
            <w:rPr>
              <w:rStyle w:val="16"/>
              <w:rFonts w:ascii="仿宋" w:hAnsi="仿宋" w:eastAsia="仿宋"/>
              <w:sz w:val="24"/>
              <w:szCs w:val="24"/>
            </w:rPr>
            <w:t>（六）提高医疗保障依法治理水平</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_Toc81666355 \h </w:instrText>
          </w:r>
          <w:r>
            <w:rPr>
              <w:rFonts w:ascii="仿宋" w:hAnsi="仿宋" w:eastAsia="仿宋"/>
              <w:sz w:val="24"/>
              <w:szCs w:val="24"/>
            </w:rPr>
            <w:fldChar w:fldCharType="separate"/>
          </w:r>
          <w:r>
            <w:rPr>
              <w:rFonts w:ascii="仿宋" w:hAnsi="仿宋" w:eastAsia="仿宋"/>
              <w:sz w:val="24"/>
              <w:szCs w:val="24"/>
            </w:rPr>
            <w:t>28</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296"/>
            </w:tabs>
            <w:rPr>
              <w:rFonts w:cstheme="minorBidi"/>
              <w:kern w:val="2"/>
              <w:sz w:val="24"/>
              <w:szCs w:val="24"/>
            </w:rPr>
          </w:pPr>
          <w:r>
            <w:fldChar w:fldCharType="begin"/>
          </w:r>
          <w:r>
            <w:instrText xml:space="preserve"> HYPERLINK \l "_Toc81666356" </w:instrText>
          </w:r>
          <w:r>
            <w:fldChar w:fldCharType="separate"/>
          </w:r>
          <w:r>
            <w:rPr>
              <w:rStyle w:val="16"/>
              <w:rFonts w:ascii="黑体" w:hAnsi="黑体" w:eastAsia="黑体"/>
              <w:sz w:val="24"/>
              <w:szCs w:val="24"/>
            </w:rPr>
            <w:t>四、保障措施</w:t>
          </w:r>
          <w:r>
            <w:rPr>
              <w:sz w:val="24"/>
              <w:szCs w:val="24"/>
            </w:rPr>
            <w:tab/>
          </w:r>
          <w:r>
            <w:rPr>
              <w:sz w:val="24"/>
              <w:szCs w:val="24"/>
            </w:rPr>
            <w:fldChar w:fldCharType="begin"/>
          </w:r>
          <w:r>
            <w:rPr>
              <w:sz w:val="24"/>
              <w:szCs w:val="24"/>
            </w:rPr>
            <w:instrText xml:space="preserve"> PAGEREF _Toc81666356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"_Toc81666357" </w:instrText>
          </w:r>
          <w:r>
            <w:fldChar w:fldCharType="separate"/>
          </w:r>
          <w:r>
            <w:rPr>
              <w:rStyle w:val="16"/>
              <w:rFonts w:ascii="仿宋" w:hAnsi="仿宋" w:eastAsia="仿宋"/>
              <w:sz w:val="24"/>
              <w:szCs w:val="24"/>
            </w:rPr>
            <w:t>（一）坚持党的组织领导，合理规划布局</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_Toc81666357 \h </w:instrText>
          </w:r>
          <w:r>
            <w:rPr>
              <w:rFonts w:ascii="仿宋" w:hAnsi="仿宋" w:eastAsia="仿宋"/>
              <w:sz w:val="24"/>
              <w:szCs w:val="24"/>
            </w:rPr>
            <w:fldChar w:fldCharType="separate"/>
          </w:r>
          <w:r>
            <w:rPr>
              <w:rFonts w:ascii="仿宋" w:hAnsi="仿宋" w:eastAsia="仿宋"/>
              <w:sz w:val="24"/>
              <w:szCs w:val="24"/>
            </w:rPr>
            <w:t>30</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"_Toc81666358" </w:instrText>
          </w:r>
          <w:r>
            <w:fldChar w:fldCharType="separate"/>
          </w:r>
          <w:r>
            <w:rPr>
              <w:rStyle w:val="16"/>
              <w:rFonts w:ascii="仿宋" w:hAnsi="仿宋" w:eastAsia="仿宋"/>
              <w:sz w:val="24"/>
              <w:szCs w:val="24"/>
            </w:rPr>
            <w:t>（二）完善资源投入保障，确保工作落实</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_Toc81666358 \h </w:instrText>
          </w:r>
          <w:r>
            <w:rPr>
              <w:rFonts w:ascii="仿宋" w:hAnsi="仿宋" w:eastAsia="仿宋"/>
              <w:sz w:val="24"/>
              <w:szCs w:val="24"/>
            </w:rPr>
            <w:fldChar w:fldCharType="separate"/>
          </w:r>
          <w:r>
            <w:rPr>
              <w:rFonts w:ascii="仿宋" w:hAnsi="仿宋" w:eastAsia="仿宋"/>
              <w:sz w:val="24"/>
              <w:szCs w:val="24"/>
            </w:rPr>
            <w:t>30</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"_Toc81666359" </w:instrText>
          </w:r>
          <w:r>
            <w:fldChar w:fldCharType="separate"/>
          </w:r>
          <w:r>
            <w:rPr>
              <w:rStyle w:val="16"/>
              <w:rFonts w:ascii="仿宋" w:hAnsi="仿宋" w:eastAsia="仿宋"/>
              <w:sz w:val="24"/>
              <w:szCs w:val="24"/>
            </w:rPr>
            <w:t>（三）强化医保数字化改革，保障精准高</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_Toc81666359 \h </w:instrText>
          </w:r>
          <w:r>
            <w:rPr>
              <w:rFonts w:ascii="仿宋" w:hAnsi="仿宋" w:eastAsia="仿宋"/>
              <w:sz w:val="24"/>
              <w:szCs w:val="24"/>
            </w:rPr>
            <w:fldChar w:fldCharType="separate"/>
          </w:r>
          <w:r>
            <w:rPr>
              <w:rFonts w:ascii="仿宋" w:hAnsi="仿宋" w:eastAsia="仿宋"/>
              <w:sz w:val="24"/>
              <w:szCs w:val="24"/>
            </w:rPr>
            <w:t>31</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"_Toc81666360" </w:instrText>
          </w:r>
          <w:r>
            <w:fldChar w:fldCharType="separate"/>
          </w:r>
          <w:r>
            <w:rPr>
              <w:rStyle w:val="16"/>
              <w:rFonts w:ascii="仿宋" w:hAnsi="仿宋" w:eastAsia="仿宋"/>
              <w:sz w:val="24"/>
              <w:szCs w:val="24"/>
            </w:rPr>
            <w:t>（四）推动部门协同联动，加强协作治理</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_Toc81666360 \h </w:instrText>
          </w:r>
          <w:r>
            <w:rPr>
              <w:rFonts w:ascii="仿宋" w:hAnsi="仿宋" w:eastAsia="仿宋"/>
              <w:sz w:val="24"/>
              <w:szCs w:val="24"/>
            </w:rPr>
            <w:fldChar w:fldCharType="separate"/>
          </w:r>
          <w:r>
            <w:rPr>
              <w:rFonts w:ascii="仿宋" w:hAnsi="仿宋" w:eastAsia="仿宋"/>
              <w:sz w:val="24"/>
              <w:szCs w:val="24"/>
            </w:rPr>
            <w:t>31</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4"/>
              <w:szCs w:val="24"/>
            </w:rPr>
          </w:pPr>
          <w:r>
            <w:fldChar w:fldCharType="begin"/>
          </w:r>
          <w:r>
            <w:instrText xml:space="preserve"> HYPERLINK \l "_Toc81666361" </w:instrText>
          </w:r>
          <w:r>
            <w:fldChar w:fldCharType="separate"/>
          </w:r>
          <w:r>
            <w:rPr>
              <w:rStyle w:val="16"/>
              <w:rFonts w:ascii="仿宋" w:hAnsi="仿宋" w:eastAsia="仿宋"/>
              <w:sz w:val="24"/>
              <w:szCs w:val="24"/>
            </w:rPr>
            <w:t>（五）加强宣传引导工作，营造良好氛围</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_Toc81666361 \h </w:instrText>
          </w:r>
          <w:r>
            <w:rPr>
              <w:rFonts w:ascii="仿宋" w:hAnsi="仿宋" w:eastAsia="仿宋"/>
              <w:sz w:val="24"/>
              <w:szCs w:val="24"/>
            </w:rPr>
            <w:fldChar w:fldCharType="separate"/>
          </w:r>
          <w:r>
            <w:rPr>
              <w:rFonts w:ascii="仿宋" w:hAnsi="仿宋" w:eastAsia="仿宋"/>
              <w:sz w:val="24"/>
              <w:szCs w:val="24"/>
            </w:rPr>
            <w:t>32</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296"/>
            </w:tabs>
            <w:rPr>
              <w:rFonts w:ascii="仿宋" w:hAnsi="仿宋" w:eastAsia="仿宋" w:cstheme="minorBidi"/>
              <w:kern w:val="2"/>
              <w:sz w:val="21"/>
            </w:rPr>
          </w:pPr>
          <w:r>
            <w:fldChar w:fldCharType="begin"/>
          </w:r>
          <w:r>
            <w:instrText xml:space="preserve"> HYPERLINK \l "_Toc81666362" </w:instrText>
          </w:r>
          <w:r>
            <w:fldChar w:fldCharType="separate"/>
          </w:r>
          <w:r>
            <w:rPr>
              <w:rStyle w:val="16"/>
              <w:rFonts w:ascii="仿宋" w:hAnsi="仿宋" w:eastAsia="仿宋"/>
              <w:sz w:val="24"/>
              <w:szCs w:val="24"/>
            </w:rPr>
            <w:t>（六）防范医保风险漏洞，强化监测评估</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_Toc81666362 \h </w:instrText>
          </w:r>
          <w:r>
            <w:rPr>
              <w:rFonts w:ascii="仿宋" w:hAnsi="仿宋" w:eastAsia="仿宋"/>
              <w:sz w:val="24"/>
              <w:szCs w:val="24"/>
            </w:rPr>
            <w:fldChar w:fldCharType="separate"/>
          </w:r>
          <w:r>
            <w:rPr>
              <w:rFonts w:ascii="仿宋" w:hAnsi="仿宋" w:eastAsia="仿宋"/>
              <w:sz w:val="24"/>
              <w:szCs w:val="24"/>
            </w:rPr>
            <w:t>32</w:t>
          </w:r>
          <w:r>
            <w:rPr>
              <w:rFonts w:ascii="仿宋" w:hAnsi="仿宋" w:eastAsia="仿宋"/>
              <w:sz w:val="24"/>
              <w:szCs w:val="24"/>
            </w:rPr>
            <w:fldChar w:fldCharType="end"/>
          </w:r>
          <w:r>
            <w:rPr>
              <w:rFonts w:ascii="仿宋" w:hAnsi="仿宋" w:eastAsia="仿宋"/>
              <w:sz w:val="24"/>
              <w:szCs w:val="24"/>
            </w:rPr>
            <w:fldChar w:fldCharType="end"/>
          </w:r>
        </w:p>
        <w:p>
          <w:r>
            <w:rPr>
              <w:b/>
              <w:bCs/>
              <w:lang w:val="zh-CN"/>
            </w:rPr>
            <w:fldChar w:fldCharType="end"/>
          </w:r>
        </w:p>
      </w:sdtContent>
    </w:sdt>
    <w:p>
      <w:pPr>
        <w:widowControl/>
        <w:jc w:val="left"/>
        <w:rPr>
          <w:rFonts w:ascii="Times New Roman" w:hAnsi="Times New Roman" w:eastAsia="方正小标宋简体"/>
          <w:sz w:val="44"/>
          <w:szCs w:val="44"/>
        </w:rPr>
      </w:pPr>
    </w:p>
    <w:p>
      <w:pPr>
        <w:widowControl/>
        <w:jc w:val="left"/>
        <w:rPr>
          <w:rFonts w:ascii="Times New Roman" w:hAnsi="Times New Roman" w:eastAsia="方正小标宋简体"/>
          <w:sz w:val="44"/>
          <w:szCs w:val="44"/>
        </w:rPr>
      </w:pPr>
    </w:p>
    <w:p>
      <w:pPr>
        <w:widowControl/>
        <w:jc w:val="left"/>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579" w:lineRule="exact"/>
        <w:jc w:val="center"/>
        <w:rPr>
          <w:rFonts w:ascii="Times New Roman" w:hAnsi="Times New Roman" w:eastAsia="方正小标宋简体"/>
          <w:sz w:val="44"/>
          <w:szCs w:val="44"/>
        </w:rPr>
        <w:sectPr>
          <w:footerReference r:id="rId3" w:type="default"/>
          <w:pgSz w:w="11906" w:h="16838"/>
          <w:pgMar w:top="1440" w:right="1800" w:bottom="1440" w:left="1800" w:header="851" w:footer="992" w:gutter="0"/>
          <w:pgNumType w:fmt="decimal"/>
          <w:cols w:space="425" w:num="1"/>
          <w:docGrid w:type="lines" w:linePitch="312" w:charSpace="0"/>
        </w:sectPr>
      </w:pPr>
    </w:p>
    <w:p>
      <w:pPr>
        <w:spacing w:line="579"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丽水市</w:t>
      </w:r>
      <w:r>
        <w:rPr>
          <w:rFonts w:ascii="Times New Roman" w:hAnsi="Times New Roman" w:eastAsia="方正小标宋简体"/>
          <w:sz w:val="44"/>
          <w:szCs w:val="44"/>
        </w:rPr>
        <w:t>医疗保障事业发展“十四五”规划</w:t>
      </w:r>
    </w:p>
    <w:p>
      <w:pPr>
        <w:spacing w:line="579" w:lineRule="exact"/>
        <w:jc w:val="center"/>
        <w:rPr>
          <w:rFonts w:ascii="楷体_GB2312" w:hAnsi="Times New Roman" w:eastAsia="楷体_GB2312"/>
          <w:sz w:val="44"/>
          <w:szCs w:val="44"/>
        </w:rPr>
      </w:pPr>
    </w:p>
    <w:p>
      <w:pPr>
        <w:ind w:firstLine="420" w:firstLineChars="200"/>
      </w:pPr>
    </w:p>
    <w:p>
      <w:pPr>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为深入贯彻十九大关于全面建立中国特色医疗保障制度的决策部署</w:t>
      </w:r>
      <w:r>
        <w:rPr>
          <w:rFonts w:hint="eastAsia" w:ascii="Times New Roman" w:hAnsi="Times New Roman" w:eastAsia="仿宋_GB2312"/>
          <w:color w:val="000000"/>
          <w:sz w:val="28"/>
          <w:szCs w:val="28"/>
        </w:rPr>
        <w:t>，落实党中央、国务院关于支持浙江高质量发展建设共同富裕示范区的决策部署，全面</w:t>
      </w:r>
      <w:r>
        <w:rPr>
          <w:rFonts w:ascii="Times New Roman" w:hAnsi="Times New Roman" w:eastAsia="仿宋_GB2312"/>
          <w:color w:val="000000"/>
          <w:sz w:val="28"/>
          <w:szCs w:val="28"/>
        </w:rPr>
        <w:t>落实党中央、国务院和省委、省政府关于深化医疗保障制度改革的意见，推动我</w:t>
      </w:r>
      <w:r>
        <w:rPr>
          <w:rFonts w:hint="eastAsia" w:ascii="Times New Roman" w:hAnsi="Times New Roman" w:eastAsia="仿宋_GB2312"/>
          <w:color w:val="000000"/>
          <w:sz w:val="28"/>
          <w:szCs w:val="28"/>
        </w:rPr>
        <w:t>市</w:t>
      </w:r>
      <w:r>
        <w:rPr>
          <w:rFonts w:ascii="Times New Roman" w:hAnsi="Times New Roman" w:eastAsia="仿宋_GB2312"/>
          <w:color w:val="000000"/>
          <w:sz w:val="28"/>
          <w:szCs w:val="28"/>
        </w:rPr>
        <w:t>医疗保障事业高质量发展，依据</w:t>
      </w:r>
      <w:r>
        <w:rPr>
          <w:rFonts w:hint="eastAsia" w:ascii="Times New Roman" w:hAnsi="Times New Roman" w:eastAsia="仿宋_GB2312"/>
          <w:color w:val="000000"/>
          <w:sz w:val="28"/>
          <w:szCs w:val="28"/>
        </w:rPr>
        <w:t>《浙江省医疗保障事业发展“十四五”规划》</w:t>
      </w:r>
      <w:r>
        <w:rPr>
          <w:rFonts w:ascii="Times New Roman" w:hAnsi="Times New Roman" w:eastAsia="仿宋_GB2312"/>
          <w:color w:val="000000"/>
          <w:sz w:val="28"/>
          <w:szCs w:val="28"/>
        </w:rPr>
        <w:t>和《</w:t>
      </w:r>
      <w:r>
        <w:rPr>
          <w:rFonts w:hint="eastAsia" w:ascii="Times New Roman" w:hAnsi="Times New Roman" w:eastAsia="仿宋_GB2312"/>
          <w:color w:val="000000"/>
          <w:sz w:val="28"/>
          <w:szCs w:val="28"/>
        </w:rPr>
        <w:t>丽水市</w:t>
      </w:r>
      <w:r>
        <w:rPr>
          <w:rFonts w:ascii="Times New Roman" w:hAnsi="Times New Roman" w:eastAsia="仿宋_GB2312"/>
          <w:color w:val="000000"/>
          <w:sz w:val="28"/>
          <w:szCs w:val="28"/>
        </w:rPr>
        <w:t>国民经济和社会发展第十四个五年规划和</w:t>
      </w:r>
      <w:r>
        <w:rPr>
          <w:rFonts w:hint="eastAsia"/>
          <w:color w:val="000000"/>
          <w:sz w:val="28"/>
          <w:szCs w:val="28"/>
        </w:rPr>
        <w:t>二〇</w:t>
      </w:r>
      <w:r>
        <w:rPr>
          <w:rFonts w:ascii="Times New Roman" w:hAnsi="Times New Roman" w:eastAsia="仿宋_GB2312"/>
          <w:color w:val="000000"/>
          <w:sz w:val="28"/>
          <w:szCs w:val="28"/>
        </w:rPr>
        <w:t>三五年远景目标纲要》，制定本规划。</w:t>
      </w:r>
    </w:p>
    <w:p>
      <w:pPr>
        <w:pStyle w:val="2"/>
        <w:spacing w:before="0" w:after="0" w:line="360" w:lineRule="auto"/>
        <w:rPr>
          <w:rFonts w:ascii="黑体" w:hAnsi="黑体" w:eastAsia="黑体"/>
          <w:sz w:val="28"/>
          <w:szCs w:val="28"/>
        </w:rPr>
      </w:pPr>
      <w:bookmarkStart w:id="0" w:name="_Toc81666342"/>
      <w:r>
        <w:rPr>
          <w:rFonts w:hint="eastAsia" w:ascii="黑体" w:hAnsi="黑体" w:eastAsia="黑体"/>
          <w:sz w:val="28"/>
          <w:szCs w:val="28"/>
        </w:rPr>
        <w:t>一、规划背景</w:t>
      </w:r>
      <w:bookmarkEnd w:id="0"/>
    </w:p>
    <w:p>
      <w:pPr>
        <w:pStyle w:val="3"/>
        <w:spacing w:before="0" w:after="0" w:line="360" w:lineRule="auto"/>
        <w:ind w:firstLine="562" w:firstLineChars="200"/>
        <w:rPr>
          <w:rFonts w:ascii="楷体_GB2312" w:eastAsia="楷体_GB2312"/>
          <w:sz w:val="28"/>
          <w:szCs w:val="28"/>
        </w:rPr>
      </w:pPr>
      <w:bookmarkStart w:id="1" w:name="_Toc81666343"/>
      <w:r>
        <w:rPr>
          <w:rFonts w:hint="eastAsia" w:ascii="楷体_GB2312" w:eastAsia="楷体_GB2312"/>
          <w:sz w:val="28"/>
          <w:szCs w:val="28"/>
        </w:rPr>
        <w:t>（一）现实基础</w:t>
      </w:r>
      <w:bookmarkEnd w:id="1"/>
    </w:p>
    <w:p>
      <w:pPr>
        <w:ind w:firstLine="560" w:firstLineChars="200"/>
        <w:rPr>
          <w:rFonts w:ascii="仿宋_GB2312" w:hAnsi="黑体" w:eastAsia="仿宋_GB2312"/>
          <w:color w:val="auto"/>
          <w:sz w:val="28"/>
          <w:szCs w:val="28"/>
        </w:rPr>
      </w:pPr>
      <w:r>
        <w:rPr>
          <w:rFonts w:hint="eastAsia" w:ascii="仿宋_GB2312" w:hAnsi="黑体" w:eastAsia="仿宋_GB2312"/>
          <w:color w:val="auto"/>
          <w:sz w:val="28"/>
          <w:szCs w:val="28"/>
        </w:rPr>
        <w:t>“十三五”以来，丽水市委市政府高度重视医疗保障工作，尤其是丽水市医保局组建以来，通过完善医保管理体制，健全制度体系，稳步提升待遇水平，提高经办服务能力，持续推动三医联动改革等一系列举措，推动医疗保障改革全面走向深化，促进了医保管理服务水平的提升和医保治理的现代化。</w:t>
      </w:r>
    </w:p>
    <w:p>
      <w:pPr>
        <w:ind w:firstLine="562" w:firstLineChars="200"/>
        <w:rPr>
          <w:rFonts w:ascii="仿宋_GB2312" w:hAnsi="黑体" w:eastAsia="仿宋_GB2312"/>
          <w:color w:val="auto"/>
          <w:sz w:val="28"/>
          <w:szCs w:val="28"/>
        </w:rPr>
      </w:pPr>
      <w:r>
        <w:rPr>
          <w:rFonts w:hint="eastAsia" w:ascii="仿宋_GB2312" w:hAnsi="黑体" w:eastAsia="仿宋_GB2312"/>
          <w:b/>
          <w:bCs/>
          <w:color w:val="auto"/>
          <w:sz w:val="28"/>
          <w:szCs w:val="28"/>
        </w:rPr>
        <w:t>——制度体系更趋健全。</w:t>
      </w:r>
      <w:r>
        <w:rPr>
          <w:rFonts w:hint="eastAsia" w:ascii="仿宋_GB2312" w:hAnsi="黑体" w:eastAsia="仿宋_GB2312"/>
          <w:b w:val="0"/>
          <w:bCs w:val="0"/>
          <w:color w:val="auto"/>
          <w:sz w:val="28"/>
          <w:szCs w:val="28"/>
        </w:rPr>
        <w:t>统一全市职工医保和居民医保基本政策，初步建立“政策统一、待遇统一、经办统一、信息统一、征缴统一”市级统筹管理模式，基本医保户籍参保率超过99%，实现基本医保从“人人享有”迈向“人人公平享有”，积极谋划全面做实基本医保市级统筹。</w:t>
      </w:r>
      <w:r>
        <w:rPr>
          <w:rFonts w:hint="eastAsia" w:ascii="仿宋_GB2312" w:hAnsi="黑体" w:eastAsia="仿宋_GB2312"/>
          <w:b w:val="0"/>
          <w:bCs w:val="0"/>
          <w:color w:val="auto"/>
          <w:sz w:val="28"/>
          <w:szCs w:val="28"/>
          <w:lang w:val="en-US" w:eastAsia="zh-CN"/>
        </w:rPr>
        <w:t>建立覆盖全民、全市统一</w:t>
      </w:r>
      <w:r>
        <w:rPr>
          <w:rFonts w:hint="eastAsia" w:ascii="仿宋_GB2312" w:hAnsi="黑体" w:eastAsia="仿宋_GB2312"/>
          <w:b w:val="0"/>
          <w:bCs w:val="0"/>
          <w:color w:val="auto"/>
          <w:sz w:val="28"/>
          <w:szCs w:val="28"/>
        </w:rPr>
        <w:t>大病保险</w:t>
      </w:r>
      <w:r>
        <w:rPr>
          <w:rFonts w:hint="eastAsia" w:ascii="仿宋_GB2312" w:hAnsi="黑体" w:eastAsia="仿宋_GB2312"/>
          <w:b w:val="0"/>
          <w:bCs w:val="0"/>
          <w:color w:val="auto"/>
          <w:sz w:val="28"/>
          <w:szCs w:val="28"/>
          <w:lang w:val="en-US" w:eastAsia="zh-CN"/>
        </w:rPr>
        <w:t>制度</w:t>
      </w:r>
      <w:r>
        <w:rPr>
          <w:rFonts w:hint="eastAsia" w:ascii="仿宋_GB2312" w:hAnsi="黑体" w:eastAsia="仿宋_GB2312"/>
          <w:b w:val="0"/>
          <w:bCs w:val="0"/>
          <w:color w:val="auto"/>
          <w:sz w:val="28"/>
          <w:szCs w:val="28"/>
        </w:rPr>
        <w:t>，</w:t>
      </w:r>
      <w:r>
        <w:rPr>
          <w:rFonts w:hint="eastAsia" w:ascii="仿宋_GB2312" w:hAnsi="黑体" w:eastAsia="仿宋_GB2312"/>
          <w:b w:val="0"/>
          <w:bCs w:val="0"/>
          <w:color w:val="auto"/>
          <w:sz w:val="28"/>
          <w:szCs w:val="28"/>
          <w:lang w:val="en-US" w:eastAsia="zh-CN"/>
        </w:rPr>
        <w:t>大病</w:t>
      </w:r>
      <w:r>
        <w:rPr>
          <w:rFonts w:hint="eastAsia" w:ascii="仿宋_GB2312" w:hAnsi="黑体" w:eastAsia="仿宋_GB2312"/>
          <w:b w:val="0"/>
          <w:bCs w:val="0"/>
          <w:color w:val="auto"/>
          <w:sz w:val="28"/>
          <w:szCs w:val="28"/>
        </w:rPr>
        <w:t>待遇水平逐年提升，保障范围逐步扩大</w:t>
      </w:r>
      <w:r>
        <w:rPr>
          <w:rFonts w:hint="eastAsia" w:ascii="仿宋_GB2312" w:hAnsi="黑体" w:eastAsia="仿宋_GB2312"/>
          <w:b w:val="0"/>
          <w:bCs w:val="0"/>
          <w:color w:val="auto"/>
          <w:sz w:val="28"/>
          <w:szCs w:val="28"/>
          <w:lang w:eastAsia="zh-CN"/>
        </w:rPr>
        <w:t>，</w:t>
      </w:r>
      <w:r>
        <w:rPr>
          <w:rFonts w:hint="eastAsia" w:ascii="仿宋_GB2312" w:hAnsi="黑体" w:eastAsia="仿宋_GB2312"/>
          <w:b w:val="0"/>
          <w:bCs w:val="0"/>
          <w:color w:val="auto"/>
          <w:sz w:val="28"/>
          <w:szCs w:val="28"/>
        </w:rPr>
        <w:t>提升大病保险对高额费用的保障水平。认真落实“两不愁三保障”的有关要求，出台大病保险向困难人员倾斜政策，降低大病保险起付线，提高报销比率，取消困难人员的大病保险起付线。</w:t>
      </w:r>
      <w:r>
        <w:rPr>
          <w:rFonts w:hint="eastAsia" w:ascii="仿宋_GB2312" w:hAnsi="黑体" w:eastAsia="仿宋_GB2312"/>
          <w:color w:val="auto"/>
          <w:sz w:val="28"/>
          <w:szCs w:val="28"/>
        </w:rPr>
        <w:t>制定《丽水市医疗救助管理办法》，实现符合条件的困难群众资助参保率和救助政策落实率“两个百分百”，提高救助待遇水平，实现范围对象、待遇标准、基金管理、经办服务、信息系统“五个统一”</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实行医疗救助“一站式”结算，切实减轻困难群众看病就医垫资负担。充分发挥</w:t>
      </w:r>
      <w:r>
        <w:rPr>
          <w:rFonts w:hint="eastAsia" w:ascii="仿宋_GB2312" w:hAnsi="黑体" w:eastAsia="仿宋_GB2312"/>
          <w:color w:val="auto"/>
          <w:sz w:val="28"/>
          <w:szCs w:val="28"/>
          <w:lang w:val="en-US" w:eastAsia="zh-CN"/>
        </w:rPr>
        <w:t>政府和</w:t>
      </w:r>
      <w:r>
        <w:rPr>
          <w:rFonts w:hint="eastAsia" w:ascii="仿宋_GB2312" w:hAnsi="黑体" w:eastAsia="仿宋_GB2312"/>
          <w:color w:val="auto"/>
          <w:sz w:val="28"/>
          <w:szCs w:val="28"/>
        </w:rPr>
        <w:t>市场</w:t>
      </w:r>
      <w:r>
        <w:rPr>
          <w:rFonts w:hint="eastAsia" w:ascii="仿宋_GB2312" w:hAnsi="黑体" w:eastAsia="仿宋_GB2312"/>
          <w:color w:val="auto"/>
          <w:sz w:val="28"/>
          <w:szCs w:val="28"/>
          <w:lang w:val="en-US" w:eastAsia="zh-CN"/>
        </w:rPr>
        <w:t>互补</w:t>
      </w:r>
      <w:r>
        <w:rPr>
          <w:rFonts w:hint="eastAsia" w:ascii="仿宋_GB2312" w:hAnsi="黑体" w:eastAsia="仿宋_GB2312"/>
          <w:color w:val="auto"/>
          <w:sz w:val="28"/>
          <w:szCs w:val="28"/>
        </w:rPr>
        <w:t>作用，在全国首创全民健康补充医疗保险制度（“浙丽保”），有效解决因病致贫、因病返贫难题，为完善多层次医疗保障体系提供了丽水经验和丽水模板。</w:t>
      </w:r>
    </w:p>
    <w:p>
      <w:pPr>
        <w:ind w:firstLine="562" w:firstLineChars="200"/>
        <w:rPr>
          <w:rFonts w:hint="default" w:ascii="仿宋_GB2312" w:hAnsi="黑体" w:eastAsia="仿宋_GB2312"/>
          <w:color w:val="auto"/>
          <w:sz w:val="28"/>
          <w:szCs w:val="28"/>
          <w:lang w:val="en-US" w:eastAsia="zh-CN"/>
        </w:rPr>
      </w:pPr>
      <w:r>
        <w:rPr>
          <w:rFonts w:hint="eastAsia" w:ascii="仿宋_GB2312" w:hAnsi="黑体" w:eastAsia="仿宋_GB2312"/>
          <w:b/>
          <w:bCs/>
          <w:color w:val="auto"/>
          <w:sz w:val="28"/>
          <w:szCs w:val="28"/>
        </w:rPr>
        <w:t>——待遇保障稳步提升。</w:t>
      </w:r>
      <w:r>
        <w:rPr>
          <w:rFonts w:hint="eastAsia" w:ascii="仿宋_GB2312" w:hAnsi="黑体" w:eastAsia="仿宋_GB2312"/>
          <w:color w:val="auto"/>
          <w:sz w:val="28"/>
          <w:szCs w:val="28"/>
        </w:rPr>
        <w:t>完善医疗保障政策体系，持续扩大医保目录覆盖面，稳妥推进国家医保局的新版药品目录及谈判药品的落地实施。提高保障待遇、提升服务水平、加大技术支撑，全力抓好慢性病医疗保障省政府民生实事工作</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提高慢性病人在基层医疗机构就医报销比率，扩大慢性病的保障范围，出台慢性病长处方和外配处方管理制度，</w:t>
      </w:r>
      <w:r>
        <w:rPr>
          <w:rFonts w:hint="eastAsia" w:ascii="仿宋_GB2312" w:hAnsi="黑体" w:eastAsia="仿宋_GB2312"/>
          <w:color w:val="auto"/>
          <w:sz w:val="28"/>
          <w:szCs w:val="28"/>
          <w:lang w:val="en-US" w:eastAsia="zh-CN"/>
        </w:rPr>
        <w:t>推进慢性病服务向定点药店拓展。</w:t>
      </w:r>
      <w:r>
        <w:rPr>
          <w:rFonts w:hint="eastAsia" w:ascii="仿宋_GB2312" w:hAnsi="黑体" w:eastAsia="仿宋_GB2312"/>
          <w:color w:val="auto"/>
          <w:sz w:val="28"/>
          <w:szCs w:val="28"/>
        </w:rPr>
        <w:t>出台驻丽部队现役军人的医疗保障待遇政策</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lang w:val="en-US" w:eastAsia="zh-CN"/>
        </w:rPr>
        <w:t>落实浙江省罕见病医疗保障政策。</w:t>
      </w:r>
    </w:p>
    <w:p>
      <w:pPr>
        <w:ind w:firstLine="562" w:firstLineChars="200"/>
        <w:rPr>
          <w:rFonts w:ascii="仿宋_GB2312" w:hAnsi="黑体" w:eastAsia="仿宋_GB2312"/>
          <w:color w:val="auto"/>
          <w:sz w:val="28"/>
          <w:szCs w:val="28"/>
        </w:rPr>
      </w:pPr>
      <w:r>
        <w:rPr>
          <w:rFonts w:hint="eastAsia" w:ascii="仿宋_GB2312" w:hAnsi="黑体" w:eastAsia="仿宋_GB2312"/>
          <w:b/>
          <w:bCs/>
          <w:color w:val="auto"/>
          <w:sz w:val="28"/>
          <w:szCs w:val="28"/>
        </w:rPr>
        <w:t>——三医改革持续深化。</w:t>
      </w:r>
      <w:r>
        <w:rPr>
          <w:rFonts w:hint="eastAsia" w:ascii="仿宋_GB2312" w:hAnsi="黑体" w:eastAsia="仿宋_GB2312"/>
          <w:color w:val="auto"/>
          <w:sz w:val="28"/>
          <w:szCs w:val="28"/>
        </w:rPr>
        <w:t>稳步推进医保支付方式改革、医疗服务价格改革和药品耗材集中采购改革。出台《丽水市县域医共体支付方式改革方案》，推进总额预算下的复合型支付方式改革，完善城乡居民在不同等级医疗机构的差异化医保待遇。制定DRGs点数法付费结算细则，对住院医疗费用和住院医疗机构实行两个“全覆盖”，开展DRG改革综合评价工作；开展门诊医疗费用按人头付费改革，结合家庭医师签约制度，及时出台门诊按人头付费细则，在全市统一开展总额预算下的门诊按人头付费管理。施行《丽水市市级公立医院医疗服务价格调整方案》和《丽水市公立医院医疗服务价格改革方案》，通过降低大型医用设备检查治疗和检验价格、取消医用耗材加成、压缩不必要药品和医用耗材使用量、控制不必要检查检验腾出空间，上调技术劳务型医疗服务项目价格。印发《关于丽水市公立医疗机构医用耗材实行“零差率”销售的通知》，所有公立医疗机构医用耗材实行 “零差率”销售；积极做好国家组织三批集中带量采购药品、心脏冠脉支架和省集中带量采购人工髋关节、球囊的落地工作。从监测情况看，带量采购已为我市减少药品费用近1.8亿元。</w:t>
      </w:r>
    </w:p>
    <w:p>
      <w:pPr>
        <w:ind w:firstLine="562" w:firstLineChars="200"/>
        <w:rPr>
          <w:rFonts w:ascii="仿宋_GB2312" w:hAnsi="黑体" w:eastAsia="仿宋_GB2312"/>
          <w:color w:val="auto"/>
          <w:sz w:val="28"/>
          <w:szCs w:val="28"/>
        </w:rPr>
      </w:pPr>
      <w:r>
        <w:rPr>
          <w:rFonts w:hint="eastAsia" w:ascii="仿宋_GB2312" w:hAnsi="黑体" w:eastAsia="仿宋_GB2312"/>
          <w:b/>
          <w:bCs/>
          <w:color w:val="auto"/>
          <w:sz w:val="28"/>
          <w:szCs w:val="28"/>
        </w:rPr>
        <w:t>——经办服务提质增效。</w:t>
      </w:r>
      <w:r>
        <w:rPr>
          <w:rFonts w:hint="eastAsia" w:ascii="仿宋_GB2312" w:hAnsi="黑体" w:eastAsia="仿宋_GB2312"/>
          <w:color w:val="auto"/>
          <w:sz w:val="28"/>
          <w:szCs w:val="28"/>
        </w:rPr>
        <w:t>创建 “雷锋式”医保服务品牌，以“雷锋式”医保服务理念引领，奋力打造“最便捷的医保经办城市”。制定出台《丽水“雷锋式”服务规范》《“雷锋式”医保服务进定点医药机构试点工作方案》等系列文件，推进服务标准化。在全市同步开展以“市-县-乡-村”服务网络为依托的“四位一体”经办体系建设，推进经办服务下沉，提升医保公共服务均等化和便捷度。全面改造和提升信息系统，积极探索诚信办理模式和容缺受理机制，大力推进</w:t>
      </w:r>
      <w:r>
        <w:rPr>
          <w:rFonts w:hint="eastAsia" w:ascii="仿宋_GB2312" w:hAnsi="黑体" w:eastAsia="仿宋_GB2312"/>
          <w:color w:val="auto"/>
          <w:sz w:val="28"/>
          <w:szCs w:val="28"/>
          <w:lang w:val="en-US" w:eastAsia="zh-CN"/>
        </w:rPr>
        <w:t>医疗保障经办服务实现</w:t>
      </w:r>
      <w:r>
        <w:rPr>
          <w:rFonts w:hint="eastAsia" w:ascii="仿宋_GB2312" w:hAnsi="黑体" w:eastAsia="仿宋_GB2312"/>
          <w:color w:val="auto"/>
          <w:sz w:val="28"/>
          <w:szCs w:val="28"/>
        </w:rPr>
        <w:t>“网上办”“掌上办”“即时办”</w:t>
      </w:r>
      <w:r>
        <w:rPr>
          <w:rFonts w:hint="eastAsia" w:ascii="仿宋_GB2312" w:hAnsi="黑体" w:eastAsia="仿宋_GB2312"/>
          <w:color w:val="auto"/>
          <w:sz w:val="28"/>
          <w:szCs w:val="28"/>
          <w:lang w:val="en-US" w:eastAsia="zh-CN"/>
        </w:rPr>
        <w:t>实现三个“百分百”</w:t>
      </w:r>
      <w:r>
        <w:rPr>
          <w:rFonts w:hint="eastAsia" w:ascii="仿宋_GB2312" w:hAnsi="黑体" w:eastAsia="仿宋_GB2312"/>
          <w:color w:val="auto"/>
          <w:sz w:val="28"/>
          <w:szCs w:val="28"/>
        </w:rPr>
        <w:t>，创新服务方式，推动经办服务信息化、便民化。“雷锋式”医保服务以地级市第一名的得分被评为全国医疗保障行风建设10大典型案例，入选国家局医疗保障系统行风建设资料汇编。</w:t>
      </w:r>
    </w:p>
    <w:p>
      <w:pPr>
        <w:ind w:firstLine="562" w:firstLineChars="200"/>
        <w:rPr>
          <w:rFonts w:ascii="仿宋_GB2312" w:hAnsi="黑体" w:eastAsia="仿宋_GB2312"/>
          <w:color w:val="auto"/>
          <w:sz w:val="28"/>
          <w:szCs w:val="28"/>
        </w:rPr>
      </w:pPr>
      <w:r>
        <w:rPr>
          <w:rFonts w:hint="eastAsia" w:ascii="仿宋_GB2312" w:hAnsi="黑体" w:eastAsia="仿宋_GB2312"/>
          <w:b/>
          <w:bCs/>
          <w:color w:val="auto"/>
          <w:sz w:val="28"/>
          <w:szCs w:val="28"/>
        </w:rPr>
        <w:t>——基金监管强化创新。</w:t>
      </w:r>
      <w:r>
        <w:rPr>
          <w:rFonts w:hint="eastAsia" w:ascii="仿宋_GB2312" w:hAnsi="黑体" w:eastAsia="仿宋_GB2312"/>
          <w:color w:val="auto"/>
          <w:sz w:val="28"/>
          <w:szCs w:val="28"/>
        </w:rPr>
        <w:t>全面推动建设具有丽水特色的“机构监管，制度监管，智能监管，借力监管、信用监管，全民监管，震慑监管”七个监管体系的基金综合监管新模式，全面落实医保基金综合监管省级试点工作，印发实施方案，细化任务责任主体。全市所有县（市、区）全部增设医保监管机构。成立案件审核委员会，建立健全重大案件处理集体讨论决策的工作机制和经办机构内控管理制度，厘清医保行政监管和协议管理的关系。全面加强制度建设，相继出台了《丽水市基本医疗保险定点医药机构协议管理办法》、《丽水市基本医疗保险定点中小医药机构诚信记分管理办法（试行）》、《丽水市医疗保障局关于严格按规定移送涉嫌骗取医保资金犯罪案件的通知》等11个规范定点单位准入、定点单位管理、加强基金监管、涉嫌犯罪移送等相关制度、文件。全面实现中小定点医药机构视频监控审核，开发完成丽水市医保基金运行管理系统（一期），医保管理大数据分析平台基本建立。开展第三方经办服务机构自查自纠和考核评价工作，促进第三方机构规范服务。探索建立医保信用曝光平台，将医保失信机构、人员在局网站等平台进行曝光。</w:t>
      </w:r>
    </w:p>
    <w:p>
      <w:pPr>
        <w:ind w:firstLine="562" w:firstLineChars="200"/>
        <w:rPr>
          <w:rFonts w:ascii="仿宋_GB2312" w:hAnsi="黑体" w:eastAsia="仿宋_GB2312"/>
          <w:color w:val="auto"/>
          <w:sz w:val="28"/>
          <w:szCs w:val="28"/>
        </w:rPr>
      </w:pPr>
      <w:r>
        <w:rPr>
          <w:rFonts w:hint="eastAsia" w:ascii="仿宋_GB2312" w:hAnsi="黑体" w:eastAsia="仿宋_GB2312"/>
          <w:b/>
          <w:bCs/>
          <w:color w:val="auto"/>
          <w:sz w:val="28"/>
          <w:szCs w:val="28"/>
        </w:rPr>
        <w:t>——疫情防控有力应对。</w:t>
      </w:r>
      <w:r>
        <w:rPr>
          <w:rFonts w:hint="eastAsia" w:ascii="仿宋_GB2312" w:hAnsi="黑体" w:eastAsia="仿宋_GB2312"/>
          <w:color w:val="auto"/>
          <w:sz w:val="28"/>
          <w:szCs w:val="28"/>
        </w:rPr>
        <w:t>在疫情防控工作启动后，第一时间印发政策文件，明确对因疫情接受治疗的参保人员实行综合保障，明确对中医治疗的政策支持。疫情期间全市医保系统共向定点医疗机构拨付疫情治疗预付资金合计5800万元，专项用于定点医疗机构抗疫支出；向定点医疗机构拨付医保周转金合计13948万元；对全市企业执行阶段性单位缴费减半征收政策。疫情期间开发线上医保结算功能，搭建“互联网医院+医保”服务平台，实现群众慢病就医购药全过程“不见面、不跑腿、不接触”；联系保险公司为全市在一线从事疫情防控工作的近15万名医务工作者、公安干警、社区工作者等“最美逆行者”提供免费人身保险；在复工复产阶段，为医保局联系企业、定点医药机构工作人员提供复工人身保险，共办理近5000人次。</w:t>
      </w:r>
    </w:p>
    <w:p>
      <w:pPr>
        <w:pStyle w:val="3"/>
        <w:spacing w:before="0" w:after="0" w:line="360" w:lineRule="auto"/>
        <w:ind w:firstLine="562" w:firstLineChars="200"/>
        <w:rPr>
          <w:rFonts w:ascii="楷体_GB2312" w:eastAsia="楷体_GB2312"/>
          <w:color w:val="auto"/>
          <w:sz w:val="28"/>
          <w:szCs w:val="28"/>
        </w:rPr>
      </w:pPr>
      <w:bookmarkStart w:id="2" w:name="_Toc81666344"/>
      <w:r>
        <w:rPr>
          <w:rFonts w:hint="eastAsia" w:ascii="楷体_GB2312" w:eastAsia="楷体_GB2312"/>
          <w:color w:val="auto"/>
          <w:sz w:val="28"/>
          <w:szCs w:val="28"/>
        </w:rPr>
        <w:t>（二）发展环境</w:t>
      </w:r>
      <w:bookmarkEnd w:id="2"/>
    </w:p>
    <w:p>
      <w:pPr>
        <w:ind w:firstLine="560" w:firstLineChars="200"/>
        <w:rPr>
          <w:rFonts w:ascii="仿宋_GB2312" w:hAnsi="黑体" w:eastAsia="仿宋_GB2312"/>
          <w:color w:val="auto"/>
          <w:sz w:val="28"/>
          <w:szCs w:val="28"/>
        </w:rPr>
      </w:pPr>
      <w:r>
        <w:rPr>
          <w:rFonts w:hint="eastAsia" w:ascii="仿宋_GB2312" w:hAnsi="黑体" w:eastAsia="仿宋_GB2312"/>
          <w:color w:val="auto"/>
          <w:sz w:val="28"/>
          <w:szCs w:val="28"/>
        </w:rPr>
        <w:t>“十四五”期间是丽水市落实中央和浙江省高质量发展建设共同富裕示范区的关键时期，是把共同富裕融入医疗保障各项政策制度的战略时期，从而全面推动符合丽水特色医疗保障事业高质量发展，促进丽水医疗保障体系更加公平、更可持续、更有效率。中共中央、国务院发布的《关于深化医疗保障制度改革的意见》作为全面深化医疗保障制度改革的纲领性文件，为我市医疗保障的深化改革指明了方向、提供了基本依据。在数字化改革的背景下，大数据、区块链的发展创新了医保的管理方式、服务方式和行为方式，提高了医保的服务效率，也为我市医保经办能力的提高奠定了基础。随着丽水市医保</w:t>
      </w:r>
      <w:r>
        <w:rPr>
          <w:rFonts w:hint="eastAsia" w:ascii="仿宋_GB2312" w:hAnsi="黑体" w:eastAsia="仿宋_GB2312"/>
          <w:color w:val="auto"/>
          <w:sz w:val="28"/>
          <w:szCs w:val="28"/>
          <w:lang w:val="en-US" w:eastAsia="zh-CN"/>
        </w:rPr>
        <w:t>改革的深入推进</w:t>
      </w:r>
      <w:r>
        <w:rPr>
          <w:rFonts w:hint="eastAsia" w:ascii="仿宋_GB2312" w:hAnsi="黑体" w:eastAsia="仿宋_GB2312"/>
          <w:color w:val="auto"/>
          <w:sz w:val="28"/>
          <w:szCs w:val="28"/>
        </w:rPr>
        <w:t>，将全面建立“政策统一、待遇统一、经办统一、信息统一、征缴统一、分担统一”的“六统一”市级统筹管理模式，</w:t>
      </w:r>
      <w:r>
        <w:rPr>
          <w:rFonts w:hint="eastAsia" w:ascii="仿宋_GB2312" w:hAnsi="黑体" w:eastAsia="仿宋_GB2312"/>
          <w:color w:val="auto"/>
          <w:sz w:val="28"/>
          <w:szCs w:val="28"/>
          <w:lang w:val="en-US" w:eastAsia="zh-CN"/>
        </w:rPr>
        <w:t>全面做实基本医保市级统筹，实现基本医保基金市级统收统支</w:t>
      </w:r>
      <w:r>
        <w:rPr>
          <w:rFonts w:hint="eastAsia" w:ascii="仿宋_GB2312" w:hAnsi="黑体" w:eastAsia="仿宋_GB2312"/>
          <w:color w:val="auto"/>
          <w:sz w:val="28"/>
          <w:szCs w:val="28"/>
        </w:rPr>
        <w:t>。随着“浙丽保”的顺利开展，市场与社会力量日趋成熟，人民的风险与保险意识增强，为商业健康保险产品的供给和发展提供了良好的社会环境。</w:t>
      </w:r>
    </w:p>
    <w:p>
      <w:pPr>
        <w:ind w:firstLine="560" w:firstLineChars="200"/>
        <w:rPr>
          <w:rFonts w:ascii="仿宋_GB2312" w:hAnsi="黑体" w:eastAsia="仿宋_GB2312"/>
          <w:color w:val="auto"/>
          <w:sz w:val="28"/>
          <w:szCs w:val="28"/>
        </w:rPr>
      </w:pPr>
      <w:r>
        <w:rPr>
          <w:rFonts w:hint="eastAsia" w:ascii="仿宋_GB2312" w:hAnsi="黑体" w:eastAsia="仿宋_GB2312"/>
          <w:color w:val="auto"/>
          <w:sz w:val="28"/>
          <w:szCs w:val="28"/>
          <w:lang w:eastAsia="zh-CN"/>
        </w:rPr>
        <w:t>世界局势变化对国内经济发展的不确定影响加大。</w:t>
      </w:r>
      <w:r>
        <w:rPr>
          <w:rFonts w:hint="eastAsia" w:ascii="仿宋_GB2312" w:hAnsi="黑体" w:eastAsia="仿宋_GB2312"/>
          <w:color w:val="auto"/>
          <w:sz w:val="28"/>
          <w:szCs w:val="28"/>
        </w:rPr>
        <w:t>“十四五”</w:t>
      </w:r>
      <w:r>
        <w:rPr>
          <w:rFonts w:hint="eastAsia" w:ascii="仿宋_GB2312" w:hAnsi="黑体" w:eastAsia="仿宋_GB2312"/>
          <w:color w:val="auto"/>
          <w:sz w:val="28"/>
          <w:szCs w:val="28"/>
          <w:lang w:eastAsia="zh-CN"/>
        </w:rPr>
        <w:t>时</w:t>
      </w:r>
      <w:r>
        <w:rPr>
          <w:rFonts w:hint="eastAsia" w:ascii="仿宋_GB2312" w:hAnsi="黑体" w:eastAsia="仿宋_GB2312"/>
          <w:color w:val="auto"/>
          <w:sz w:val="28"/>
          <w:szCs w:val="28"/>
        </w:rPr>
        <w:t>期，国际经济、科技、文化、安全、政治等格局都在发生深刻调整，当今世界正经历百年未有之大变局，保护主义、单边主义上升，世界经济低迷，新冠肺炎疫情全球大流行使这个大变局加速变化，世界进入动荡变革期。受全球经济大衰退和逆全球化影响，经济下行压力会进一步加大，财政用于民生保障领域的投入能力受到制约。此外，信息技术的发展同时也带来数据安全的问题。如何在医疗保障与信息管理中把握好服务高效便捷与个人隐私安全的平衡，是未来医疗保障事业发展面临的一大难题。这为我市医疗保障事业的发展带来新的挑战。</w:t>
      </w:r>
    </w:p>
    <w:p>
      <w:pPr>
        <w:ind w:firstLine="560" w:firstLineChars="200"/>
        <w:rPr>
          <w:rFonts w:ascii="仿宋_GB2312" w:hAnsi="黑体" w:eastAsia="仿宋_GB2312"/>
          <w:color w:val="auto"/>
          <w:sz w:val="28"/>
          <w:szCs w:val="28"/>
        </w:rPr>
      </w:pPr>
      <w:r>
        <w:rPr>
          <w:rFonts w:hint="eastAsia" w:ascii="仿宋_GB2312" w:hAnsi="黑体" w:eastAsia="仿宋_GB2312"/>
          <w:color w:val="auto"/>
          <w:sz w:val="28"/>
          <w:szCs w:val="28"/>
          <w:lang w:eastAsia="zh-CN"/>
        </w:rPr>
        <w:t>人民</w:t>
      </w:r>
      <w:r>
        <w:rPr>
          <w:rFonts w:hint="eastAsia" w:ascii="仿宋_GB2312" w:hAnsi="黑体" w:eastAsia="仿宋_GB2312"/>
          <w:color w:val="auto"/>
          <w:sz w:val="28"/>
          <w:szCs w:val="28"/>
        </w:rPr>
        <w:t>日益增</w:t>
      </w:r>
      <w:r>
        <w:rPr>
          <w:rFonts w:hint="eastAsia" w:ascii="仿宋_GB2312" w:hAnsi="黑体" w:eastAsia="仿宋_GB2312"/>
          <w:color w:val="auto"/>
          <w:sz w:val="28"/>
          <w:szCs w:val="28"/>
          <w:lang w:eastAsia="zh-CN"/>
        </w:rPr>
        <w:t>长的保障需求</w:t>
      </w:r>
      <w:r>
        <w:rPr>
          <w:rFonts w:hint="eastAsia" w:ascii="仿宋_GB2312" w:hAnsi="黑体" w:eastAsia="仿宋_GB2312"/>
          <w:color w:val="auto"/>
          <w:sz w:val="28"/>
          <w:szCs w:val="28"/>
        </w:rPr>
        <w:t>对医疗保障事业提出新要求。我国已进入高质量发展阶段，社会主要矛盾转化为人民日益增长的美好生活需要和不平衡不充分的发展之间的矛盾，人民对美好生活的要求不断提高，人民的健康意识持续增强，医疗服务和公共卫生服务需求加快升级，对高质量的医疗保障服务有更高的期待，对做好医疗保障工作提出新要求，对医保事业发展提出新挑战。医疗保障事业作为民生工程，必须立足新发展阶段，贯彻新发展理念，构建新发展格局，以推动高质量发展为主题，以改革创新为根本动力，以深化供给侧改革为主线，为增强人民群众获得感、幸福感、安全感贡献医保力量。</w:t>
      </w:r>
    </w:p>
    <w:p>
      <w:pPr>
        <w:ind w:firstLine="560" w:firstLineChars="200"/>
        <w:rPr>
          <w:rFonts w:hint="eastAsia" w:ascii="仿宋_GB2312" w:hAnsi="黑体" w:eastAsia="仿宋_GB2312"/>
          <w:color w:val="auto"/>
          <w:sz w:val="28"/>
          <w:szCs w:val="28"/>
        </w:rPr>
      </w:pPr>
      <w:r>
        <w:rPr>
          <w:rFonts w:hint="eastAsia" w:ascii="仿宋_GB2312" w:hAnsi="黑体" w:eastAsia="仿宋_GB2312"/>
          <w:color w:val="auto"/>
          <w:sz w:val="28"/>
          <w:szCs w:val="28"/>
        </w:rPr>
        <w:t>人口老龄化趋势对医疗保障事业提出新任务。随着我市人口结构变化加速转型，老龄快速化、高龄化将对医疗保障事业提出新任务。据第七次人口普查数据显示，我市60周岁及以上常住人口53.25万人，占人口总数的21.24%，65周岁及以上人口3 8.53万人，占比15.37%，老龄人口规模较大，老龄化程度高，已进入中度老龄化社会。如何应对老年人对</w:t>
      </w:r>
      <w:r>
        <w:rPr>
          <w:rFonts w:hint="eastAsia" w:ascii="仿宋_GB2312" w:hAnsi="黑体" w:eastAsia="仿宋_GB2312"/>
          <w:color w:val="auto"/>
          <w:sz w:val="28"/>
          <w:szCs w:val="28"/>
          <w:lang w:val="en-US" w:eastAsia="zh-CN"/>
        </w:rPr>
        <w:t>慢性病、</w:t>
      </w:r>
      <w:r>
        <w:rPr>
          <w:rFonts w:hint="eastAsia" w:ascii="仿宋_GB2312" w:hAnsi="黑体" w:eastAsia="仿宋_GB2312"/>
          <w:color w:val="auto"/>
          <w:sz w:val="28"/>
          <w:szCs w:val="28"/>
        </w:rPr>
        <w:t>长期照料、康复护理日益增多的需求，如何应对随之上升的全社会的医疗</w:t>
      </w:r>
      <w:r>
        <w:rPr>
          <w:rFonts w:hint="eastAsia" w:ascii="仿宋_GB2312" w:hAnsi="黑体" w:eastAsia="仿宋_GB2312"/>
          <w:color w:val="auto"/>
          <w:sz w:val="28"/>
          <w:szCs w:val="28"/>
          <w:lang w:val="en-US" w:eastAsia="zh-CN"/>
        </w:rPr>
        <w:t>保障</w:t>
      </w:r>
      <w:r>
        <w:rPr>
          <w:rFonts w:hint="eastAsia" w:ascii="仿宋_GB2312" w:hAnsi="黑体" w:eastAsia="仿宋_GB2312"/>
          <w:color w:val="auto"/>
          <w:sz w:val="28"/>
          <w:szCs w:val="28"/>
        </w:rPr>
        <w:t>和照护成本，如何设计和建立长期护理保险制度，以更高效地应对慢性病与失能的挑战，都将是丽水市“十四五”期间医疗保障制度建设无法回避的重大问题。</w:t>
      </w:r>
      <w:bookmarkStart w:id="3" w:name="_Toc81666345"/>
    </w:p>
    <w:p>
      <w:pPr>
        <w:ind w:firstLine="560" w:firstLineChars="200"/>
        <w:rPr>
          <w:rFonts w:ascii="黑体" w:hAnsi="黑体" w:eastAsia="黑体"/>
          <w:color w:val="auto"/>
          <w:sz w:val="28"/>
          <w:szCs w:val="28"/>
        </w:rPr>
      </w:pPr>
      <w:r>
        <w:rPr>
          <w:rFonts w:hint="eastAsia" w:ascii="黑体" w:hAnsi="黑体" w:eastAsia="黑体"/>
          <w:color w:val="auto"/>
          <w:sz w:val="28"/>
          <w:szCs w:val="28"/>
        </w:rPr>
        <w:t>二、总体要求</w:t>
      </w:r>
      <w:bookmarkEnd w:id="3"/>
    </w:p>
    <w:p>
      <w:pPr>
        <w:pStyle w:val="3"/>
        <w:spacing w:before="0" w:after="0" w:line="360" w:lineRule="auto"/>
        <w:ind w:firstLine="562" w:firstLineChars="200"/>
        <w:rPr>
          <w:rFonts w:ascii="楷体_GB2312" w:eastAsia="楷体_GB2312"/>
          <w:color w:val="auto"/>
          <w:sz w:val="28"/>
          <w:szCs w:val="28"/>
        </w:rPr>
      </w:pPr>
      <w:bookmarkStart w:id="4" w:name="_Toc81666346"/>
      <w:r>
        <w:rPr>
          <w:rFonts w:hint="eastAsia" w:ascii="楷体_GB2312" w:eastAsia="楷体_GB2312"/>
          <w:color w:val="auto"/>
          <w:sz w:val="28"/>
          <w:szCs w:val="28"/>
        </w:rPr>
        <w:t>（一）指导思想</w:t>
      </w:r>
      <w:bookmarkEnd w:id="4"/>
    </w:p>
    <w:p>
      <w:pPr>
        <w:ind w:firstLine="560" w:firstLineChars="200"/>
        <w:rPr>
          <w:rFonts w:ascii="仿宋_GB2312" w:hAnsi="黑体" w:eastAsia="仿宋_GB2312"/>
          <w:color w:val="auto"/>
          <w:sz w:val="28"/>
          <w:szCs w:val="28"/>
        </w:rPr>
      </w:pPr>
      <w:r>
        <w:rPr>
          <w:rFonts w:hint="eastAsia" w:ascii="仿宋_GB2312" w:hAnsi="黑体" w:eastAsia="仿宋_GB2312"/>
          <w:color w:val="auto"/>
          <w:sz w:val="28"/>
          <w:szCs w:val="28"/>
        </w:rPr>
        <w:t>高举中国特色社会主义伟大旗帜，坚持以习近平新时代中国特色社会主义思想为指导，深入贯彻党的十九大和十九届二中、三中、四中、五中全会精神，坚持党的</w:t>
      </w:r>
      <w:r>
        <w:rPr>
          <w:rFonts w:hint="eastAsia" w:ascii="仿宋_GB2312" w:hAnsi="黑体" w:eastAsia="仿宋_GB2312"/>
          <w:color w:val="auto"/>
          <w:sz w:val="28"/>
          <w:szCs w:val="28"/>
          <w:lang w:eastAsia="zh-CN"/>
        </w:rPr>
        <w:t>全面</w:t>
      </w:r>
      <w:r>
        <w:rPr>
          <w:rFonts w:hint="eastAsia" w:ascii="仿宋_GB2312" w:hAnsi="黑体" w:eastAsia="仿宋_GB2312"/>
          <w:color w:val="auto"/>
          <w:sz w:val="28"/>
          <w:szCs w:val="28"/>
        </w:rPr>
        <w:t>领导，坚持以人民健康为中心的发展思想，坚持立足新发展阶段，贯彻新发展理念，融入新发展格局，加快跨越式发展。以数字化改革为牵引，把共同富裕融入医疗保障各项制度政策，着力推进全覆盖可持续多层次医疗保障体系建设、强化医保基金监管、优化医保经办等工作，加快建成覆盖全民、城乡统筹、权责清晰、保障适度、可持续的多层次医疗保障体系，不断提升参保群众的获得感、幸福感、安全感。坚决扛起忠实践行“八八战略”，以浙西南革命精神注魂赋能立根，全面厉行“丽水之干”不动摇，为奋力打造“高水平建设和高质量发展重要窗口”和构建“一带三区”区域格局贡献医保力量，促进丽水市医保治理现代化</w:t>
      </w:r>
      <w:r>
        <w:rPr>
          <w:rFonts w:hint="eastAsia" w:ascii="仿宋_GB2312" w:hAnsi="黑体" w:eastAsia="仿宋_GB2312"/>
          <w:color w:val="auto"/>
          <w:sz w:val="28"/>
          <w:szCs w:val="28"/>
          <w:lang w:val="en-US" w:eastAsia="zh-CN"/>
        </w:rPr>
        <w:t>和</w:t>
      </w:r>
      <w:r>
        <w:rPr>
          <w:rFonts w:hint="eastAsia" w:ascii="仿宋_GB2312" w:hAnsi="黑体" w:eastAsia="仿宋_GB2312"/>
          <w:color w:val="auto"/>
          <w:sz w:val="28"/>
          <w:szCs w:val="28"/>
        </w:rPr>
        <w:t>可持续发展。</w:t>
      </w:r>
    </w:p>
    <w:p>
      <w:pPr>
        <w:pStyle w:val="3"/>
        <w:spacing w:before="0" w:after="0" w:line="360" w:lineRule="auto"/>
        <w:ind w:firstLine="562" w:firstLineChars="200"/>
        <w:rPr>
          <w:rFonts w:ascii="楷体_GB2312" w:eastAsia="楷体_GB2312"/>
          <w:color w:val="auto"/>
          <w:sz w:val="28"/>
          <w:szCs w:val="28"/>
        </w:rPr>
      </w:pPr>
      <w:bookmarkStart w:id="5" w:name="_Toc81666347"/>
      <w:r>
        <w:rPr>
          <w:rFonts w:hint="eastAsia" w:ascii="楷体_GB2312" w:eastAsia="楷体_GB2312"/>
          <w:color w:val="auto"/>
          <w:sz w:val="28"/>
          <w:szCs w:val="28"/>
        </w:rPr>
        <w:t>（二）基本原则</w:t>
      </w:r>
      <w:bookmarkEnd w:id="5"/>
    </w:p>
    <w:p>
      <w:pPr>
        <w:ind w:firstLine="562" w:firstLineChars="200"/>
        <w:rPr>
          <w:rFonts w:ascii="仿宋_GB2312" w:hAnsi="黑体" w:eastAsia="仿宋_GB2312"/>
          <w:b/>
          <w:bCs/>
          <w:color w:val="auto"/>
          <w:sz w:val="28"/>
          <w:szCs w:val="28"/>
        </w:rPr>
      </w:pPr>
      <w:r>
        <w:rPr>
          <w:rFonts w:hint="eastAsia" w:ascii="仿宋_GB2312" w:hAnsi="黑体" w:eastAsia="仿宋_GB2312"/>
          <w:b/>
          <w:bCs/>
          <w:color w:val="auto"/>
          <w:sz w:val="28"/>
          <w:szCs w:val="28"/>
        </w:rPr>
        <w:t>——坚持公平普惠，保障基本。</w:t>
      </w:r>
    </w:p>
    <w:p>
      <w:pPr>
        <w:ind w:firstLine="560" w:firstLineChars="200"/>
        <w:rPr>
          <w:rFonts w:ascii="仿宋_GB2312" w:hAnsi="黑体" w:eastAsia="仿宋_GB2312"/>
          <w:color w:val="auto"/>
          <w:sz w:val="28"/>
          <w:szCs w:val="28"/>
        </w:rPr>
      </w:pPr>
      <w:r>
        <w:rPr>
          <w:rFonts w:hint="eastAsia" w:ascii="仿宋_GB2312" w:hAnsi="黑体" w:eastAsia="仿宋_GB2312"/>
          <w:color w:val="auto"/>
          <w:sz w:val="28"/>
          <w:szCs w:val="28"/>
        </w:rPr>
        <w:t>坚持推动基本医疗保险应保尽保，覆盖全民，保障基本。坚持促进</w:t>
      </w:r>
      <w:r>
        <w:rPr>
          <w:rFonts w:hint="eastAsia" w:ascii="仿宋_GB2312" w:hAnsi="黑体" w:eastAsia="仿宋_GB2312"/>
          <w:color w:val="auto"/>
          <w:sz w:val="28"/>
          <w:szCs w:val="28"/>
          <w:lang w:val="en-US" w:eastAsia="zh-CN"/>
        </w:rPr>
        <w:t>机会</w:t>
      </w:r>
      <w:r>
        <w:rPr>
          <w:rFonts w:hint="eastAsia" w:ascii="仿宋_GB2312" w:hAnsi="黑体" w:eastAsia="仿宋_GB2312"/>
          <w:color w:val="auto"/>
          <w:sz w:val="28"/>
          <w:szCs w:val="28"/>
        </w:rPr>
        <w:t>公平、强化制度公平，逐步缩小</w:t>
      </w:r>
      <w:r>
        <w:rPr>
          <w:rFonts w:hint="eastAsia" w:ascii="仿宋_GB2312" w:hAnsi="黑体" w:eastAsia="仿宋_GB2312"/>
          <w:color w:val="auto"/>
          <w:sz w:val="28"/>
          <w:szCs w:val="28"/>
          <w:lang w:val="en-US" w:eastAsia="zh-CN"/>
        </w:rPr>
        <w:t>城乡</w:t>
      </w:r>
      <w:r>
        <w:rPr>
          <w:rFonts w:hint="eastAsia" w:ascii="仿宋_GB2312" w:hAnsi="黑体" w:eastAsia="仿宋_GB2312"/>
          <w:color w:val="auto"/>
          <w:sz w:val="28"/>
          <w:szCs w:val="28"/>
        </w:rPr>
        <w:t>医疗保障服务和待遇标准差异，增强对贫困群众基础性、兜底性保障。根据我市经济发展水平，科学确定保障范围和标准，强化各类政策措施的精准性和公平性，保障全体市民的基本医疗保障需求。</w:t>
      </w:r>
    </w:p>
    <w:p>
      <w:pPr>
        <w:ind w:firstLine="562" w:firstLineChars="200"/>
        <w:rPr>
          <w:rFonts w:ascii="仿宋_GB2312" w:hAnsi="黑体" w:eastAsia="仿宋_GB2312"/>
          <w:b/>
          <w:bCs/>
          <w:color w:val="auto"/>
          <w:sz w:val="28"/>
          <w:szCs w:val="28"/>
        </w:rPr>
      </w:pPr>
      <w:r>
        <w:rPr>
          <w:rFonts w:hint="eastAsia" w:ascii="仿宋_GB2312" w:hAnsi="黑体" w:eastAsia="仿宋_GB2312"/>
          <w:b/>
          <w:bCs/>
          <w:color w:val="auto"/>
          <w:sz w:val="28"/>
          <w:szCs w:val="28"/>
        </w:rPr>
        <w:t>——坚持数字赋能，精准高效。</w:t>
      </w:r>
    </w:p>
    <w:p>
      <w:pPr>
        <w:ind w:firstLine="560" w:firstLineChars="200"/>
        <w:rPr>
          <w:rFonts w:ascii="仿宋_GB2312" w:hAnsi="黑体" w:eastAsia="仿宋_GB2312"/>
          <w:color w:val="auto"/>
          <w:sz w:val="28"/>
          <w:szCs w:val="28"/>
        </w:rPr>
      </w:pPr>
      <w:r>
        <w:rPr>
          <w:rFonts w:hint="eastAsia" w:ascii="仿宋_GB2312" w:hAnsi="黑体" w:eastAsia="仿宋_GB2312"/>
          <w:color w:val="auto"/>
          <w:sz w:val="28"/>
          <w:szCs w:val="28"/>
        </w:rPr>
        <w:t>按照数字化改革要求，加强数字技术应用和制度创新，推动医疗保障系统部门核心业务和重大任务流程再造、协同高效。加强医保信息管理系统建设规划，将医保数字化改革优势转化为强大治理效能。推动实现医保功能信息化建设，加强医保信息化建设和信息化人员、队伍配置，提高医保服务能力和服务效率。</w:t>
      </w:r>
    </w:p>
    <w:p>
      <w:pPr>
        <w:ind w:firstLine="562" w:firstLineChars="200"/>
        <w:rPr>
          <w:rFonts w:ascii="仿宋_GB2312" w:hAnsi="黑体" w:eastAsia="仿宋_GB2312"/>
          <w:b/>
          <w:bCs/>
          <w:color w:val="auto"/>
          <w:sz w:val="28"/>
          <w:szCs w:val="28"/>
        </w:rPr>
      </w:pPr>
      <w:r>
        <w:rPr>
          <w:rFonts w:hint="eastAsia" w:ascii="仿宋_GB2312" w:hAnsi="黑体" w:eastAsia="仿宋_GB2312"/>
          <w:b/>
          <w:bCs/>
          <w:color w:val="auto"/>
          <w:sz w:val="28"/>
          <w:szCs w:val="28"/>
        </w:rPr>
        <w:t>——坚持多方协同，稳健持续。</w:t>
      </w:r>
    </w:p>
    <w:p>
      <w:pPr>
        <w:ind w:firstLine="560" w:firstLineChars="200"/>
        <w:rPr>
          <w:rFonts w:ascii="仿宋_GB2312" w:hAnsi="黑体" w:eastAsia="仿宋_GB2312"/>
          <w:color w:val="auto"/>
          <w:sz w:val="28"/>
          <w:szCs w:val="28"/>
        </w:rPr>
      </w:pPr>
      <w:r>
        <w:rPr>
          <w:rFonts w:hint="eastAsia" w:ascii="仿宋_GB2312" w:hAnsi="黑体" w:eastAsia="仿宋_GB2312"/>
          <w:color w:val="auto"/>
          <w:sz w:val="28"/>
          <w:szCs w:val="28"/>
        </w:rPr>
        <w:t>深化医保、医疗、医药“三医联动”改革，建立部门协同机制，构建共建共治共享医保治理格局。完善多层次医疗保障体系，充分发挥</w:t>
      </w:r>
      <w:r>
        <w:rPr>
          <w:rFonts w:hint="eastAsia" w:ascii="仿宋_GB2312" w:hAnsi="黑体" w:eastAsia="仿宋_GB2312"/>
          <w:color w:val="auto"/>
          <w:sz w:val="28"/>
          <w:szCs w:val="28"/>
          <w:lang w:val="en-US" w:eastAsia="zh-CN"/>
        </w:rPr>
        <w:t>政府力量、</w:t>
      </w:r>
      <w:r>
        <w:rPr>
          <w:rFonts w:hint="eastAsia" w:ascii="仿宋_GB2312" w:hAnsi="黑体" w:eastAsia="仿宋_GB2312"/>
          <w:color w:val="auto"/>
          <w:sz w:val="28"/>
          <w:szCs w:val="28"/>
        </w:rPr>
        <w:t>市场机制、社会慈善等各多元主体的作用。均衡明确各方筹资责任，做实基本医疗保险市级统筹，运用好各类政府保障资金，建立筹资动态调整机制，坚持基本医保基金精算平衡，确保基金安全可持续。</w:t>
      </w:r>
    </w:p>
    <w:p>
      <w:pPr>
        <w:ind w:firstLine="562" w:firstLineChars="200"/>
        <w:rPr>
          <w:rFonts w:ascii="仿宋_GB2312" w:hAnsi="黑体" w:eastAsia="仿宋_GB2312"/>
          <w:b/>
          <w:bCs/>
          <w:color w:val="auto"/>
          <w:sz w:val="28"/>
          <w:szCs w:val="28"/>
        </w:rPr>
      </w:pPr>
      <w:r>
        <w:rPr>
          <w:rFonts w:hint="eastAsia" w:ascii="仿宋_GB2312" w:hAnsi="黑体" w:eastAsia="仿宋_GB2312"/>
          <w:b/>
          <w:bCs/>
          <w:color w:val="auto"/>
          <w:sz w:val="28"/>
          <w:szCs w:val="28"/>
        </w:rPr>
        <w:t>——坚持改革创新，提质增效。</w:t>
      </w:r>
    </w:p>
    <w:p>
      <w:pPr>
        <w:ind w:firstLine="560" w:firstLineChars="200"/>
        <w:rPr>
          <w:rFonts w:ascii="仿宋_GB2312" w:hAnsi="黑体" w:eastAsia="仿宋_GB2312"/>
          <w:color w:val="auto"/>
          <w:sz w:val="28"/>
          <w:szCs w:val="28"/>
        </w:rPr>
      </w:pPr>
      <w:r>
        <w:rPr>
          <w:rFonts w:hint="eastAsia" w:ascii="仿宋_GB2312" w:hAnsi="黑体" w:eastAsia="仿宋_GB2312"/>
          <w:color w:val="auto"/>
          <w:sz w:val="28"/>
          <w:szCs w:val="28"/>
        </w:rPr>
        <w:t>深入研究目前医疗保障工作存在问题，增强制度供给，统筹推进改革。坚持在国家基本医疗保障制度体系框架下积极创新，坚持改革的系统性、整体性、协同性，提高</w:t>
      </w:r>
      <w:r>
        <w:rPr>
          <w:rFonts w:hint="eastAsia" w:ascii="仿宋_GB2312" w:hAnsi="仿宋_GB2312" w:eastAsia="仿宋_GB2312" w:cs="仿宋_GB2312"/>
          <w:color w:val="auto"/>
          <w:sz w:val="28"/>
          <w:szCs w:val="28"/>
        </w:rPr>
        <w:t>医保治理社会化、法治化、标准化、智能化水平，</w:t>
      </w:r>
      <w:r>
        <w:rPr>
          <w:rFonts w:hint="eastAsia" w:ascii="仿宋_GB2312" w:hAnsi="黑体" w:eastAsia="仿宋_GB2312"/>
          <w:color w:val="auto"/>
          <w:sz w:val="28"/>
          <w:szCs w:val="28"/>
        </w:rPr>
        <w:t>创新保障制度期间着力做好各类制度的有效衔接和部位，丰富服务产品，创新服务方式，保障群众获得高质量、有效率、能负担的医药服务。</w:t>
      </w:r>
    </w:p>
    <w:p>
      <w:pPr>
        <w:ind w:firstLine="420" w:firstLineChars="200"/>
        <w:rPr>
          <w:color w:val="auto"/>
        </w:rPr>
      </w:pPr>
    </w:p>
    <w:p>
      <w:pPr>
        <w:pStyle w:val="3"/>
        <w:spacing w:before="0" w:after="0" w:line="360" w:lineRule="auto"/>
        <w:ind w:firstLine="562" w:firstLineChars="200"/>
        <w:rPr>
          <w:rFonts w:ascii="楷体_GB2312" w:eastAsia="楷体_GB2312"/>
          <w:color w:val="auto"/>
          <w:sz w:val="28"/>
          <w:szCs w:val="28"/>
        </w:rPr>
      </w:pPr>
      <w:bookmarkStart w:id="6" w:name="_Toc81666348"/>
      <w:r>
        <w:rPr>
          <w:rFonts w:hint="eastAsia" w:ascii="楷体_GB2312" w:eastAsia="楷体_GB2312"/>
          <w:color w:val="auto"/>
          <w:sz w:val="28"/>
          <w:szCs w:val="28"/>
        </w:rPr>
        <w:t>（三）总体目标</w:t>
      </w:r>
      <w:bookmarkEnd w:id="6"/>
    </w:p>
    <w:p>
      <w:pPr>
        <w:ind w:firstLine="560" w:firstLineChars="200"/>
        <w:rPr>
          <w:rFonts w:ascii="仿宋_GB2312" w:hAnsi="黑体" w:eastAsia="仿宋_GB2312"/>
          <w:color w:val="auto"/>
          <w:sz w:val="28"/>
          <w:szCs w:val="28"/>
        </w:rPr>
      </w:pPr>
      <w:r>
        <w:rPr>
          <w:rFonts w:hint="eastAsia" w:ascii="仿宋_GB2312" w:hAnsi="黑体" w:eastAsia="仿宋_GB2312"/>
          <w:color w:val="auto"/>
          <w:sz w:val="28"/>
          <w:szCs w:val="28"/>
        </w:rPr>
        <w:t>到</w:t>
      </w:r>
      <w:r>
        <w:rPr>
          <w:rFonts w:ascii="仿宋_GB2312" w:hAnsi="黑体" w:eastAsia="仿宋_GB2312"/>
          <w:color w:val="auto"/>
          <w:sz w:val="28"/>
          <w:szCs w:val="28"/>
        </w:rPr>
        <w:t>2025年，以基本医疗保险为主体，</w:t>
      </w:r>
      <w:r>
        <w:rPr>
          <w:rFonts w:hint="eastAsia" w:ascii="仿宋_GB2312" w:hAnsi="黑体" w:eastAsia="仿宋_GB2312"/>
          <w:color w:val="auto"/>
          <w:sz w:val="28"/>
          <w:szCs w:val="28"/>
        </w:rPr>
        <w:t>大病保险为延伸、</w:t>
      </w:r>
      <w:r>
        <w:rPr>
          <w:rFonts w:ascii="仿宋_GB2312" w:hAnsi="黑体" w:eastAsia="仿宋_GB2312"/>
          <w:color w:val="auto"/>
          <w:sz w:val="28"/>
          <w:szCs w:val="28"/>
        </w:rPr>
        <w:t>医疗救助为托底，补充医疗保险、商业健康保险、慈善捐赠、医疗互助共同发展的多层次医疗保障制度体系基本成熟定型，初步形成“整体智治”的现代化医疗保障治理体系</w:t>
      </w:r>
      <w:r>
        <w:rPr>
          <w:rFonts w:hint="eastAsia" w:ascii="仿宋_GB2312" w:hAnsi="黑体" w:eastAsia="仿宋_GB2312"/>
          <w:color w:val="auto"/>
          <w:sz w:val="28"/>
          <w:szCs w:val="28"/>
        </w:rPr>
        <w:t>，打造“公平医保、精准医保、赋能医保、数字医保、绩效医保、法治医保”，着力推进全覆盖可持续多层次医疗保障体系建设、医疗救助、医保基金监管、医保经办等工作，不断提升参保群众的获得感、幸福感。</w:t>
      </w:r>
    </w:p>
    <w:p>
      <w:pPr>
        <w:ind w:firstLine="562" w:firstLineChars="200"/>
        <w:rPr>
          <w:rFonts w:ascii="仿宋_GB2312" w:hAnsi="黑体" w:eastAsia="仿宋_GB2312"/>
          <w:color w:val="auto"/>
          <w:sz w:val="28"/>
          <w:szCs w:val="28"/>
        </w:rPr>
      </w:pPr>
      <w:r>
        <w:rPr>
          <w:rFonts w:hint="eastAsia" w:ascii="仿宋_GB2312" w:hAnsi="黑体" w:eastAsia="仿宋_GB2312"/>
          <w:b/>
          <w:bCs/>
          <w:color w:val="auto"/>
          <w:sz w:val="28"/>
          <w:szCs w:val="28"/>
        </w:rPr>
        <w:t>——待遇保障更加公平。</w:t>
      </w:r>
      <w:r>
        <w:rPr>
          <w:rFonts w:hint="eastAsia" w:ascii="仿宋_GB2312" w:hAnsi="黑体" w:eastAsia="仿宋_GB2312"/>
          <w:color w:val="auto"/>
          <w:sz w:val="28"/>
          <w:szCs w:val="28"/>
        </w:rPr>
        <w:t>基本医疗保险市级统筹全面做实，实现待遇政策公平统一，医保制度碎片化问题解决取得实质性进展，城乡间、区县间医疗保障水平差距明显缩小，大病和慢性病保障水平显著提升，长期护理保险制度建设有力推进。巩固和促进社会医疗保险与补充医疗保险间的互补衔接</w:t>
      </w:r>
      <w:r>
        <w:rPr>
          <w:rFonts w:ascii="仿宋_GB2312" w:hAnsi="黑体" w:eastAsia="仿宋_GB2312"/>
          <w:color w:val="auto"/>
          <w:sz w:val="28"/>
          <w:szCs w:val="28"/>
        </w:rPr>
        <w:t>，</w:t>
      </w:r>
      <w:r>
        <w:rPr>
          <w:rFonts w:hint="eastAsia" w:ascii="仿宋_GB2312" w:hAnsi="黑体" w:eastAsia="仿宋_GB2312"/>
          <w:color w:val="auto"/>
          <w:sz w:val="28"/>
          <w:szCs w:val="28"/>
        </w:rPr>
        <w:t>建立公平适度的多层次医疗保障制度体系。</w:t>
      </w:r>
    </w:p>
    <w:p>
      <w:pPr>
        <w:ind w:firstLine="562" w:firstLineChars="200"/>
        <w:rPr>
          <w:rFonts w:ascii="仿宋_GB2312" w:hAnsi="黑体" w:eastAsia="仿宋_GB2312"/>
          <w:color w:val="auto"/>
          <w:sz w:val="28"/>
          <w:szCs w:val="28"/>
        </w:rPr>
      </w:pPr>
      <w:r>
        <w:rPr>
          <w:rFonts w:hint="eastAsia" w:ascii="仿宋_GB2312" w:hAnsi="黑体" w:eastAsia="仿宋_GB2312"/>
          <w:b/>
          <w:bCs/>
          <w:color w:val="auto"/>
          <w:sz w:val="28"/>
          <w:szCs w:val="28"/>
        </w:rPr>
        <w:t>——筹资机制更加健全。</w:t>
      </w:r>
      <w:r>
        <w:rPr>
          <w:rFonts w:hint="eastAsia" w:ascii="仿宋_GB2312" w:hAnsi="黑体" w:eastAsia="仿宋_GB2312"/>
          <w:color w:val="auto"/>
          <w:sz w:val="28"/>
          <w:szCs w:val="28"/>
        </w:rPr>
        <w:t>医保参保缴费政策逐步完善，参保人员、用人单位和政府等各方责任更加均衡。以收定支、收支平衡的可持续筹资运行机制全面建立。个人参保缴费意识明显提升，适应新业态从业人员的参保缴费服务逐步建立健全。医疗救助筹资水平不断提高。</w:t>
      </w:r>
    </w:p>
    <w:p>
      <w:pPr>
        <w:ind w:firstLine="562" w:firstLineChars="200"/>
        <w:rPr>
          <w:rFonts w:ascii="仿宋_GB2312" w:hAnsi="黑体" w:eastAsia="仿宋_GB2312"/>
          <w:color w:val="auto"/>
          <w:sz w:val="28"/>
          <w:szCs w:val="28"/>
        </w:rPr>
      </w:pPr>
      <w:r>
        <w:rPr>
          <w:rFonts w:hint="eastAsia" w:ascii="仿宋_GB2312" w:hAnsi="黑体" w:eastAsia="仿宋_GB2312"/>
          <w:b/>
          <w:bCs/>
          <w:color w:val="auto"/>
          <w:sz w:val="28"/>
          <w:szCs w:val="28"/>
        </w:rPr>
        <w:t>——医保服务更加优质。</w:t>
      </w:r>
      <w:r>
        <w:rPr>
          <w:rFonts w:hint="eastAsia" w:ascii="仿宋_GB2312" w:hAnsi="黑体" w:eastAsia="仿宋_GB2312"/>
          <w:color w:val="auto"/>
          <w:sz w:val="28"/>
          <w:szCs w:val="28"/>
        </w:rPr>
        <w:t>以智慧医保建设为依托，建设数字医保，实现医疗保障公共服务升级，打造高品质、有温度的体验式医保服务品牌。加强全市信息化系统建设，强化服务数字支撑，实现医疗保障</w:t>
      </w:r>
      <w:r>
        <w:rPr>
          <w:rFonts w:ascii="仿宋_GB2312" w:hAnsi="黑体" w:eastAsia="仿宋_GB2312"/>
          <w:color w:val="auto"/>
          <w:sz w:val="28"/>
          <w:szCs w:val="28"/>
        </w:rPr>
        <w:t>30分钟服务圈，</w:t>
      </w:r>
      <w:r>
        <w:rPr>
          <w:rFonts w:hint="eastAsia" w:ascii="仿宋_GB2312" w:hAnsi="黑体" w:eastAsia="仿宋_GB2312"/>
          <w:color w:val="auto"/>
          <w:sz w:val="28"/>
          <w:szCs w:val="28"/>
        </w:rPr>
        <w:t>参保人员</w:t>
      </w:r>
      <w:r>
        <w:rPr>
          <w:rFonts w:ascii="仿宋_GB2312" w:hAnsi="黑体" w:eastAsia="仿宋_GB2312"/>
          <w:color w:val="auto"/>
          <w:sz w:val="28"/>
          <w:szCs w:val="28"/>
        </w:rPr>
        <w:t>满意度全面提升，医保公共服务事项掌上办（网上办）覆盖率100%，医保电子凭证结算定点医药机构覆盖率100%，医保关系转移接续、异地就医直接结算服务更加便捷</w:t>
      </w:r>
      <w:r>
        <w:rPr>
          <w:rFonts w:hint="eastAsia" w:ascii="仿宋_GB2312" w:hAnsi="黑体" w:eastAsia="仿宋_GB2312"/>
          <w:color w:val="auto"/>
          <w:sz w:val="28"/>
          <w:szCs w:val="28"/>
        </w:rPr>
        <w:t>，让群众更满意。</w:t>
      </w:r>
    </w:p>
    <w:p>
      <w:pPr>
        <w:ind w:firstLine="562" w:firstLineChars="200"/>
        <w:rPr>
          <w:rFonts w:ascii="仿宋_GB2312" w:hAnsi="黑体" w:eastAsia="仿宋_GB2312"/>
          <w:color w:val="auto"/>
          <w:sz w:val="28"/>
          <w:szCs w:val="28"/>
        </w:rPr>
      </w:pPr>
      <w:r>
        <w:rPr>
          <w:rFonts w:hint="eastAsia" w:ascii="仿宋_GB2312" w:hAnsi="黑体" w:eastAsia="仿宋_GB2312"/>
          <w:b/>
          <w:bCs/>
          <w:color w:val="auto"/>
          <w:sz w:val="28"/>
          <w:szCs w:val="28"/>
        </w:rPr>
        <w:t>——治理效能更加显著。</w:t>
      </w:r>
      <w:r>
        <w:rPr>
          <w:rFonts w:hint="eastAsia" w:ascii="仿宋_GB2312" w:hAnsi="黑体" w:eastAsia="仿宋_GB2312"/>
          <w:color w:val="auto"/>
          <w:sz w:val="28"/>
          <w:szCs w:val="28"/>
        </w:rPr>
        <w:t>公平医保、精准医保、赋能医保、数字医保、绩效医保、法治医保建设效能逐渐显现，医疗保障在医药服务供给侧改革中发挥更重要作用。医保信用体系建设取得显著成效，现代化医疗保障治理体系基本形成。</w:t>
      </w:r>
    </w:p>
    <w:p>
      <w:pPr>
        <w:ind w:firstLine="562" w:firstLineChars="200"/>
        <w:rPr>
          <w:rFonts w:ascii="仿宋_GB2312" w:hAnsi="黑体" w:eastAsia="仿宋_GB2312"/>
          <w:color w:val="auto"/>
          <w:sz w:val="28"/>
          <w:szCs w:val="28"/>
        </w:rPr>
      </w:pPr>
      <w:r>
        <w:rPr>
          <w:rFonts w:hint="eastAsia" w:ascii="仿宋_GB2312" w:hAnsi="黑体" w:eastAsia="仿宋_GB2312"/>
          <w:b/>
          <w:bCs/>
          <w:color w:val="auto"/>
          <w:sz w:val="28"/>
          <w:szCs w:val="28"/>
        </w:rPr>
        <w:t>——医保法治更加健全。</w:t>
      </w:r>
      <w:r>
        <w:rPr>
          <w:rFonts w:hint="eastAsia" w:ascii="仿宋_GB2312" w:hAnsi="黑体" w:eastAsia="仿宋_GB2312"/>
          <w:color w:val="auto"/>
          <w:sz w:val="28"/>
          <w:szCs w:val="28"/>
        </w:rPr>
        <w:t>加快医疗保障的法治建设步伐，提升医疗保障的法治化水平。建立健全医疗保障基金监督管理法治体系，规范医疗保障基金监督管理，确保医疗保障基金安全。实现医疗保障基金监管法治化，做到有法可依。加强医保执法，避免行政不作为，确保执法到位，探索建立专业、成熟的医疗保障执法队伍和管理规范，持续打击欺诈骗保行为。</w:t>
      </w:r>
    </w:p>
    <w:p>
      <w:pPr>
        <w:adjustRightInd w:val="0"/>
        <w:spacing w:line="579" w:lineRule="exact"/>
        <w:ind w:firstLine="560" w:firstLineChars="200"/>
        <w:jc w:val="center"/>
        <w:rPr>
          <w:rFonts w:ascii="Times New Roman" w:hAnsi="Times New Roman" w:eastAsia="黑体"/>
          <w:color w:val="auto"/>
          <w:sz w:val="28"/>
          <w:szCs w:val="28"/>
        </w:rPr>
      </w:pPr>
      <w:r>
        <w:rPr>
          <w:rFonts w:hint="eastAsia" w:ascii="Times New Roman" w:hAnsi="Times New Roman" w:eastAsia="黑体"/>
          <w:color w:val="auto"/>
          <w:sz w:val="28"/>
          <w:szCs w:val="28"/>
        </w:rPr>
        <w:t>表：“十四五”时期丽水市医疗保障主要发展指标</w:t>
      </w:r>
    </w:p>
    <w:tbl>
      <w:tblPr>
        <w:tblStyle w:val="22"/>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304"/>
        <w:gridCol w:w="846"/>
        <w:gridCol w:w="1350"/>
        <w:gridCol w:w="1362"/>
        <w:gridCol w:w="113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69" w:type="dxa"/>
            <w:vAlign w:val="center"/>
          </w:tcPr>
          <w:p>
            <w:pPr>
              <w:spacing w:line="500" w:lineRule="exact"/>
              <w:jc w:val="both"/>
              <w:rPr>
                <w:rFonts w:ascii="Times New Roman" w:hAnsi="Times New Roman" w:eastAsia="黑体"/>
                <w:b/>
                <w:color w:val="auto"/>
                <w:kern w:val="0"/>
                <w:szCs w:val="21"/>
              </w:rPr>
            </w:pPr>
            <w:r>
              <w:rPr>
                <w:rFonts w:ascii="Times New Roman" w:hAnsi="Times New Roman" w:eastAsia="黑体"/>
                <w:b/>
                <w:color w:val="auto"/>
                <w:kern w:val="0"/>
                <w:szCs w:val="21"/>
              </w:rPr>
              <w:t>序号</w:t>
            </w:r>
          </w:p>
        </w:tc>
        <w:tc>
          <w:tcPr>
            <w:tcW w:w="4500" w:type="dxa"/>
            <w:gridSpan w:val="3"/>
            <w:vAlign w:val="center"/>
          </w:tcPr>
          <w:p>
            <w:pPr>
              <w:spacing w:line="500" w:lineRule="exact"/>
              <w:ind w:firstLine="422" w:firstLineChars="200"/>
              <w:jc w:val="center"/>
              <w:rPr>
                <w:rFonts w:ascii="Times New Roman" w:hAnsi="Times New Roman" w:eastAsia="黑体"/>
                <w:b/>
                <w:color w:val="auto"/>
                <w:kern w:val="0"/>
                <w:szCs w:val="21"/>
              </w:rPr>
            </w:pPr>
            <w:r>
              <w:rPr>
                <w:rFonts w:ascii="Times New Roman" w:hAnsi="Times New Roman" w:eastAsia="黑体"/>
                <w:b/>
                <w:color w:val="auto"/>
                <w:kern w:val="0"/>
                <w:szCs w:val="21"/>
              </w:rPr>
              <w:t>指标/年份</w:t>
            </w:r>
          </w:p>
        </w:tc>
        <w:tc>
          <w:tcPr>
            <w:tcW w:w="1362" w:type="dxa"/>
            <w:vAlign w:val="center"/>
          </w:tcPr>
          <w:p>
            <w:pPr>
              <w:spacing w:line="500" w:lineRule="exact"/>
              <w:jc w:val="center"/>
              <w:rPr>
                <w:rFonts w:ascii="Times New Roman" w:hAnsi="Times New Roman" w:eastAsia="黑体"/>
                <w:b/>
                <w:color w:val="auto"/>
                <w:kern w:val="0"/>
                <w:szCs w:val="21"/>
              </w:rPr>
            </w:pPr>
            <w:r>
              <w:rPr>
                <w:rFonts w:ascii="Times New Roman" w:hAnsi="Times New Roman" w:eastAsia="黑体"/>
                <w:b/>
                <w:color w:val="auto"/>
                <w:kern w:val="0"/>
                <w:szCs w:val="21"/>
              </w:rPr>
              <w:t>2020</w:t>
            </w:r>
          </w:p>
        </w:tc>
        <w:tc>
          <w:tcPr>
            <w:tcW w:w="1139" w:type="dxa"/>
            <w:vAlign w:val="center"/>
          </w:tcPr>
          <w:p>
            <w:pPr>
              <w:spacing w:line="500" w:lineRule="exact"/>
              <w:jc w:val="center"/>
              <w:rPr>
                <w:rFonts w:ascii="Times New Roman" w:hAnsi="Times New Roman" w:eastAsia="黑体"/>
                <w:b/>
                <w:color w:val="auto"/>
                <w:kern w:val="0"/>
                <w:szCs w:val="21"/>
              </w:rPr>
            </w:pPr>
            <w:r>
              <w:rPr>
                <w:rFonts w:ascii="Times New Roman" w:hAnsi="Times New Roman" w:eastAsia="黑体"/>
                <w:b/>
                <w:color w:val="auto"/>
                <w:kern w:val="0"/>
                <w:szCs w:val="21"/>
              </w:rPr>
              <w:t>2025</w:t>
            </w:r>
          </w:p>
        </w:tc>
        <w:tc>
          <w:tcPr>
            <w:tcW w:w="1479" w:type="dxa"/>
            <w:vAlign w:val="center"/>
          </w:tcPr>
          <w:p>
            <w:pPr>
              <w:spacing w:line="500" w:lineRule="exact"/>
              <w:ind w:firstLine="422" w:firstLineChars="200"/>
              <w:jc w:val="both"/>
              <w:rPr>
                <w:rFonts w:ascii="Times New Roman" w:hAnsi="Times New Roman" w:eastAsia="黑体"/>
                <w:b/>
                <w:color w:val="auto"/>
                <w:kern w:val="0"/>
                <w:szCs w:val="21"/>
              </w:rPr>
            </w:pPr>
            <w:r>
              <w:rPr>
                <w:rFonts w:ascii="Times New Roman" w:hAnsi="Times New Roman" w:eastAsia="黑体"/>
                <w:b/>
                <w:color w:val="auto"/>
                <w:kern w:val="0"/>
                <w:szCs w:val="21"/>
              </w:rPr>
              <w:t>指标</w:t>
            </w:r>
          </w:p>
          <w:p>
            <w:pPr>
              <w:spacing w:line="500" w:lineRule="exact"/>
              <w:ind w:firstLine="422" w:firstLineChars="200"/>
              <w:jc w:val="both"/>
              <w:rPr>
                <w:rFonts w:ascii="Times New Roman" w:hAnsi="Times New Roman" w:eastAsia="黑体"/>
                <w:b/>
                <w:color w:val="auto"/>
                <w:kern w:val="0"/>
                <w:szCs w:val="21"/>
              </w:rPr>
            </w:pPr>
            <w:r>
              <w:rPr>
                <w:rFonts w:ascii="Times New Roman" w:hAnsi="Times New Roman" w:eastAsia="黑体"/>
                <w:b/>
                <w:color w:val="auto"/>
                <w:kern w:val="0"/>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1</w:t>
            </w:r>
          </w:p>
        </w:tc>
        <w:tc>
          <w:tcPr>
            <w:tcW w:w="4500" w:type="dxa"/>
            <w:gridSpan w:val="3"/>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基本医疗保险户籍人口参保率（%）</w:t>
            </w:r>
          </w:p>
        </w:tc>
        <w:tc>
          <w:tcPr>
            <w:tcW w:w="1362"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&gt;99%</w:t>
            </w:r>
          </w:p>
        </w:tc>
        <w:tc>
          <w:tcPr>
            <w:tcW w:w="1139"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&gt;99%</w:t>
            </w:r>
          </w:p>
        </w:tc>
        <w:tc>
          <w:tcPr>
            <w:tcW w:w="1479" w:type="dxa"/>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restart"/>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2</w:t>
            </w:r>
          </w:p>
        </w:tc>
        <w:tc>
          <w:tcPr>
            <w:tcW w:w="3150" w:type="dxa"/>
            <w:gridSpan w:val="2"/>
            <w:vMerge w:val="restart"/>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基本医疗保险政策范围内住院报销比例（含大病保险）（%）</w:t>
            </w:r>
          </w:p>
        </w:tc>
        <w:tc>
          <w:tcPr>
            <w:tcW w:w="1350" w:type="dxa"/>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职工</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ascii="仿宋_GB2312" w:hAnsi="宋体" w:eastAsia="仿宋_GB2312"/>
                <w:bCs/>
                <w:color w:val="auto"/>
                <w:kern w:val="0"/>
                <w:szCs w:val="21"/>
                <w:highlight w:val="none"/>
              </w:rPr>
              <w:t>85</w:t>
            </w:r>
            <w:r>
              <w:rPr>
                <w:rFonts w:hint="eastAsia" w:ascii="仿宋_GB2312" w:hAnsi="宋体" w:eastAsia="仿宋_GB2312"/>
                <w:bCs/>
                <w:color w:val="auto"/>
                <w:kern w:val="0"/>
                <w:szCs w:val="21"/>
                <w:highlight w:val="none"/>
              </w:rPr>
              <w:t>%左右</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&gt;</w:t>
            </w:r>
            <w:r>
              <w:rPr>
                <w:rFonts w:ascii="仿宋_GB2312" w:hAnsi="宋体" w:eastAsia="仿宋_GB2312"/>
                <w:bCs/>
                <w:color w:val="auto"/>
                <w:kern w:val="0"/>
                <w:szCs w:val="21"/>
                <w:highlight w:val="none"/>
              </w:rPr>
              <w:t>85</w:t>
            </w:r>
            <w:r>
              <w:rPr>
                <w:rFonts w:hint="eastAsia" w:ascii="仿宋_GB2312" w:hAnsi="宋体" w:eastAsia="仿宋_GB2312"/>
                <w:bCs/>
                <w:color w:val="auto"/>
                <w:kern w:val="0"/>
                <w:szCs w:val="21"/>
                <w:highlight w:val="none"/>
              </w:rPr>
              <w:t>%</w:t>
            </w:r>
          </w:p>
        </w:tc>
        <w:tc>
          <w:tcPr>
            <w:tcW w:w="1479" w:type="dxa"/>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vAlign w:val="center"/>
          </w:tcPr>
          <w:p>
            <w:pPr>
              <w:spacing w:line="500" w:lineRule="exact"/>
              <w:ind w:firstLine="420" w:firstLineChars="200"/>
              <w:jc w:val="center"/>
              <w:rPr>
                <w:rFonts w:ascii="仿宋_GB2312" w:hAnsi="宋体" w:eastAsia="仿宋_GB2312"/>
                <w:bCs/>
                <w:color w:val="auto"/>
                <w:kern w:val="0"/>
                <w:szCs w:val="21"/>
              </w:rPr>
            </w:pPr>
          </w:p>
        </w:tc>
        <w:tc>
          <w:tcPr>
            <w:tcW w:w="3150" w:type="dxa"/>
            <w:gridSpan w:val="2"/>
            <w:vMerge w:val="continue"/>
            <w:vAlign w:val="center"/>
          </w:tcPr>
          <w:p>
            <w:pPr>
              <w:spacing w:line="500" w:lineRule="exact"/>
              <w:ind w:firstLine="420" w:firstLineChars="200"/>
              <w:jc w:val="center"/>
              <w:rPr>
                <w:rFonts w:ascii="仿宋_GB2312" w:hAnsi="宋体" w:eastAsia="仿宋_GB2312"/>
                <w:bCs/>
                <w:color w:val="auto"/>
                <w:kern w:val="0"/>
                <w:szCs w:val="21"/>
              </w:rPr>
            </w:pPr>
          </w:p>
        </w:tc>
        <w:tc>
          <w:tcPr>
            <w:tcW w:w="1350" w:type="dxa"/>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城乡居民</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ascii="仿宋_GB2312" w:hAnsi="宋体" w:eastAsia="仿宋_GB2312"/>
                <w:bCs/>
                <w:color w:val="auto"/>
                <w:kern w:val="0"/>
                <w:szCs w:val="21"/>
                <w:highlight w:val="none"/>
              </w:rPr>
              <w:t>70</w:t>
            </w:r>
            <w:r>
              <w:rPr>
                <w:rFonts w:hint="eastAsia" w:ascii="仿宋_GB2312" w:hAnsi="宋体" w:eastAsia="仿宋_GB2312"/>
                <w:bCs/>
                <w:color w:val="auto"/>
                <w:kern w:val="0"/>
                <w:szCs w:val="21"/>
                <w:highlight w:val="none"/>
              </w:rPr>
              <w:t>%左右</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&gt;</w:t>
            </w:r>
            <w:r>
              <w:rPr>
                <w:rFonts w:ascii="仿宋_GB2312" w:hAnsi="宋体" w:eastAsia="仿宋_GB2312"/>
                <w:bCs/>
                <w:color w:val="auto"/>
                <w:kern w:val="0"/>
                <w:szCs w:val="21"/>
                <w:highlight w:val="none"/>
              </w:rPr>
              <w:t>70</w:t>
            </w:r>
            <w:r>
              <w:rPr>
                <w:rFonts w:hint="eastAsia" w:ascii="仿宋_GB2312" w:hAnsi="宋体" w:eastAsia="仿宋_GB2312"/>
                <w:bCs/>
                <w:color w:val="auto"/>
                <w:kern w:val="0"/>
                <w:szCs w:val="21"/>
                <w:highlight w:val="none"/>
              </w:rPr>
              <w:t>%</w:t>
            </w:r>
          </w:p>
        </w:tc>
        <w:tc>
          <w:tcPr>
            <w:tcW w:w="1479" w:type="dxa"/>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3</w:t>
            </w:r>
          </w:p>
        </w:tc>
        <w:tc>
          <w:tcPr>
            <w:tcW w:w="4500" w:type="dxa"/>
            <w:gridSpan w:val="3"/>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医保公共服务事项掌上办（网上办）覆盖率（%）</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100%</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1</w:t>
            </w:r>
            <w:r>
              <w:rPr>
                <w:rFonts w:ascii="仿宋_GB2312" w:hAnsi="宋体" w:eastAsia="仿宋_GB2312"/>
                <w:bCs/>
                <w:color w:val="auto"/>
                <w:kern w:val="0"/>
                <w:szCs w:val="21"/>
                <w:highlight w:val="none"/>
              </w:rPr>
              <w:t>00</w:t>
            </w:r>
            <w:r>
              <w:rPr>
                <w:rFonts w:hint="eastAsia" w:ascii="仿宋_GB2312" w:hAnsi="宋体" w:eastAsia="仿宋_GB2312"/>
                <w:bCs/>
                <w:color w:val="auto"/>
                <w:kern w:val="0"/>
                <w:szCs w:val="21"/>
                <w:highlight w:val="none"/>
              </w:rPr>
              <w:t>%</w:t>
            </w:r>
          </w:p>
        </w:tc>
        <w:tc>
          <w:tcPr>
            <w:tcW w:w="1479" w:type="dxa"/>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769"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4</w:t>
            </w:r>
          </w:p>
        </w:tc>
        <w:tc>
          <w:tcPr>
            <w:tcW w:w="4500" w:type="dxa"/>
            <w:gridSpan w:val="3"/>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基本医疗保险基金年支出增长率（%）</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&lt;</w:t>
            </w:r>
            <w:r>
              <w:rPr>
                <w:rFonts w:ascii="仿宋_GB2312" w:hAnsi="宋体" w:eastAsia="仿宋_GB2312"/>
                <w:bCs/>
                <w:color w:val="auto"/>
                <w:kern w:val="0"/>
                <w:szCs w:val="21"/>
                <w:highlight w:val="none"/>
              </w:rPr>
              <w:t>10%</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&lt;</w:t>
            </w:r>
            <w:r>
              <w:rPr>
                <w:rFonts w:ascii="仿宋_GB2312" w:hAnsi="宋体" w:eastAsia="仿宋_GB2312"/>
                <w:bCs/>
                <w:color w:val="auto"/>
                <w:kern w:val="0"/>
                <w:szCs w:val="21"/>
                <w:highlight w:val="none"/>
              </w:rPr>
              <w:t>10%</w:t>
            </w:r>
          </w:p>
        </w:tc>
        <w:tc>
          <w:tcPr>
            <w:tcW w:w="1479" w:type="dxa"/>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5</w:t>
            </w:r>
          </w:p>
        </w:tc>
        <w:tc>
          <w:tcPr>
            <w:tcW w:w="4500" w:type="dxa"/>
            <w:gridSpan w:val="3"/>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医保“双随机、一公开”检查覆盖率（%）</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10%</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&gt;</w:t>
            </w:r>
            <w:r>
              <w:rPr>
                <w:rFonts w:ascii="仿宋_GB2312" w:hAnsi="宋体" w:eastAsia="仿宋_GB2312"/>
                <w:bCs/>
                <w:color w:val="auto"/>
                <w:kern w:val="0"/>
                <w:szCs w:val="21"/>
                <w:highlight w:val="none"/>
              </w:rPr>
              <w:t>80</w:t>
            </w:r>
            <w:r>
              <w:rPr>
                <w:rFonts w:hint="eastAsia" w:ascii="仿宋_GB2312" w:hAnsi="宋体" w:eastAsia="仿宋_GB2312"/>
                <w:bCs/>
                <w:color w:val="auto"/>
                <w:kern w:val="0"/>
                <w:szCs w:val="21"/>
                <w:highlight w:val="none"/>
              </w:rPr>
              <w:t>%</w:t>
            </w:r>
          </w:p>
        </w:tc>
        <w:tc>
          <w:tcPr>
            <w:tcW w:w="1479" w:type="dxa"/>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69"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6</w:t>
            </w:r>
          </w:p>
        </w:tc>
        <w:tc>
          <w:tcPr>
            <w:tcW w:w="4500" w:type="dxa"/>
            <w:gridSpan w:val="3"/>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住院费用跨市结算率（%）</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48%</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&gt;</w:t>
            </w:r>
            <w:r>
              <w:rPr>
                <w:rFonts w:ascii="仿宋_GB2312" w:hAnsi="宋体" w:eastAsia="仿宋_GB2312"/>
                <w:bCs/>
                <w:color w:val="auto"/>
                <w:kern w:val="0"/>
                <w:szCs w:val="21"/>
                <w:highlight w:val="none"/>
              </w:rPr>
              <w:t>50</w:t>
            </w:r>
            <w:r>
              <w:rPr>
                <w:rFonts w:hint="eastAsia" w:ascii="仿宋_GB2312" w:hAnsi="宋体" w:eastAsia="仿宋_GB2312"/>
                <w:bCs/>
                <w:color w:val="auto"/>
                <w:kern w:val="0"/>
                <w:szCs w:val="21"/>
                <w:highlight w:val="none"/>
              </w:rPr>
              <w:t>%</w:t>
            </w:r>
          </w:p>
        </w:tc>
        <w:tc>
          <w:tcPr>
            <w:tcW w:w="1479" w:type="dxa"/>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69"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7</w:t>
            </w:r>
          </w:p>
        </w:tc>
        <w:tc>
          <w:tcPr>
            <w:tcW w:w="4500" w:type="dxa"/>
            <w:gridSpan w:val="3"/>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医疗保障政务服务满意率（%）</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&gt;</w:t>
            </w:r>
            <w:r>
              <w:rPr>
                <w:rFonts w:ascii="仿宋_GB2312" w:hAnsi="宋体" w:eastAsia="仿宋_GB2312"/>
                <w:bCs/>
                <w:color w:val="auto"/>
                <w:kern w:val="0"/>
                <w:szCs w:val="21"/>
                <w:highlight w:val="none"/>
              </w:rPr>
              <w:t>85</w:t>
            </w:r>
            <w:r>
              <w:rPr>
                <w:rFonts w:hint="eastAsia" w:ascii="仿宋_GB2312" w:hAnsi="宋体" w:eastAsia="仿宋_GB2312"/>
                <w:bCs/>
                <w:color w:val="auto"/>
                <w:kern w:val="0"/>
                <w:szCs w:val="21"/>
                <w:highlight w:val="none"/>
              </w:rPr>
              <w:t>%</w:t>
            </w:r>
          </w:p>
        </w:tc>
        <w:tc>
          <w:tcPr>
            <w:tcW w:w="1479" w:type="dxa"/>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69" w:type="dxa"/>
            <w:vAlign w:val="center"/>
          </w:tcPr>
          <w:p>
            <w:pPr>
              <w:spacing w:line="500" w:lineRule="exact"/>
              <w:jc w:val="center"/>
              <w:rPr>
                <w:rFonts w:ascii="仿宋_GB2312" w:hAnsi="宋体" w:eastAsia="仿宋_GB2312"/>
                <w:bCs/>
                <w:color w:val="auto"/>
                <w:kern w:val="0"/>
                <w:szCs w:val="21"/>
              </w:rPr>
            </w:pPr>
            <w:r>
              <w:rPr>
                <w:rFonts w:ascii="仿宋_GB2312" w:hAnsi="宋体" w:eastAsia="仿宋_GB2312"/>
                <w:bCs/>
                <w:color w:val="auto"/>
                <w:kern w:val="0"/>
                <w:szCs w:val="21"/>
              </w:rPr>
              <w:t>8</w:t>
            </w:r>
          </w:p>
        </w:tc>
        <w:tc>
          <w:tcPr>
            <w:tcW w:w="4500" w:type="dxa"/>
            <w:gridSpan w:val="3"/>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医保电子凭证定点医疗机构覆盖率</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89.67%</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1</w:t>
            </w:r>
            <w:r>
              <w:rPr>
                <w:rFonts w:ascii="仿宋_GB2312" w:hAnsi="宋体" w:eastAsia="仿宋_GB2312"/>
                <w:bCs/>
                <w:color w:val="auto"/>
                <w:kern w:val="0"/>
                <w:szCs w:val="21"/>
                <w:highlight w:val="none"/>
              </w:rPr>
              <w:t>00</w:t>
            </w:r>
            <w:r>
              <w:rPr>
                <w:rFonts w:hint="eastAsia" w:ascii="仿宋_GB2312" w:hAnsi="宋体" w:eastAsia="仿宋_GB2312"/>
                <w:bCs/>
                <w:color w:val="auto"/>
                <w:kern w:val="0"/>
                <w:szCs w:val="21"/>
                <w:highlight w:val="none"/>
              </w:rPr>
              <w:t>%</w:t>
            </w:r>
          </w:p>
        </w:tc>
        <w:tc>
          <w:tcPr>
            <w:tcW w:w="1479" w:type="dxa"/>
            <w:vAlign w:val="center"/>
          </w:tcPr>
          <w:p>
            <w:pPr>
              <w:spacing w:line="500" w:lineRule="exact"/>
              <w:ind w:firstLine="420" w:firstLineChars="200"/>
              <w:jc w:val="both"/>
              <w:rPr>
                <w:rFonts w:ascii="仿宋_GB2312" w:eastAsia="仿宋_GB2312"/>
                <w:bCs/>
                <w:color w:val="auto"/>
                <w:kern w:val="0"/>
                <w:szCs w:val="21"/>
              </w:rPr>
            </w:pPr>
            <w:r>
              <w:rPr>
                <w:rFonts w:hint="eastAsia" w:ascii="仿宋_GB2312" w:eastAsia="仿宋_GB2312"/>
                <w:bCs/>
                <w:color w:val="auto"/>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69" w:type="dxa"/>
            <w:vAlign w:val="center"/>
          </w:tcPr>
          <w:p>
            <w:pPr>
              <w:spacing w:line="500" w:lineRule="exact"/>
              <w:jc w:val="center"/>
              <w:rPr>
                <w:rFonts w:ascii="仿宋_GB2312" w:hAnsi="宋体" w:eastAsia="仿宋_GB2312"/>
                <w:bCs/>
                <w:color w:val="auto"/>
                <w:kern w:val="0"/>
                <w:szCs w:val="21"/>
              </w:rPr>
            </w:pPr>
            <w:r>
              <w:rPr>
                <w:rFonts w:ascii="仿宋_GB2312" w:hAnsi="宋体" w:eastAsia="仿宋_GB2312"/>
                <w:bCs/>
                <w:color w:val="auto"/>
                <w:kern w:val="0"/>
                <w:szCs w:val="21"/>
              </w:rPr>
              <w:t>9</w:t>
            </w:r>
          </w:p>
        </w:tc>
        <w:tc>
          <w:tcPr>
            <w:tcW w:w="4500" w:type="dxa"/>
            <w:gridSpan w:val="3"/>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最低生活保障家庭成员自负费用年度限额内住院救助比例</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69.20%</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&gt;</w:t>
            </w:r>
            <w:r>
              <w:rPr>
                <w:rFonts w:ascii="仿宋_GB2312" w:hAnsi="宋体" w:eastAsia="仿宋_GB2312"/>
                <w:bCs/>
                <w:color w:val="auto"/>
                <w:kern w:val="0"/>
                <w:szCs w:val="21"/>
                <w:highlight w:val="none"/>
              </w:rPr>
              <w:t>70</w:t>
            </w:r>
            <w:r>
              <w:rPr>
                <w:rFonts w:hint="eastAsia" w:ascii="仿宋_GB2312" w:hAnsi="宋体" w:eastAsia="仿宋_GB2312"/>
                <w:bCs/>
                <w:color w:val="auto"/>
                <w:kern w:val="0"/>
                <w:szCs w:val="21"/>
                <w:highlight w:val="none"/>
              </w:rPr>
              <w:t>%</w:t>
            </w:r>
          </w:p>
        </w:tc>
        <w:tc>
          <w:tcPr>
            <w:tcW w:w="1479" w:type="dxa"/>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69" w:type="dxa"/>
            <w:vAlign w:val="center"/>
          </w:tcPr>
          <w:p>
            <w:pPr>
              <w:spacing w:line="500" w:lineRule="exact"/>
              <w:jc w:val="center"/>
              <w:rPr>
                <w:rFonts w:ascii="仿宋_GB2312" w:hAnsi="宋体" w:eastAsia="仿宋_GB2312"/>
                <w:bCs/>
                <w:color w:val="auto"/>
                <w:kern w:val="0"/>
                <w:szCs w:val="21"/>
              </w:rPr>
            </w:pPr>
            <w:r>
              <w:rPr>
                <w:rFonts w:ascii="仿宋_GB2312" w:hAnsi="宋体" w:eastAsia="仿宋_GB2312"/>
                <w:bCs/>
                <w:color w:val="auto"/>
                <w:kern w:val="0"/>
                <w:szCs w:val="21"/>
              </w:rPr>
              <w:t>10</w:t>
            </w:r>
          </w:p>
        </w:tc>
        <w:tc>
          <w:tcPr>
            <w:tcW w:w="4500" w:type="dxa"/>
            <w:gridSpan w:val="3"/>
            <w:vAlign w:val="center"/>
          </w:tcPr>
          <w:p>
            <w:pPr>
              <w:spacing w:line="500" w:lineRule="exact"/>
              <w:jc w:val="both"/>
              <w:rPr>
                <w:rFonts w:ascii="仿宋_GB2312" w:hAnsi="宋体" w:eastAsia="仿宋_GB2312"/>
                <w:bCs/>
                <w:color w:val="auto"/>
                <w:kern w:val="0"/>
                <w:szCs w:val="21"/>
              </w:rPr>
            </w:pPr>
            <w:r>
              <w:rPr>
                <w:rFonts w:hint="eastAsia" w:ascii="仿宋_GB2312" w:hAnsi="宋体" w:eastAsia="仿宋_GB2312"/>
                <w:bCs/>
                <w:color w:val="auto"/>
                <w:kern w:val="0"/>
                <w:szCs w:val="21"/>
              </w:rPr>
              <w:t>最低生活保障边缘家庭成员自负费用年度限额内住院救助比例</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51.33%</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&gt;6</w:t>
            </w:r>
            <w:r>
              <w:rPr>
                <w:rFonts w:ascii="仿宋_GB2312" w:hAnsi="宋体" w:eastAsia="仿宋_GB2312"/>
                <w:bCs/>
                <w:color w:val="auto"/>
                <w:kern w:val="0"/>
                <w:szCs w:val="21"/>
                <w:highlight w:val="none"/>
              </w:rPr>
              <w:t>0</w:t>
            </w:r>
            <w:r>
              <w:rPr>
                <w:rFonts w:hint="eastAsia" w:ascii="仿宋_GB2312" w:hAnsi="宋体" w:eastAsia="仿宋_GB2312"/>
                <w:bCs/>
                <w:color w:val="auto"/>
                <w:kern w:val="0"/>
                <w:szCs w:val="21"/>
                <w:highlight w:val="none"/>
              </w:rPr>
              <w:t>%</w:t>
            </w:r>
          </w:p>
        </w:tc>
        <w:tc>
          <w:tcPr>
            <w:tcW w:w="1479" w:type="dxa"/>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69" w:type="dxa"/>
            <w:vMerge w:val="restart"/>
            <w:vAlign w:val="center"/>
          </w:tcPr>
          <w:p>
            <w:pPr>
              <w:spacing w:line="500" w:lineRule="exact"/>
              <w:jc w:val="center"/>
              <w:rPr>
                <w:rFonts w:ascii="仿宋_GB2312" w:hAnsi="宋体" w:eastAsia="仿宋_GB2312"/>
                <w:bCs/>
                <w:color w:val="auto"/>
                <w:kern w:val="0"/>
                <w:szCs w:val="21"/>
              </w:rPr>
            </w:pPr>
            <w:bookmarkStart w:id="7" w:name="_Hlk80372226"/>
            <w:r>
              <w:rPr>
                <w:rFonts w:ascii="仿宋_GB2312" w:hAnsi="宋体" w:eastAsia="仿宋_GB2312"/>
                <w:bCs/>
                <w:color w:val="auto"/>
                <w:kern w:val="0"/>
                <w:szCs w:val="21"/>
              </w:rPr>
              <w:t>11</w:t>
            </w:r>
          </w:p>
        </w:tc>
        <w:tc>
          <w:tcPr>
            <w:tcW w:w="2304" w:type="dxa"/>
            <w:vMerge w:val="restart"/>
            <w:vAlign w:val="center"/>
          </w:tcPr>
          <w:p>
            <w:pPr>
              <w:jc w:val="both"/>
              <w:rPr>
                <w:rFonts w:ascii="仿宋_GB2312" w:hAnsi="宋体" w:eastAsia="仿宋_GB2312"/>
                <w:bCs/>
                <w:color w:val="auto"/>
                <w:kern w:val="0"/>
                <w:szCs w:val="21"/>
              </w:rPr>
            </w:pPr>
            <w:r>
              <w:rPr>
                <w:rFonts w:hint="eastAsia" w:ascii="仿宋_GB2312" w:hAnsi="宋体" w:eastAsia="仿宋_GB2312"/>
                <w:bCs/>
                <w:color w:val="auto"/>
                <w:kern w:val="0"/>
                <w:szCs w:val="21"/>
              </w:rPr>
              <w:t>门诊慢特病报销比例</w:t>
            </w:r>
          </w:p>
        </w:tc>
        <w:tc>
          <w:tcPr>
            <w:tcW w:w="2196" w:type="dxa"/>
            <w:gridSpan w:val="2"/>
            <w:vAlign w:val="center"/>
          </w:tcPr>
          <w:p>
            <w:pPr>
              <w:spacing w:line="500" w:lineRule="exact"/>
              <w:ind w:firstLine="420" w:firstLineChars="200"/>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职工</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86.55%</w:t>
            </w:r>
          </w:p>
        </w:tc>
        <w:tc>
          <w:tcPr>
            <w:tcW w:w="1139" w:type="dxa"/>
            <w:vMerge w:val="restart"/>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&gt;</w:t>
            </w:r>
            <w:r>
              <w:rPr>
                <w:rFonts w:ascii="仿宋_GB2312" w:hAnsi="宋体" w:eastAsia="仿宋_GB2312"/>
                <w:bCs/>
                <w:color w:val="auto"/>
                <w:kern w:val="0"/>
                <w:szCs w:val="21"/>
                <w:highlight w:val="none"/>
              </w:rPr>
              <w:t>80</w:t>
            </w:r>
            <w:r>
              <w:rPr>
                <w:rFonts w:hint="eastAsia" w:ascii="仿宋_GB2312" w:hAnsi="宋体" w:eastAsia="仿宋_GB2312"/>
                <w:bCs/>
                <w:color w:val="auto"/>
                <w:kern w:val="0"/>
                <w:szCs w:val="21"/>
                <w:highlight w:val="none"/>
              </w:rPr>
              <w:t>%</w:t>
            </w:r>
          </w:p>
        </w:tc>
        <w:tc>
          <w:tcPr>
            <w:tcW w:w="1479" w:type="dxa"/>
            <w:vMerge w:val="restart"/>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69" w:type="dxa"/>
            <w:vMerge w:val="continue"/>
            <w:vAlign w:val="center"/>
          </w:tcPr>
          <w:p>
            <w:pPr>
              <w:spacing w:line="500" w:lineRule="exact"/>
              <w:ind w:firstLine="420" w:firstLineChars="200"/>
              <w:jc w:val="center"/>
              <w:rPr>
                <w:rFonts w:ascii="仿宋_GB2312" w:hAnsi="宋体" w:eastAsia="仿宋_GB2312"/>
                <w:bCs/>
                <w:color w:val="auto"/>
                <w:kern w:val="0"/>
                <w:szCs w:val="21"/>
              </w:rPr>
            </w:pPr>
          </w:p>
        </w:tc>
        <w:tc>
          <w:tcPr>
            <w:tcW w:w="2304" w:type="dxa"/>
            <w:vMerge w:val="continue"/>
            <w:vAlign w:val="center"/>
          </w:tcPr>
          <w:p>
            <w:pPr>
              <w:ind w:firstLine="420" w:firstLineChars="200"/>
              <w:jc w:val="center"/>
              <w:rPr>
                <w:rFonts w:ascii="仿宋_GB2312" w:hAnsi="宋体" w:eastAsia="仿宋_GB2312"/>
                <w:bCs/>
                <w:color w:val="auto"/>
                <w:kern w:val="0"/>
                <w:szCs w:val="21"/>
              </w:rPr>
            </w:pPr>
          </w:p>
        </w:tc>
        <w:tc>
          <w:tcPr>
            <w:tcW w:w="2196" w:type="dxa"/>
            <w:gridSpan w:val="2"/>
            <w:vAlign w:val="center"/>
          </w:tcPr>
          <w:p>
            <w:pPr>
              <w:spacing w:line="500" w:lineRule="exact"/>
              <w:ind w:firstLine="420" w:firstLineChars="200"/>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城乡居民</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73.83%</w:t>
            </w:r>
          </w:p>
        </w:tc>
        <w:tc>
          <w:tcPr>
            <w:tcW w:w="1139" w:type="dxa"/>
            <w:vMerge w:val="continue"/>
            <w:vAlign w:val="center"/>
          </w:tcPr>
          <w:p>
            <w:pPr>
              <w:spacing w:line="500" w:lineRule="exact"/>
              <w:ind w:firstLine="420" w:firstLineChars="200"/>
              <w:jc w:val="center"/>
              <w:rPr>
                <w:rFonts w:ascii="仿宋_GB2312" w:hAnsi="宋体" w:eastAsia="仿宋_GB2312"/>
                <w:bCs/>
                <w:color w:val="auto"/>
                <w:kern w:val="0"/>
                <w:szCs w:val="21"/>
                <w:highlight w:val="none"/>
              </w:rPr>
            </w:pPr>
          </w:p>
        </w:tc>
        <w:tc>
          <w:tcPr>
            <w:tcW w:w="1479" w:type="dxa"/>
            <w:vMerge w:val="continue"/>
            <w:vAlign w:val="center"/>
          </w:tcPr>
          <w:p>
            <w:pPr>
              <w:spacing w:line="500" w:lineRule="exact"/>
              <w:ind w:firstLine="420" w:firstLineChars="200"/>
              <w:jc w:val="center"/>
              <w:rPr>
                <w:rFonts w:ascii="仿宋_GB2312" w:hAnsi="宋体" w:eastAsia="仿宋_GB2312"/>
                <w:bCs/>
                <w:color w:val="auto"/>
                <w:kern w:val="0"/>
                <w:szCs w:val="21"/>
              </w:rPr>
            </w:pP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69" w:type="dxa"/>
            <w:vMerge w:val="restart"/>
            <w:vAlign w:val="center"/>
          </w:tcPr>
          <w:p>
            <w:pPr>
              <w:spacing w:line="500" w:lineRule="exact"/>
              <w:jc w:val="center"/>
              <w:rPr>
                <w:rFonts w:ascii="仿宋_GB2312" w:hAnsi="宋体" w:eastAsia="仿宋_GB2312"/>
                <w:bCs/>
                <w:color w:val="auto"/>
                <w:kern w:val="0"/>
                <w:szCs w:val="21"/>
              </w:rPr>
            </w:pPr>
            <w:r>
              <w:rPr>
                <w:rFonts w:ascii="仿宋_GB2312" w:hAnsi="宋体" w:eastAsia="仿宋_GB2312"/>
                <w:bCs/>
                <w:color w:val="auto"/>
                <w:kern w:val="0"/>
                <w:szCs w:val="21"/>
              </w:rPr>
              <w:t>12</w:t>
            </w:r>
          </w:p>
        </w:tc>
        <w:tc>
          <w:tcPr>
            <w:tcW w:w="2304" w:type="dxa"/>
            <w:vMerge w:val="restart"/>
            <w:vAlign w:val="center"/>
          </w:tcPr>
          <w:p>
            <w:pPr>
              <w:jc w:val="both"/>
              <w:rPr>
                <w:rFonts w:ascii="仿宋_GB2312" w:hAnsi="宋体" w:eastAsia="仿宋_GB2312"/>
                <w:bCs/>
                <w:color w:val="auto"/>
                <w:kern w:val="0"/>
                <w:szCs w:val="21"/>
              </w:rPr>
            </w:pPr>
            <w:r>
              <w:rPr>
                <w:rFonts w:hint="eastAsia" w:ascii="仿宋_GB2312" w:hAnsi="宋体" w:eastAsia="仿宋_GB2312"/>
                <w:bCs/>
                <w:color w:val="auto"/>
                <w:kern w:val="0"/>
                <w:szCs w:val="21"/>
              </w:rPr>
              <w:t>医保基金结余支付能力（月）</w:t>
            </w:r>
          </w:p>
        </w:tc>
        <w:tc>
          <w:tcPr>
            <w:tcW w:w="2196" w:type="dxa"/>
            <w:gridSpan w:val="2"/>
            <w:vAlign w:val="center"/>
          </w:tcPr>
          <w:p>
            <w:pPr>
              <w:spacing w:line="500" w:lineRule="exact"/>
              <w:ind w:firstLine="420" w:firstLineChars="200"/>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职工</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21.52</w:t>
            </w:r>
          </w:p>
        </w:tc>
        <w:tc>
          <w:tcPr>
            <w:tcW w:w="1139" w:type="dxa"/>
            <w:vAlign w:val="center"/>
          </w:tcPr>
          <w:p>
            <w:pPr>
              <w:spacing w:line="500" w:lineRule="exact"/>
              <w:jc w:val="center"/>
              <w:rPr>
                <w:rFonts w:hint="default" w:ascii="仿宋_GB2312" w:hAnsi="宋体" w:eastAsia="仿宋_GB2312"/>
                <w:bCs/>
                <w:color w:val="auto"/>
                <w:kern w:val="0"/>
                <w:szCs w:val="21"/>
                <w:highlight w:val="none"/>
                <w:lang w:val="en-US" w:eastAsia="zh-CN"/>
              </w:rPr>
            </w:pPr>
            <w:r>
              <w:rPr>
                <w:rFonts w:hint="eastAsia" w:ascii="仿宋_GB2312" w:hAnsi="宋体" w:eastAsia="仿宋_GB2312"/>
                <w:bCs/>
                <w:color w:val="auto"/>
                <w:kern w:val="0"/>
                <w:szCs w:val="21"/>
                <w:highlight w:val="none"/>
              </w:rPr>
              <w:t>&gt;</w:t>
            </w:r>
            <w:r>
              <w:rPr>
                <w:rFonts w:hint="eastAsia" w:ascii="仿宋_GB2312" w:hAnsi="宋体" w:eastAsia="仿宋_GB2312"/>
                <w:bCs/>
                <w:color w:val="auto"/>
                <w:kern w:val="0"/>
                <w:szCs w:val="21"/>
                <w:highlight w:val="none"/>
                <w:lang w:val="en-US" w:eastAsia="zh-CN"/>
              </w:rPr>
              <w:t>6</w:t>
            </w:r>
          </w:p>
        </w:tc>
        <w:tc>
          <w:tcPr>
            <w:tcW w:w="1479" w:type="dxa"/>
            <w:vMerge w:val="restart"/>
            <w:vAlign w:val="center"/>
          </w:tcPr>
          <w:p>
            <w:pPr>
              <w:spacing w:line="500" w:lineRule="exact"/>
              <w:ind w:firstLine="420" w:firstLineChars="200"/>
              <w:jc w:val="both"/>
              <w:rPr>
                <w:rFonts w:ascii="仿宋_GB2312" w:hAnsi="宋体" w:eastAsia="仿宋_GB2312"/>
                <w:bCs/>
                <w:color w:val="auto"/>
                <w:kern w:val="0"/>
                <w:szCs w:val="21"/>
              </w:rPr>
            </w:pPr>
            <w:r>
              <w:rPr>
                <w:rFonts w:hint="eastAsia" w:ascii="仿宋_GB2312" w:hAnsi="宋体" w:eastAsia="仿宋_GB2312"/>
                <w:bCs/>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9" w:type="dxa"/>
            <w:vMerge w:val="continue"/>
            <w:vAlign w:val="center"/>
          </w:tcPr>
          <w:p>
            <w:pPr>
              <w:spacing w:line="500" w:lineRule="exact"/>
              <w:ind w:firstLine="420" w:firstLineChars="200"/>
              <w:jc w:val="center"/>
              <w:rPr>
                <w:rFonts w:ascii="仿宋_GB2312" w:hAnsi="宋体" w:eastAsia="仿宋_GB2312"/>
                <w:bCs/>
                <w:color w:val="auto"/>
                <w:kern w:val="0"/>
                <w:szCs w:val="21"/>
              </w:rPr>
            </w:pPr>
          </w:p>
        </w:tc>
        <w:tc>
          <w:tcPr>
            <w:tcW w:w="2304" w:type="dxa"/>
            <w:vMerge w:val="continue"/>
            <w:vAlign w:val="center"/>
          </w:tcPr>
          <w:p>
            <w:pPr>
              <w:spacing w:line="500" w:lineRule="exact"/>
              <w:ind w:firstLine="420" w:firstLineChars="200"/>
              <w:jc w:val="center"/>
              <w:rPr>
                <w:rFonts w:ascii="仿宋_GB2312" w:hAnsi="宋体" w:eastAsia="仿宋_GB2312"/>
                <w:bCs/>
                <w:color w:val="auto"/>
                <w:kern w:val="0"/>
                <w:szCs w:val="21"/>
              </w:rPr>
            </w:pPr>
          </w:p>
        </w:tc>
        <w:tc>
          <w:tcPr>
            <w:tcW w:w="2196" w:type="dxa"/>
            <w:gridSpan w:val="2"/>
            <w:vAlign w:val="center"/>
          </w:tcPr>
          <w:p>
            <w:pPr>
              <w:spacing w:line="500" w:lineRule="exact"/>
              <w:ind w:firstLine="420" w:firstLineChars="200"/>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城乡居民</w:t>
            </w:r>
          </w:p>
        </w:tc>
        <w:tc>
          <w:tcPr>
            <w:tcW w:w="1362"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6.75</w:t>
            </w:r>
          </w:p>
        </w:tc>
        <w:tc>
          <w:tcPr>
            <w:tcW w:w="1139" w:type="dxa"/>
            <w:vAlign w:val="center"/>
          </w:tcPr>
          <w:p>
            <w:pPr>
              <w:spacing w:line="500" w:lineRule="exact"/>
              <w:jc w:val="center"/>
              <w:rPr>
                <w:rFonts w:ascii="仿宋_GB2312" w:hAnsi="宋体" w:eastAsia="仿宋_GB2312"/>
                <w:bCs/>
                <w:color w:val="auto"/>
                <w:kern w:val="0"/>
                <w:szCs w:val="21"/>
                <w:highlight w:val="none"/>
              </w:rPr>
            </w:pPr>
            <w:r>
              <w:rPr>
                <w:rFonts w:hint="eastAsia" w:ascii="仿宋_GB2312" w:hAnsi="宋体" w:eastAsia="仿宋_GB2312"/>
                <w:bCs/>
                <w:color w:val="auto"/>
                <w:kern w:val="0"/>
                <w:szCs w:val="21"/>
                <w:highlight w:val="none"/>
              </w:rPr>
              <w:t>&gt;</w:t>
            </w:r>
            <w:r>
              <w:rPr>
                <w:rFonts w:hint="eastAsia" w:ascii="仿宋_GB2312" w:hAnsi="宋体" w:eastAsia="仿宋_GB2312"/>
                <w:bCs/>
                <w:color w:val="auto"/>
                <w:kern w:val="0"/>
                <w:szCs w:val="21"/>
                <w:highlight w:val="none"/>
                <w:lang w:val="en-US" w:eastAsia="zh-CN"/>
              </w:rPr>
              <w:t>6</w:t>
            </w:r>
          </w:p>
        </w:tc>
        <w:tc>
          <w:tcPr>
            <w:tcW w:w="1479" w:type="dxa"/>
            <w:vMerge w:val="continue"/>
            <w:vAlign w:val="center"/>
          </w:tcPr>
          <w:p>
            <w:pPr>
              <w:spacing w:line="500" w:lineRule="exact"/>
              <w:ind w:firstLine="420" w:firstLineChars="200"/>
              <w:jc w:val="center"/>
              <w:rPr>
                <w:rFonts w:ascii="仿宋_GB2312" w:hAnsi="宋体" w:eastAsia="仿宋_GB2312"/>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69" w:type="dxa"/>
            <w:vAlign w:val="center"/>
          </w:tcPr>
          <w:p>
            <w:pPr>
              <w:spacing w:line="500" w:lineRule="exact"/>
              <w:jc w:val="center"/>
              <w:rPr>
                <w:rFonts w:ascii="仿宋_GB2312" w:hAnsi="宋体" w:eastAsia="仿宋_GB2312"/>
                <w:bCs/>
                <w:color w:val="auto"/>
                <w:kern w:val="0"/>
                <w:szCs w:val="21"/>
              </w:rPr>
            </w:pPr>
            <w:r>
              <w:rPr>
                <w:rFonts w:ascii="仿宋_GB2312" w:hAnsi="宋体" w:eastAsia="仿宋_GB2312"/>
                <w:bCs/>
                <w:color w:val="auto"/>
                <w:kern w:val="0"/>
                <w:szCs w:val="21"/>
              </w:rPr>
              <w:t>13</w:t>
            </w:r>
          </w:p>
        </w:tc>
        <w:tc>
          <w:tcPr>
            <w:tcW w:w="4500" w:type="dxa"/>
            <w:gridSpan w:val="3"/>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商业健康保险赔付支出占卫生总费用比例</w:t>
            </w:r>
          </w:p>
        </w:tc>
        <w:tc>
          <w:tcPr>
            <w:tcW w:w="1362"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3%左右</w:t>
            </w:r>
          </w:p>
        </w:tc>
        <w:tc>
          <w:tcPr>
            <w:tcW w:w="1139"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1</w:t>
            </w:r>
            <w:r>
              <w:rPr>
                <w:rFonts w:ascii="仿宋_GB2312" w:hAnsi="宋体" w:eastAsia="仿宋_GB2312"/>
                <w:bCs/>
                <w:color w:val="auto"/>
                <w:kern w:val="0"/>
                <w:szCs w:val="21"/>
              </w:rPr>
              <w:t>0</w:t>
            </w:r>
            <w:r>
              <w:rPr>
                <w:rFonts w:hint="eastAsia" w:ascii="仿宋_GB2312" w:hAnsi="宋体" w:eastAsia="仿宋_GB2312"/>
                <w:bCs/>
                <w:color w:val="auto"/>
                <w:kern w:val="0"/>
                <w:szCs w:val="21"/>
              </w:rPr>
              <w:t>%左右</w:t>
            </w:r>
          </w:p>
        </w:tc>
        <w:tc>
          <w:tcPr>
            <w:tcW w:w="1479" w:type="dxa"/>
            <w:vAlign w:val="center"/>
          </w:tcPr>
          <w:p>
            <w:pPr>
              <w:spacing w:line="500" w:lineRule="exact"/>
              <w:jc w:val="center"/>
              <w:rPr>
                <w:rFonts w:ascii="仿宋_GB2312" w:hAnsi="宋体" w:eastAsia="仿宋_GB2312"/>
                <w:bCs/>
                <w:color w:val="auto"/>
                <w:kern w:val="0"/>
                <w:szCs w:val="21"/>
              </w:rPr>
            </w:pPr>
            <w:r>
              <w:rPr>
                <w:rFonts w:hint="eastAsia" w:ascii="仿宋_GB2312" w:hAnsi="宋体" w:eastAsia="仿宋_GB2312"/>
                <w:bCs/>
                <w:color w:val="auto"/>
                <w:kern w:val="0"/>
                <w:szCs w:val="21"/>
              </w:rPr>
              <w:t>预期性</w:t>
            </w:r>
          </w:p>
        </w:tc>
      </w:tr>
    </w:tbl>
    <w:p>
      <w:pPr>
        <w:rPr>
          <w:rFonts w:ascii="黑体" w:hAnsi="黑体" w:eastAsia="黑体"/>
          <w:color w:val="auto"/>
          <w:sz w:val="28"/>
          <w:szCs w:val="28"/>
        </w:rPr>
      </w:pPr>
    </w:p>
    <w:p>
      <w:pPr>
        <w:pStyle w:val="2"/>
        <w:spacing w:before="0" w:after="0" w:line="360" w:lineRule="auto"/>
        <w:rPr>
          <w:rFonts w:ascii="黑体" w:hAnsi="黑体" w:eastAsia="黑体"/>
          <w:color w:val="auto"/>
          <w:sz w:val="28"/>
          <w:szCs w:val="28"/>
        </w:rPr>
      </w:pPr>
      <w:bookmarkStart w:id="8" w:name="_Toc81666349"/>
      <w:r>
        <w:rPr>
          <w:rFonts w:hint="eastAsia" w:ascii="黑体" w:hAnsi="黑体" w:eastAsia="黑体"/>
          <w:color w:val="auto"/>
          <w:sz w:val="28"/>
          <w:szCs w:val="28"/>
        </w:rPr>
        <w:t>三、主要任务</w:t>
      </w:r>
      <w:bookmarkEnd w:id="8"/>
    </w:p>
    <w:p>
      <w:pPr>
        <w:pStyle w:val="3"/>
        <w:spacing w:before="0" w:after="0" w:line="360" w:lineRule="auto"/>
        <w:ind w:firstLine="562" w:firstLineChars="200"/>
        <w:rPr>
          <w:rFonts w:ascii="楷体_GB2312" w:eastAsia="楷体_GB2312"/>
          <w:color w:val="auto"/>
          <w:sz w:val="28"/>
          <w:szCs w:val="28"/>
        </w:rPr>
      </w:pPr>
      <w:bookmarkStart w:id="9" w:name="_Toc81666350"/>
      <w:r>
        <w:rPr>
          <w:rFonts w:hint="eastAsia" w:ascii="楷体_GB2312" w:eastAsia="楷体_GB2312"/>
          <w:color w:val="auto"/>
          <w:sz w:val="28"/>
          <w:szCs w:val="28"/>
        </w:rPr>
        <w:t>（一）健全多层次医疗保障制度体系</w:t>
      </w:r>
      <w:bookmarkEnd w:id="9"/>
    </w:p>
    <w:p>
      <w:pPr>
        <w:ind w:firstLine="560" w:firstLineChars="200"/>
        <w:rPr>
          <w:rFonts w:ascii="仿宋_GB2312" w:eastAsia="仿宋_GB2312"/>
          <w:color w:val="auto"/>
          <w:sz w:val="28"/>
          <w:szCs w:val="32"/>
        </w:rPr>
      </w:pPr>
      <w:r>
        <w:rPr>
          <w:rFonts w:hint="eastAsia" w:ascii="仿宋_GB2312" w:eastAsia="仿宋_GB2312"/>
          <w:color w:val="auto"/>
          <w:sz w:val="28"/>
          <w:szCs w:val="32"/>
        </w:rPr>
        <w:t>全面建立起以基本医疗保险为主体，医疗救助为托底，补充医疗保险、商业健康保险、慈善捐赠、医疗互助共同发展的多层次医疗保障制度体系。</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1.做实基本医疗保险市级统筹。</w:t>
      </w:r>
      <w:r>
        <w:rPr>
          <w:rFonts w:hint="eastAsia" w:ascii="仿宋_GB2312" w:eastAsia="仿宋_GB2312"/>
          <w:color w:val="auto"/>
          <w:sz w:val="28"/>
          <w:szCs w:val="32"/>
        </w:rPr>
        <w:t>城乡之间医疗保障水平差距缩小，全市医保系统实现上下协同，按照制度政策统一、基金统收统支、管理服务一体的标准，全面做实基本医疗保险市级统筹。实现“政策统一、待遇统一、经办统一、信息统一、征缴统一、分担统一”的“六统一”市级统筹管理模式。统一职工医保、城乡居民医保的政策制定，实现医保政策待遇的公平统一，增强医保制度公平性。统一医保基金征缴和拨付流程，实行医保基金统收统支，实现职工医保、城乡居民医保基金的全市统一管理和使用，实现医保基金的区域共济。统一编制职工医保基金、城乡居民医保基金收支预算。建设市、区县（市）统一的医保信息系统。明确市、区县（市）医保基金管理责任主体，落实统筹区各方医保基金管理责任和风险责任，建立市级统筹工作责任考评机制。均衡医保基金筹资责任，综合考虑医疗保障待遇、经济发展和人口结构等因素确定筹资标准，均衡个人、用人单位、政府三方筹资缴费责任。定期统计和分析医保基金数据，加强医保基金风险预判和风险点监管，确保基金的抗风险能力和可持续性。</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2.积极引导商业健康补充医疗保险参与多层次医疗保障体系建设。</w:t>
      </w:r>
      <w:r>
        <w:rPr>
          <w:rFonts w:hint="eastAsia" w:ascii="仿宋_GB2312" w:eastAsia="仿宋_GB2312"/>
          <w:color w:val="auto"/>
          <w:sz w:val="28"/>
          <w:szCs w:val="32"/>
        </w:rPr>
        <w:t>按照“政府引导、公益运行、商保承办、自负盈亏”的原则，</w:t>
      </w:r>
      <w:r>
        <w:rPr>
          <w:rFonts w:hint="eastAsia" w:ascii="仿宋_GB2312" w:eastAsia="仿宋_GB2312"/>
          <w:color w:val="auto"/>
          <w:sz w:val="28"/>
          <w:szCs w:val="32"/>
          <w:lang w:val="en-US" w:eastAsia="zh-CN"/>
        </w:rPr>
        <w:t>推进“浙丽保”持续提质升效，</w:t>
      </w:r>
      <w:r>
        <w:rPr>
          <w:rFonts w:hint="eastAsia" w:ascii="仿宋_GB2312" w:eastAsia="仿宋_GB2312"/>
          <w:color w:val="auto"/>
          <w:sz w:val="28"/>
          <w:szCs w:val="32"/>
        </w:rPr>
        <w:t>积极引导商业健康补充医疗保险的发展，</w:t>
      </w:r>
      <w:r>
        <w:rPr>
          <w:rFonts w:hint="eastAsia" w:ascii="仿宋_GB2312" w:eastAsia="仿宋_GB2312"/>
          <w:color w:val="auto"/>
          <w:sz w:val="28"/>
          <w:szCs w:val="32"/>
          <w:lang w:val="en-US" w:eastAsia="zh-CN"/>
        </w:rPr>
        <w:t>与基本医保实现</w:t>
      </w:r>
      <w:r>
        <w:rPr>
          <w:rFonts w:hint="eastAsia" w:ascii="仿宋_GB2312" w:eastAsia="仿宋_GB2312"/>
          <w:color w:val="auto"/>
          <w:sz w:val="28"/>
          <w:szCs w:val="32"/>
        </w:rPr>
        <w:t>互补衔接、协调发展，为完善公平适度的多层次医疗保障体系提供丽水模板。坚持以市场机制、保本微利为运营导向，以重特大疾病保障为重点，探索</w:t>
      </w:r>
      <w:r>
        <w:rPr>
          <w:rFonts w:hint="eastAsia" w:ascii="仿宋_GB2312" w:eastAsia="仿宋_GB2312"/>
          <w:color w:val="auto"/>
          <w:sz w:val="28"/>
          <w:szCs w:val="32"/>
          <w:lang w:val="en-US" w:eastAsia="zh-CN"/>
        </w:rPr>
        <w:t>在“浙丽保”制度基础上的</w:t>
      </w:r>
      <w:r>
        <w:rPr>
          <w:rFonts w:hint="eastAsia" w:ascii="仿宋_GB2312" w:eastAsia="仿宋_GB2312"/>
          <w:color w:val="auto"/>
          <w:sz w:val="28"/>
          <w:szCs w:val="32"/>
        </w:rPr>
        <w:t>产品创新、服务创新、赔付优化、缴费与待遇挂钩等多种措施，稳定补充医疗保险的参保率。引导商业保险机构向互联网经营模式转型，全面落实商业健康补充保险参保便利性和理赔“一站式”。鼓励利用个人账户基金结余购买商业健康补充医疗保险产品。</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0" w:firstLineChars="200"/>
              <w:jc w:val="center"/>
              <w:rPr>
                <w:rFonts w:ascii="黑体" w:hAnsi="黑体" w:eastAsia="黑体"/>
                <w:color w:val="auto"/>
                <w:sz w:val="28"/>
                <w:szCs w:val="32"/>
                <w:lang w:eastAsia="zh-Hans"/>
              </w:rPr>
            </w:pPr>
            <w:r>
              <w:rPr>
                <w:rFonts w:hint="eastAsia" w:ascii="黑体" w:hAnsi="黑体" w:eastAsia="黑体"/>
                <w:color w:val="auto"/>
                <w:sz w:val="28"/>
                <w:szCs w:val="32"/>
                <w:lang w:eastAsia="zh-Hans"/>
              </w:rPr>
              <w:t>专栏</w:t>
            </w:r>
            <w:r>
              <w:rPr>
                <w:rFonts w:hint="eastAsia" w:ascii="黑体" w:hAnsi="黑体" w:eastAsia="黑体"/>
                <w:color w:val="auto"/>
                <w:sz w:val="28"/>
                <w:szCs w:val="32"/>
              </w:rPr>
              <w:t>1</w:t>
            </w:r>
            <w:r>
              <w:rPr>
                <w:rFonts w:ascii="黑体" w:hAnsi="黑体" w:eastAsia="黑体"/>
                <w:color w:val="auto"/>
                <w:sz w:val="28"/>
                <w:szCs w:val="32"/>
                <w:lang w:eastAsia="zh-Hans"/>
              </w:rPr>
              <w:t xml:space="preserve"> </w:t>
            </w:r>
            <w:r>
              <w:rPr>
                <w:rFonts w:hint="eastAsia" w:ascii="黑体" w:hAnsi="黑体" w:eastAsia="黑体"/>
                <w:color w:val="auto"/>
                <w:sz w:val="28"/>
                <w:szCs w:val="32"/>
              </w:rPr>
              <w:t>商业健康补充医疗保险</w:t>
            </w:r>
            <w:r>
              <w:rPr>
                <w:rFonts w:hint="eastAsia" w:ascii="黑体" w:hAnsi="黑体" w:eastAsia="黑体"/>
                <w:color w:val="auto"/>
                <w:sz w:val="28"/>
                <w:szCs w:val="32"/>
                <w:lang w:eastAsia="zh-Hans"/>
              </w:rPr>
              <w:t>工程“浙丽保”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lang w:eastAsia="zh-Hans"/>
              </w:rPr>
              <w:t>持续深化</w:t>
            </w:r>
            <w:r>
              <w:rPr>
                <w:rFonts w:hint="eastAsia" w:ascii="仿宋" w:hAnsi="仿宋" w:eastAsia="仿宋"/>
                <w:color w:val="auto"/>
                <w:kern w:val="0"/>
                <w:sz w:val="24"/>
                <w:szCs w:val="24"/>
              </w:rPr>
              <w:t>政府引导型商业全民健康补充医疗保险“浙丽保”制度</w:t>
            </w:r>
            <w:r>
              <w:rPr>
                <w:rFonts w:hint="eastAsia" w:ascii="仿宋" w:hAnsi="仿宋" w:eastAsia="仿宋"/>
                <w:color w:val="auto"/>
                <w:kern w:val="0"/>
                <w:sz w:val="24"/>
                <w:szCs w:val="24"/>
                <w:lang w:eastAsia="zh-Hans"/>
              </w:rPr>
              <w:t>建设</w:t>
            </w:r>
            <w:r>
              <w:rPr>
                <w:rFonts w:hint="eastAsia" w:ascii="仿宋" w:hAnsi="仿宋" w:eastAsia="仿宋"/>
                <w:color w:val="auto"/>
                <w:kern w:val="0"/>
                <w:sz w:val="24"/>
                <w:szCs w:val="24"/>
              </w:rPr>
              <w:t>，</w:t>
            </w:r>
            <w:r>
              <w:rPr>
                <w:rFonts w:hint="eastAsia" w:ascii="仿宋" w:hAnsi="仿宋" w:eastAsia="仿宋"/>
                <w:color w:val="auto"/>
                <w:kern w:val="0"/>
                <w:sz w:val="24"/>
                <w:szCs w:val="24"/>
                <w:lang w:eastAsia="zh-Hans"/>
              </w:rPr>
              <w:t>有力</w:t>
            </w:r>
            <w:r>
              <w:rPr>
                <w:rFonts w:hint="eastAsia" w:ascii="仿宋" w:hAnsi="仿宋" w:eastAsia="仿宋"/>
                <w:color w:val="auto"/>
                <w:kern w:val="0"/>
                <w:sz w:val="24"/>
                <w:szCs w:val="24"/>
              </w:rPr>
              <w:t>推进“浙丽保”的扩面提效和总结提升</w:t>
            </w:r>
            <w:r>
              <w:rPr>
                <w:rFonts w:ascii="仿宋" w:hAnsi="仿宋" w:eastAsia="仿宋"/>
                <w:color w:val="auto"/>
                <w:kern w:val="0"/>
                <w:sz w:val="24"/>
                <w:szCs w:val="24"/>
              </w:rPr>
              <w:t>，</w:t>
            </w:r>
            <w:r>
              <w:rPr>
                <w:rFonts w:hint="eastAsia" w:ascii="仿宋" w:hAnsi="仿宋" w:eastAsia="仿宋"/>
                <w:color w:val="auto"/>
                <w:kern w:val="0"/>
                <w:sz w:val="24"/>
                <w:szCs w:val="24"/>
                <w:lang w:eastAsia="zh-Hans"/>
              </w:rPr>
              <w:t>不断完善</w:t>
            </w:r>
            <w:r>
              <w:rPr>
                <w:rFonts w:hint="eastAsia" w:ascii="仿宋" w:hAnsi="仿宋" w:eastAsia="仿宋"/>
                <w:color w:val="auto"/>
                <w:kern w:val="0"/>
                <w:sz w:val="24"/>
                <w:szCs w:val="24"/>
              </w:rPr>
              <w:t>多层次医疗保障制度体系。</w:t>
            </w:r>
          </w:p>
          <w:p>
            <w:pPr>
              <w:snapToGrid w:val="0"/>
              <w:spacing w:line="400" w:lineRule="exact"/>
              <w:ind w:firstLine="482" w:firstLineChars="200"/>
              <w:rPr>
                <w:rFonts w:ascii="仿宋" w:hAnsi="仿宋" w:eastAsia="仿宋"/>
                <w:b/>
                <w:bCs/>
                <w:color w:val="auto"/>
                <w:kern w:val="0"/>
                <w:sz w:val="24"/>
                <w:szCs w:val="24"/>
              </w:rPr>
            </w:pPr>
            <w:r>
              <w:rPr>
                <w:rFonts w:hint="eastAsia" w:ascii="仿宋" w:hAnsi="仿宋" w:eastAsia="仿宋"/>
                <w:b/>
                <w:bCs/>
                <w:color w:val="auto"/>
                <w:kern w:val="0"/>
                <w:sz w:val="24"/>
                <w:szCs w:val="24"/>
              </w:rPr>
              <w:t>（一）推行医保制度有序衔接</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深化医保政策研究，精准回应群众保障需求，着眼可持续运营，通过创新重大疾病医疗保险制度，织密扎牢社会保障网，破解“因病致贫返贫”难题，助力全省共同富裕示范区建设。大力推行“浙丽保”，推进“浙丽保”与原有保障体系有机衔接，提升群众医疗保障水平。</w:t>
            </w:r>
          </w:p>
          <w:p>
            <w:pPr>
              <w:snapToGrid w:val="0"/>
              <w:spacing w:line="400" w:lineRule="exact"/>
              <w:ind w:firstLine="482" w:firstLineChars="200"/>
              <w:rPr>
                <w:rFonts w:ascii="仿宋" w:hAnsi="仿宋" w:eastAsia="仿宋"/>
                <w:b/>
                <w:bCs/>
                <w:color w:val="auto"/>
                <w:kern w:val="0"/>
                <w:sz w:val="24"/>
                <w:szCs w:val="24"/>
              </w:rPr>
            </w:pPr>
            <w:r>
              <w:rPr>
                <w:rFonts w:hint="eastAsia" w:ascii="仿宋" w:hAnsi="仿宋" w:eastAsia="仿宋"/>
                <w:b/>
                <w:bCs/>
                <w:color w:val="auto"/>
                <w:kern w:val="0"/>
                <w:sz w:val="24"/>
                <w:szCs w:val="24"/>
              </w:rPr>
              <w:t>（二）创新医保制度运行模式</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通过政府引导，发挥市场的积极作用，着力解决商业健康保险领域长期市场失灵、覆盖率低下等诸多问题；通过商保承办，引入市场机制解决政府财力有限、现有医保政策目录外费用不能报销等问题，实现政府有为、市场有效、群众有感。</w:t>
            </w:r>
            <w:r>
              <w:rPr>
                <w:rFonts w:hint="eastAsia" w:ascii="仿宋" w:hAnsi="仿宋" w:eastAsia="仿宋"/>
                <w:color w:val="auto"/>
                <w:kern w:val="0"/>
                <w:sz w:val="24"/>
                <w:szCs w:val="24"/>
                <w:lang w:eastAsia="zh-Hans"/>
              </w:rPr>
              <w:t>围绕“政府主导、公益运行、商保承办、自负盈亏”的原则</w:t>
            </w:r>
            <w:r>
              <w:rPr>
                <w:rFonts w:ascii="仿宋" w:hAnsi="仿宋" w:eastAsia="仿宋"/>
                <w:color w:val="auto"/>
                <w:kern w:val="0"/>
                <w:sz w:val="24"/>
                <w:szCs w:val="24"/>
                <w:lang w:eastAsia="zh-Hans"/>
              </w:rPr>
              <w:t>，</w:t>
            </w:r>
            <w:r>
              <w:rPr>
                <w:rFonts w:hint="eastAsia" w:ascii="仿宋" w:hAnsi="仿宋" w:eastAsia="仿宋"/>
                <w:color w:val="auto"/>
                <w:kern w:val="0"/>
                <w:sz w:val="24"/>
                <w:szCs w:val="24"/>
                <w:lang w:eastAsia="zh-Hans"/>
              </w:rPr>
              <w:t>推动“浙丽保”产品持续完善</w:t>
            </w:r>
            <w:r>
              <w:rPr>
                <w:rFonts w:ascii="仿宋" w:hAnsi="仿宋" w:eastAsia="仿宋"/>
                <w:color w:val="auto"/>
                <w:kern w:val="0"/>
                <w:sz w:val="24"/>
                <w:szCs w:val="24"/>
                <w:lang w:eastAsia="zh-Hans"/>
              </w:rPr>
              <w:t>，</w:t>
            </w:r>
            <w:r>
              <w:rPr>
                <w:rFonts w:hint="eastAsia" w:ascii="仿宋" w:hAnsi="仿宋" w:eastAsia="仿宋"/>
                <w:color w:val="auto"/>
                <w:kern w:val="0"/>
                <w:sz w:val="24"/>
                <w:szCs w:val="24"/>
                <w:lang w:eastAsia="zh-Hans"/>
              </w:rPr>
              <w:t>形成</w:t>
            </w:r>
            <w:r>
              <w:rPr>
                <w:rFonts w:hint="eastAsia" w:ascii="仿宋" w:hAnsi="仿宋" w:eastAsia="仿宋"/>
                <w:color w:val="auto"/>
                <w:kern w:val="0"/>
                <w:sz w:val="24"/>
                <w:szCs w:val="24"/>
              </w:rPr>
              <w:t>医保制度运行模式创新</w:t>
            </w:r>
            <w:r>
              <w:rPr>
                <w:rFonts w:hint="eastAsia" w:ascii="仿宋" w:hAnsi="仿宋" w:eastAsia="仿宋"/>
                <w:color w:val="auto"/>
                <w:kern w:val="0"/>
                <w:sz w:val="24"/>
                <w:szCs w:val="24"/>
                <w:lang w:eastAsia="zh-Hans"/>
              </w:rPr>
              <w:t>的</w:t>
            </w:r>
            <w:r>
              <w:rPr>
                <w:rFonts w:hint="eastAsia" w:ascii="仿宋" w:hAnsi="仿宋" w:eastAsia="仿宋"/>
                <w:color w:val="auto"/>
                <w:kern w:val="0"/>
                <w:sz w:val="24"/>
                <w:szCs w:val="24"/>
              </w:rPr>
              <w:t>丽水模板</w:t>
            </w:r>
            <w:r>
              <w:rPr>
                <w:rFonts w:ascii="仿宋" w:hAnsi="仿宋" w:eastAsia="仿宋"/>
                <w:color w:val="auto"/>
                <w:kern w:val="0"/>
                <w:sz w:val="24"/>
                <w:szCs w:val="24"/>
              </w:rPr>
              <w:t>。</w:t>
            </w:r>
          </w:p>
          <w:p>
            <w:pPr>
              <w:snapToGrid w:val="0"/>
              <w:spacing w:line="400" w:lineRule="exact"/>
              <w:ind w:firstLine="482" w:firstLineChars="200"/>
              <w:rPr>
                <w:rFonts w:ascii="仿宋" w:hAnsi="仿宋" w:eastAsia="仿宋"/>
                <w:b/>
                <w:bCs/>
                <w:color w:val="auto"/>
                <w:kern w:val="0"/>
                <w:sz w:val="24"/>
                <w:szCs w:val="24"/>
              </w:rPr>
            </w:pPr>
            <w:r>
              <w:rPr>
                <w:rFonts w:hint="eastAsia" w:ascii="仿宋" w:hAnsi="仿宋" w:eastAsia="仿宋"/>
                <w:b/>
                <w:bCs/>
                <w:color w:val="auto"/>
                <w:kern w:val="0"/>
                <w:sz w:val="24"/>
                <w:szCs w:val="24"/>
              </w:rPr>
              <w:t>（三）完善全民普惠政策体系</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lang w:eastAsia="zh-Hans"/>
              </w:rPr>
              <w:t>借助</w:t>
            </w:r>
            <w:r>
              <w:rPr>
                <w:rFonts w:hint="eastAsia" w:ascii="仿宋" w:hAnsi="仿宋" w:eastAsia="仿宋"/>
                <w:color w:val="auto"/>
                <w:kern w:val="0"/>
                <w:sz w:val="24"/>
                <w:szCs w:val="24"/>
              </w:rPr>
              <w:t>医保大数据分析，精准定位</w:t>
            </w:r>
            <w:r>
              <w:rPr>
                <w:rFonts w:hint="eastAsia" w:ascii="仿宋" w:hAnsi="仿宋" w:eastAsia="仿宋"/>
                <w:color w:val="auto"/>
                <w:kern w:val="0"/>
                <w:sz w:val="24"/>
                <w:szCs w:val="24"/>
                <w:lang w:eastAsia="zh-CN"/>
              </w:rPr>
              <w:t>，</w:t>
            </w:r>
            <w:r>
              <w:rPr>
                <w:rFonts w:hint="eastAsia" w:ascii="仿宋" w:hAnsi="仿宋" w:eastAsia="仿宋"/>
                <w:color w:val="auto"/>
                <w:kern w:val="0"/>
                <w:sz w:val="24"/>
                <w:szCs w:val="24"/>
              </w:rPr>
              <w:t>降低群众高额医疗费用负担，按“保费低、覆盖广、待遇高”的要求，完善普惠政策体系，提升医疗保障水平。</w:t>
            </w:r>
            <w:r>
              <w:rPr>
                <w:rFonts w:hint="eastAsia" w:ascii="仿宋" w:hAnsi="仿宋" w:eastAsia="仿宋"/>
                <w:color w:val="auto"/>
                <w:kern w:val="0"/>
                <w:sz w:val="24"/>
                <w:szCs w:val="24"/>
                <w:lang w:eastAsia="zh-Hans"/>
              </w:rPr>
              <w:t>实行</w:t>
            </w:r>
            <w:r>
              <w:rPr>
                <w:rFonts w:hint="eastAsia" w:ascii="仿宋" w:hAnsi="仿宋" w:eastAsia="仿宋"/>
                <w:color w:val="auto"/>
                <w:kern w:val="0"/>
                <w:sz w:val="24"/>
                <w:szCs w:val="24"/>
              </w:rPr>
              <w:t>清单管理动态调整</w:t>
            </w:r>
            <w:r>
              <w:rPr>
                <w:rFonts w:ascii="仿宋" w:hAnsi="仿宋" w:eastAsia="仿宋"/>
                <w:color w:val="auto"/>
                <w:kern w:val="0"/>
                <w:sz w:val="24"/>
                <w:szCs w:val="24"/>
              </w:rPr>
              <w:t>，</w:t>
            </w:r>
            <w:r>
              <w:rPr>
                <w:rFonts w:hint="eastAsia" w:ascii="仿宋" w:hAnsi="仿宋" w:eastAsia="仿宋"/>
                <w:color w:val="auto"/>
                <w:kern w:val="0"/>
                <w:sz w:val="24"/>
                <w:szCs w:val="24"/>
                <w:lang w:eastAsia="zh-Hans"/>
              </w:rPr>
              <w:t>不断更新完善</w:t>
            </w:r>
            <w:r>
              <w:rPr>
                <w:rFonts w:hint="eastAsia" w:ascii="仿宋" w:hAnsi="仿宋" w:eastAsia="仿宋"/>
                <w:color w:val="auto"/>
                <w:kern w:val="0"/>
                <w:sz w:val="24"/>
                <w:szCs w:val="24"/>
              </w:rPr>
              <w:t>准入清单和负面清单，</w:t>
            </w:r>
            <w:r>
              <w:rPr>
                <w:rFonts w:hint="eastAsia" w:ascii="仿宋" w:hAnsi="仿宋" w:eastAsia="仿宋"/>
                <w:color w:val="auto"/>
                <w:kern w:val="0"/>
                <w:sz w:val="24"/>
                <w:szCs w:val="24"/>
                <w:lang w:eastAsia="zh-Hans"/>
              </w:rPr>
              <w:t>切实减轻参保者医疗费用负担</w:t>
            </w:r>
            <w:r>
              <w:rPr>
                <w:rFonts w:hint="eastAsia" w:ascii="仿宋" w:hAnsi="仿宋" w:eastAsia="仿宋"/>
                <w:color w:val="auto"/>
                <w:kern w:val="0"/>
                <w:sz w:val="24"/>
                <w:szCs w:val="24"/>
              </w:rPr>
              <w:t>。</w:t>
            </w:r>
          </w:p>
          <w:p>
            <w:pPr>
              <w:snapToGrid w:val="0"/>
              <w:spacing w:line="400" w:lineRule="exact"/>
              <w:ind w:firstLine="482" w:firstLineChars="200"/>
              <w:rPr>
                <w:rFonts w:ascii="仿宋" w:hAnsi="仿宋" w:eastAsia="仿宋"/>
                <w:b/>
                <w:bCs/>
                <w:color w:val="auto"/>
                <w:kern w:val="0"/>
                <w:sz w:val="24"/>
                <w:szCs w:val="24"/>
              </w:rPr>
            </w:pPr>
            <w:r>
              <w:rPr>
                <w:rFonts w:hint="eastAsia" w:ascii="仿宋" w:hAnsi="仿宋" w:eastAsia="仿宋"/>
                <w:b/>
                <w:bCs/>
                <w:color w:val="auto"/>
                <w:kern w:val="0"/>
                <w:sz w:val="24"/>
                <w:szCs w:val="24"/>
              </w:rPr>
              <w:t>（四）优化全民健康补充医疗保险</w:t>
            </w:r>
          </w:p>
          <w:p>
            <w:pPr>
              <w:snapToGrid w:val="0"/>
              <w:spacing w:line="400" w:lineRule="exact"/>
              <w:ind w:firstLine="480" w:firstLineChars="200"/>
              <w:rPr>
                <w:rFonts w:ascii="楷体" w:hAnsi="楷体" w:eastAsia="楷体"/>
                <w:color w:val="auto"/>
                <w:kern w:val="0"/>
                <w:sz w:val="24"/>
                <w:szCs w:val="24"/>
              </w:rPr>
            </w:pPr>
            <w:r>
              <w:rPr>
                <w:rFonts w:hint="eastAsia" w:ascii="仿宋" w:hAnsi="仿宋" w:eastAsia="仿宋"/>
                <w:color w:val="auto"/>
                <w:kern w:val="0"/>
                <w:sz w:val="24"/>
                <w:szCs w:val="24"/>
              </w:rPr>
              <w:t>充分发挥全民健康补充医疗保险（“浙丽保”）的保障效应，强化梯次减负功能，促进多层次医疗保障体系建设制度化。一是强化基础管理，围绕参保扩面</w:t>
            </w:r>
            <w:r>
              <w:rPr>
                <w:rFonts w:hint="eastAsia" w:ascii="仿宋" w:hAnsi="仿宋" w:eastAsia="仿宋"/>
                <w:color w:val="auto"/>
                <w:kern w:val="0"/>
                <w:sz w:val="24"/>
                <w:szCs w:val="24"/>
                <w:lang w:eastAsia="zh-Hans"/>
              </w:rPr>
              <w:t>的目标</w:t>
            </w:r>
            <w:r>
              <w:rPr>
                <w:rFonts w:hint="eastAsia" w:ascii="仿宋" w:hAnsi="仿宋" w:eastAsia="仿宋"/>
                <w:color w:val="auto"/>
                <w:kern w:val="0"/>
                <w:sz w:val="24"/>
                <w:szCs w:val="24"/>
              </w:rPr>
              <w:t>，</w:t>
            </w:r>
            <w:r>
              <w:rPr>
                <w:rFonts w:hint="eastAsia" w:ascii="仿宋" w:hAnsi="仿宋" w:eastAsia="仿宋"/>
                <w:color w:val="auto"/>
                <w:kern w:val="0"/>
                <w:sz w:val="24"/>
                <w:szCs w:val="24"/>
                <w:lang w:eastAsia="zh-Hans"/>
              </w:rPr>
              <w:t>持续做好</w:t>
            </w:r>
            <w:r>
              <w:rPr>
                <w:rFonts w:hint="eastAsia" w:ascii="仿宋" w:hAnsi="仿宋" w:eastAsia="仿宋"/>
                <w:color w:val="auto"/>
                <w:kern w:val="0"/>
                <w:sz w:val="24"/>
                <w:szCs w:val="24"/>
              </w:rPr>
              <w:t>宣传引导，提高市民群众的政策知晓度和认可度</w:t>
            </w:r>
            <w:r>
              <w:rPr>
                <w:rFonts w:ascii="仿宋" w:hAnsi="仿宋" w:eastAsia="仿宋"/>
                <w:color w:val="auto"/>
                <w:kern w:val="0"/>
                <w:sz w:val="24"/>
                <w:szCs w:val="24"/>
              </w:rPr>
              <w:t>，</w:t>
            </w:r>
            <w:r>
              <w:rPr>
                <w:rFonts w:hint="eastAsia" w:ascii="仿宋" w:hAnsi="仿宋" w:eastAsia="仿宋"/>
                <w:color w:val="auto"/>
                <w:kern w:val="0"/>
                <w:sz w:val="24"/>
                <w:szCs w:val="24"/>
              </w:rPr>
              <w:t>大力提升参保率。规范保费收集、待遇支付、服务管理费用列支管理，会同银保监等部门对承保机构做好监督指导，推动保费归集规范、待遇支付及时和管理费用合理使用。二是强化过程管理，建立专家评审制度，根据群众治疗需求和基金支撑能力，做好与基本医保目录的衔接，动态调整“浙丽保”保障目录。推进总额预算下的复合型支付方式覆盖到目录外费用，会同承保机构组建监管队伍完善医疗费用智能审核工作，对目录外药品、诊疗项目、医用材料使用进行重点监控分析，加大对欺诈骗保行为的打击力度，促进“浙丽保”制度的稳健运行。三是强化目标管理，坚持高标准、高定位，致力于为全省、全国多层次医疗保障体系建设提供可复制、可推广的经验，提高医疗保险和商业健康保险融合发展的可持续性。</w:t>
            </w:r>
          </w:p>
        </w:tc>
      </w:tr>
    </w:tbl>
    <w:p>
      <w:pPr>
        <w:rPr>
          <w:rFonts w:ascii="仿宋_GB2312" w:eastAsia="仿宋_GB2312"/>
          <w:color w:val="auto"/>
          <w:sz w:val="28"/>
          <w:szCs w:val="32"/>
        </w:rPr>
      </w:pP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3.提升医疗救助精准化水平。</w:t>
      </w:r>
      <w:r>
        <w:rPr>
          <w:rFonts w:hint="eastAsia" w:ascii="仿宋_GB2312" w:eastAsia="仿宋_GB2312"/>
          <w:color w:val="auto"/>
          <w:sz w:val="28"/>
          <w:szCs w:val="32"/>
        </w:rPr>
        <w:t>在实现全市符合条件的困难群众资助参保率和救助政策落实率“两个百分百”的基础上，认真落实扶贫领域“两不愁三保障”的有关要求，进一步提升医疗救助精准化水平。完善基本医疗保险、大病保险、医疗救助</w:t>
      </w:r>
      <w:r>
        <w:rPr>
          <w:rFonts w:hint="eastAsia" w:ascii="仿宋_GB2312" w:eastAsia="仿宋_GB2312"/>
          <w:color w:val="auto"/>
          <w:sz w:val="28"/>
          <w:szCs w:val="32"/>
          <w:lang w:eastAsia="zh-CN"/>
        </w:rPr>
        <w:t>、</w:t>
      </w:r>
      <w:r>
        <w:rPr>
          <w:rFonts w:hint="eastAsia" w:ascii="仿宋_GB2312" w:eastAsia="仿宋_GB2312"/>
          <w:color w:val="auto"/>
          <w:sz w:val="28"/>
          <w:szCs w:val="32"/>
        </w:rPr>
        <w:t>商业健康补充医疗保险</w:t>
      </w:r>
      <w:r>
        <w:rPr>
          <w:rFonts w:hint="eastAsia" w:ascii="仿宋_GB2312" w:eastAsia="仿宋_GB2312"/>
          <w:color w:val="auto"/>
          <w:sz w:val="28"/>
          <w:szCs w:val="32"/>
          <w:lang w:eastAsia="zh-CN"/>
        </w:rPr>
        <w:t>和慈善救助等</w:t>
      </w:r>
      <w:r>
        <w:rPr>
          <w:rFonts w:hint="eastAsia" w:ascii="仿宋_GB2312" w:eastAsia="仿宋_GB2312"/>
          <w:color w:val="auto"/>
          <w:sz w:val="28"/>
          <w:szCs w:val="32"/>
        </w:rPr>
        <w:t>多层次医疗保障体系，全面落实为全市各特困供养人员和低保、低边家庭成员等重点对象参加基本医疗保险、大病保险的个人缴费部分给予全额补助政策。完善重特大疾病医疗保障和救助制度，构建医疗保障防贫减贫长效机制，落实大病保险向困难人员倾斜，稳步调高年度救助限额，进一步提升困难人群医疗救助待遇水平。健全医疗救助对象动态认定核查机制，在考虑家庭收入状况基础上，按照支出型贫困帮扶原则，根据医疗费用实际支出情况，合理确定医疗救助对象范围，提升医疗救助精准化水平。建立健全贫困人员因疾病高额费用负担监测预警机制，落实医疗救助对象信息数据共享，实现医疗救助事项智能筛选、精准识别。实行医疗救助“一站式”结算，切实减轻困难群众看病就医垫资负担。联合卫生健康部门做好困难人员统一诊疗路径和规划转诊工作，降低困难人员就医成本。同时，强化基本医保、大病保险、医疗救助、商业健康保险及慈善等制度协同，</w:t>
      </w:r>
      <w:r>
        <w:rPr>
          <w:rFonts w:hint="eastAsia" w:ascii="仿宋_GB2312" w:eastAsia="仿宋_GB2312"/>
          <w:color w:val="auto"/>
          <w:sz w:val="28"/>
          <w:szCs w:val="32"/>
          <w:lang w:eastAsia="zh-CN"/>
        </w:rPr>
        <w:t>与相关部门共同</w:t>
      </w:r>
      <w:r>
        <w:rPr>
          <w:rFonts w:hint="eastAsia" w:ascii="仿宋_GB2312" w:eastAsia="仿宋_GB2312"/>
          <w:color w:val="auto"/>
          <w:sz w:val="28"/>
          <w:szCs w:val="32"/>
        </w:rPr>
        <w:t>建立医疗救助基金社会捐赠制度，鼓励社会慈善捐赠，加快建立医疗救助与慈善事业的有效衔接机制，畅通社会力量参与医疗救助渠道，支持和鼓励慈善组织、专业社会工作机构参与医疗救助。</w:t>
      </w:r>
    </w:p>
    <w:p>
      <w:pPr>
        <w:ind w:firstLine="562" w:firstLineChars="200"/>
        <w:rPr>
          <w:rFonts w:hint="eastAsia" w:ascii="仿宋_GB2312" w:eastAsia="仿宋_GB2312"/>
          <w:color w:val="auto"/>
          <w:sz w:val="28"/>
          <w:szCs w:val="32"/>
        </w:rPr>
      </w:pPr>
      <w:r>
        <w:rPr>
          <w:rFonts w:hint="eastAsia" w:ascii="仿宋_GB2312" w:eastAsia="仿宋_GB2312"/>
          <w:b/>
          <w:bCs/>
          <w:color w:val="auto"/>
          <w:sz w:val="28"/>
          <w:szCs w:val="32"/>
        </w:rPr>
        <w:t>4.探索建立长期护理保险制度。</w:t>
      </w:r>
      <w:r>
        <w:rPr>
          <w:rFonts w:hint="eastAsia" w:ascii="仿宋_GB2312" w:eastAsia="仿宋_GB2312"/>
          <w:color w:val="auto"/>
          <w:sz w:val="28"/>
          <w:szCs w:val="32"/>
        </w:rPr>
        <w:t>在省级统一部署之下，通过标准化路径深入推进长期护理保险制度试点，探索建立长期护理保险制度。重点解决包括失能老人、重度残疾人在内的重度失能人员基本护理保障需求。建立健全长期护理保险相关的服务目录清单、标准及管理办法，探索为长期失能人员提供基本生活照料与提供医疗护理服务保障或资金保障相结合的服务方式。鼓励全市护理服务市场发展，加强护理人员队伍建设，进一步探索完善对护理服务机构和从业人员的协议管理和监督稽核等制度。同时，加快长期护理保险系统平台建设，逐步实现与协议护理服务机构及其他行业领域信息平台的信息共享和互联互通。</w:t>
      </w:r>
      <w:bookmarkStart w:id="10" w:name="_Toc81666351"/>
    </w:p>
    <w:p>
      <w:pPr>
        <w:ind w:firstLine="560" w:firstLineChars="200"/>
        <w:rPr>
          <w:rFonts w:ascii="楷体_GB2312" w:eastAsia="楷体_GB2312"/>
          <w:color w:val="auto"/>
          <w:sz w:val="28"/>
          <w:szCs w:val="28"/>
        </w:rPr>
      </w:pPr>
      <w:r>
        <w:rPr>
          <w:rFonts w:hint="eastAsia" w:ascii="楷体_GB2312" w:eastAsia="楷体_GB2312"/>
          <w:color w:val="auto"/>
          <w:sz w:val="28"/>
          <w:szCs w:val="28"/>
        </w:rPr>
        <w:t>（二）优化医疗保障运行机制</w:t>
      </w:r>
      <w:bookmarkEnd w:id="10"/>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1</w:t>
      </w:r>
      <w:r>
        <w:rPr>
          <w:rFonts w:ascii="仿宋_GB2312" w:eastAsia="仿宋_GB2312"/>
          <w:b/>
          <w:bCs/>
          <w:color w:val="auto"/>
          <w:sz w:val="28"/>
          <w:szCs w:val="32"/>
        </w:rPr>
        <w:t>.</w:t>
      </w:r>
      <w:r>
        <w:rPr>
          <w:rFonts w:hint="eastAsia" w:ascii="仿宋_GB2312" w:eastAsia="仿宋_GB2312"/>
          <w:b/>
          <w:bCs/>
          <w:color w:val="auto"/>
          <w:sz w:val="28"/>
          <w:szCs w:val="32"/>
        </w:rPr>
        <w:t>建立医保目录的动态管理机制。</w:t>
      </w:r>
      <w:r>
        <w:rPr>
          <w:rFonts w:hint="eastAsia" w:ascii="仿宋_GB2312" w:eastAsia="仿宋_GB2312"/>
          <w:color w:val="auto"/>
          <w:sz w:val="28"/>
          <w:szCs w:val="32"/>
        </w:rPr>
        <w:t>严格执行国家和省医保局的基本医疗保险目录及医保用药限定支付范围，实现医保目录动态调整、支付管理规范化、制度化。规范医院自制制剂管理和医疗服务设施支付范围。加强高值医用耗材规范化管理，明确治理范围，将单价和资源消耗占比相对较高的高值医用耗材作为重点治理对象。</w:t>
      </w:r>
    </w:p>
    <w:p>
      <w:pPr>
        <w:ind w:firstLine="562" w:firstLineChars="200"/>
        <w:rPr>
          <w:rFonts w:ascii="仿宋_GB2312" w:eastAsia="仿宋_GB2312"/>
          <w:color w:val="auto"/>
          <w:sz w:val="28"/>
          <w:szCs w:val="32"/>
        </w:rPr>
      </w:pPr>
      <w:r>
        <w:rPr>
          <w:rFonts w:ascii="仿宋_GB2312" w:eastAsia="仿宋_GB2312"/>
          <w:b/>
          <w:bCs/>
          <w:color w:val="auto"/>
          <w:sz w:val="28"/>
          <w:szCs w:val="32"/>
        </w:rPr>
        <w:t>2.</w:t>
      </w:r>
      <w:r>
        <w:rPr>
          <w:rFonts w:hint="eastAsia" w:ascii="仿宋_GB2312" w:eastAsia="仿宋_GB2312"/>
          <w:b/>
          <w:bCs/>
          <w:color w:val="auto"/>
          <w:sz w:val="28"/>
          <w:szCs w:val="32"/>
        </w:rPr>
        <w:t>完善基本医疗保障待遇机制。</w:t>
      </w:r>
      <w:r>
        <w:rPr>
          <w:rFonts w:hint="eastAsia" w:ascii="仿宋_GB2312" w:eastAsia="仿宋_GB2312"/>
          <w:color w:val="auto"/>
          <w:sz w:val="28"/>
          <w:szCs w:val="32"/>
        </w:rPr>
        <w:t>积极落实基本医疗保险待遇清单制度，促进基本医疗保险与大病保险、医疗救助、商业保险等其他各类医疗保障政策有效衔接、优势互补，逐步提高医疗保障水平。合理引导群众预期，稳定住院费用待遇保障水平，</w:t>
      </w:r>
      <w:r>
        <w:rPr>
          <w:rFonts w:hint="eastAsia" w:ascii="仿宋_GB2312" w:eastAsia="仿宋_GB2312"/>
          <w:color w:val="auto"/>
          <w:sz w:val="28"/>
          <w:szCs w:val="32"/>
          <w:lang w:val="en-US" w:eastAsia="zh-CN"/>
        </w:rPr>
        <w:t>推进个人账户改革，</w:t>
      </w:r>
      <w:r>
        <w:rPr>
          <w:rFonts w:hint="eastAsia" w:ascii="仿宋_GB2312" w:eastAsia="仿宋_GB2312"/>
          <w:color w:val="auto"/>
          <w:sz w:val="28"/>
          <w:szCs w:val="32"/>
        </w:rPr>
        <w:t>适当提高门诊费用待遇保障水平，优化待遇支付结构，逐步缩小职工医保和居民医保待遇保障差距。</w:t>
      </w:r>
    </w:p>
    <w:p>
      <w:pPr>
        <w:ind w:firstLine="562" w:firstLineChars="200"/>
        <w:rPr>
          <w:rFonts w:ascii="仿宋_GB2312" w:eastAsia="仿宋_GB2312"/>
          <w:color w:val="auto"/>
          <w:sz w:val="28"/>
          <w:szCs w:val="32"/>
        </w:rPr>
      </w:pPr>
      <w:r>
        <w:rPr>
          <w:rFonts w:ascii="仿宋_GB2312" w:eastAsia="仿宋_GB2312"/>
          <w:b/>
          <w:bCs/>
          <w:color w:val="auto"/>
          <w:sz w:val="28"/>
          <w:szCs w:val="32"/>
        </w:rPr>
        <w:t>3.</w:t>
      </w:r>
      <w:r>
        <w:rPr>
          <w:rFonts w:hint="eastAsia" w:ascii="仿宋_GB2312" w:eastAsia="仿宋_GB2312"/>
          <w:b/>
          <w:bCs/>
          <w:color w:val="auto"/>
          <w:sz w:val="28"/>
          <w:szCs w:val="32"/>
        </w:rPr>
        <w:t>完善基本医疗保障筹资机制。</w:t>
      </w:r>
      <w:r>
        <w:rPr>
          <w:rFonts w:hint="eastAsia" w:ascii="仿宋_GB2312" w:eastAsia="仿宋_GB2312"/>
          <w:color w:val="auto"/>
          <w:sz w:val="28"/>
          <w:szCs w:val="32"/>
        </w:rPr>
        <w:t>均衡个人、用人单位、政府三方筹资缴费责任，就业人员参保由用人单位和个人共同缴费，非就业人员参保实行个人缴费与政府按规定补助相结合，完善医保筹资分担比例动态调整机制，优化筹资结构。适应新业态的发展，探索建立新业态从业人员参保缴费机制，丰富拓展参保缴费方式和渠道，提高参保率。建立基本医疗保险基准费率制度，规范缴费基数政策，合理确定费率，动态调整完善。</w:t>
      </w:r>
    </w:p>
    <w:p>
      <w:pPr>
        <w:ind w:firstLine="562" w:firstLineChars="200"/>
        <w:rPr>
          <w:rFonts w:ascii="仿宋_GB2312" w:eastAsia="仿宋_GB2312"/>
          <w:color w:val="auto"/>
          <w:sz w:val="28"/>
          <w:szCs w:val="32"/>
        </w:rPr>
      </w:pPr>
      <w:r>
        <w:rPr>
          <w:rFonts w:ascii="仿宋_GB2312" w:eastAsia="仿宋_GB2312"/>
          <w:b/>
          <w:bCs/>
          <w:color w:val="auto"/>
          <w:sz w:val="28"/>
          <w:szCs w:val="32"/>
        </w:rPr>
        <w:t>4.</w:t>
      </w:r>
      <w:r>
        <w:rPr>
          <w:rFonts w:hint="eastAsia" w:ascii="仿宋_GB2312" w:eastAsia="仿宋_GB2312"/>
          <w:b/>
          <w:bCs/>
          <w:color w:val="auto"/>
          <w:sz w:val="28"/>
          <w:szCs w:val="32"/>
        </w:rPr>
        <w:t>全面实现多元复合式医保支付方式改革。</w:t>
      </w:r>
      <w:r>
        <w:rPr>
          <w:rFonts w:hint="eastAsia" w:ascii="仿宋_GB2312" w:eastAsia="仿宋_GB2312"/>
          <w:color w:val="auto"/>
          <w:sz w:val="28"/>
          <w:szCs w:val="32"/>
        </w:rPr>
        <w:t>充分发挥医保支付的激励约束作用，完善总额预算管理下按病种、按床日、按人头等支付方式，强化多元复合医保支付体系建设，推动支付方式改革工作进一步提质扩面。参保人员住院医疗费用全面实施DRG</w:t>
      </w:r>
      <w:r>
        <w:rPr>
          <w:rFonts w:ascii="仿宋_GB2312" w:eastAsia="仿宋_GB2312"/>
          <w:color w:val="auto"/>
          <w:sz w:val="28"/>
          <w:szCs w:val="32"/>
        </w:rPr>
        <w:t>s</w:t>
      </w:r>
      <w:r>
        <w:rPr>
          <w:rFonts w:hint="eastAsia" w:ascii="仿宋_GB2312" w:eastAsia="仿宋_GB2312"/>
          <w:color w:val="auto"/>
          <w:sz w:val="28"/>
          <w:szCs w:val="32"/>
        </w:rPr>
        <w:t>点数付费，持续完善D</w:t>
      </w:r>
      <w:r>
        <w:rPr>
          <w:rFonts w:ascii="仿宋_GB2312" w:eastAsia="仿宋_GB2312"/>
          <w:color w:val="auto"/>
          <w:sz w:val="28"/>
          <w:szCs w:val="32"/>
        </w:rPr>
        <w:t>RGs</w:t>
      </w:r>
      <w:r>
        <w:rPr>
          <w:rFonts w:hint="eastAsia" w:ascii="仿宋_GB2312" w:eastAsia="仿宋_GB2312"/>
          <w:color w:val="auto"/>
          <w:sz w:val="28"/>
          <w:szCs w:val="32"/>
        </w:rPr>
        <w:t>分组方案和付费规则。普通门诊和门诊特殊病种、慢性病全面纳入门诊按人头付费，控费管理对定点医疗机构实行全面覆盖。继续推进家庭医生签约服务制度，完善家庭医生签约服务的费用结算方式。完善适宜基层医疗机构开展的病种范围。探索实现基本医疗服务与公共卫生服务的有效衔接。</w:t>
      </w:r>
    </w:p>
    <w:p>
      <w:pPr>
        <w:ind w:firstLine="562" w:firstLineChars="200"/>
        <w:rPr>
          <w:rFonts w:ascii="仿宋_GB2312" w:eastAsia="仿宋_GB2312"/>
          <w:color w:val="auto"/>
          <w:sz w:val="28"/>
          <w:szCs w:val="32"/>
        </w:rPr>
      </w:pPr>
      <w:r>
        <w:rPr>
          <w:rFonts w:ascii="仿宋_GB2312" w:eastAsia="仿宋_GB2312"/>
          <w:b/>
          <w:bCs/>
          <w:color w:val="auto"/>
          <w:sz w:val="28"/>
          <w:szCs w:val="32"/>
        </w:rPr>
        <w:t>5.</w:t>
      </w:r>
      <w:r>
        <w:rPr>
          <w:rFonts w:hint="eastAsia" w:ascii="仿宋_GB2312" w:eastAsia="仿宋_GB2312"/>
          <w:b/>
          <w:bCs/>
          <w:color w:val="auto"/>
          <w:sz w:val="28"/>
          <w:szCs w:val="32"/>
        </w:rPr>
        <w:t>加强基本医疗保险协议管理。</w:t>
      </w:r>
      <w:r>
        <w:rPr>
          <w:rFonts w:hint="eastAsia" w:ascii="仿宋_GB2312" w:eastAsia="仿宋_GB2312"/>
          <w:color w:val="auto"/>
          <w:sz w:val="28"/>
          <w:szCs w:val="32"/>
        </w:rPr>
        <w:t>完善医药机构定点协议全流程管理，简化、优化定点申请、专业评估、协商谈判程序。建立健全定点医药机构履行协议的监督和考核制度，强化行为规范、服务质量和费用控制考核评价，将考核结果与医保基金支付挂钩，完善定点医药机构退出机制。支持“互联网+医疗”等新服务模式发展，推行医保协议网上签约，利用大数据技术对定点医疗机构进行动态监测，探索符合“互联网+医疗”特点的基金监管机制。</w:t>
      </w:r>
    </w:p>
    <w:p>
      <w:pPr>
        <w:pStyle w:val="3"/>
        <w:spacing w:before="0" w:after="0" w:line="360" w:lineRule="auto"/>
        <w:ind w:firstLine="562" w:firstLineChars="200"/>
        <w:rPr>
          <w:rFonts w:ascii="楷体_GB2312" w:eastAsia="楷体_GB2312"/>
          <w:color w:val="auto"/>
          <w:sz w:val="28"/>
          <w:szCs w:val="28"/>
        </w:rPr>
      </w:pPr>
      <w:bookmarkStart w:id="11" w:name="_Toc81666352"/>
      <w:r>
        <w:rPr>
          <w:rFonts w:hint="eastAsia" w:ascii="楷体_GB2312" w:eastAsia="楷体_GB2312"/>
          <w:color w:val="auto"/>
          <w:sz w:val="28"/>
          <w:szCs w:val="28"/>
        </w:rPr>
        <w:t>（三）协同推进医药服务供给侧改革</w:t>
      </w:r>
      <w:bookmarkEnd w:id="11"/>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1</w:t>
      </w:r>
      <w:r>
        <w:rPr>
          <w:rFonts w:ascii="仿宋_GB2312" w:eastAsia="仿宋_GB2312"/>
          <w:b/>
          <w:bCs/>
          <w:color w:val="auto"/>
          <w:sz w:val="28"/>
          <w:szCs w:val="32"/>
        </w:rPr>
        <w:t>.</w:t>
      </w:r>
      <w:r>
        <w:rPr>
          <w:rFonts w:hint="eastAsia" w:ascii="仿宋_GB2312" w:eastAsia="仿宋_GB2312"/>
          <w:b/>
          <w:bCs/>
          <w:color w:val="auto"/>
          <w:sz w:val="28"/>
          <w:szCs w:val="32"/>
        </w:rPr>
        <w:t>深化药械集中带量采购制度改革</w:t>
      </w:r>
      <w:r>
        <w:rPr>
          <w:rFonts w:ascii="仿宋_GB2312" w:eastAsia="仿宋_GB2312"/>
          <w:b/>
          <w:bCs/>
          <w:color w:val="auto"/>
          <w:sz w:val="28"/>
          <w:szCs w:val="32"/>
        </w:rPr>
        <w:t>。</w:t>
      </w:r>
      <w:r>
        <w:rPr>
          <w:rFonts w:ascii="仿宋_GB2312" w:eastAsia="仿宋_GB2312"/>
          <w:color w:val="auto"/>
          <w:sz w:val="28"/>
          <w:szCs w:val="32"/>
        </w:rPr>
        <w:t>坚持招采合一、量价挂钩原则，按照政府组织、联盟采购、平台操作总体思路，</w:t>
      </w:r>
      <w:r>
        <w:rPr>
          <w:rFonts w:hint="eastAsia" w:ascii="仿宋_GB2312" w:eastAsia="仿宋_GB2312"/>
          <w:color w:val="auto"/>
          <w:sz w:val="28"/>
          <w:szCs w:val="32"/>
          <w:lang w:eastAsia="zh-Hans"/>
        </w:rPr>
        <w:t>落实</w:t>
      </w:r>
      <w:r>
        <w:rPr>
          <w:rFonts w:ascii="仿宋_GB2312" w:eastAsia="仿宋_GB2312"/>
          <w:color w:val="auto"/>
          <w:sz w:val="28"/>
          <w:szCs w:val="32"/>
        </w:rPr>
        <w:t>“省级统筹、省市联动、市级联合”的药械集中带量采购新模式。稳步推进药品带量采购，降低企业交易成本，</w:t>
      </w:r>
      <w:r>
        <w:rPr>
          <w:rFonts w:hint="eastAsia" w:ascii="仿宋_GB2312" w:eastAsia="仿宋_GB2312"/>
          <w:color w:val="auto"/>
          <w:sz w:val="28"/>
          <w:szCs w:val="32"/>
          <w:lang w:eastAsia="zh-Hans"/>
        </w:rPr>
        <w:t>积极参与长三角区域性联盟采购机制构建</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根据省医疗保障局统一部署</w:t>
      </w:r>
      <w:r>
        <w:rPr>
          <w:rFonts w:ascii="仿宋_GB2312" w:eastAsia="仿宋_GB2312"/>
          <w:color w:val="auto"/>
          <w:sz w:val="28"/>
          <w:szCs w:val="32"/>
          <w:lang w:eastAsia="zh-Hans"/>
        </w:rPr>
        <w:t>，完善医保支付标准与集中采购中选价格协同机制，</w:t>
      </w:r>
      <w:r>
        <w:rPr>
          <w:rFonts w:hint="eastAsia" w:ascii="仿宋_GB2312" w:eastAsia="仿宋_GB2312"/>
          <w:color w:val="auto"/>
          <w:sz w:val="28"/>
          <w:szCs w:val="32"/>
          <w:lang w:eastAsia="zh-Hans"/>
        </w:rPr>
        <w:t>落实</w:t>
      </w:r>
      <w:r>
        <w:rPr>
          <w:rFonts w:ascii="仿宋_GB2312" w:eastAsia="仿宋_GB2312"/>
          <w:color w:val="auto"/>
          <w:sz w:val="28"/>
          <w:szCs w:val="32"/>
          <w:lang w:eastAsia="zh-Hans"/>
        </w:rPr>
        <w:t>带量采购月度监测制度、院长约谈制度</w:t>
      </w:r>
      <w:r>
        <w:rPr>
          <w:rFonts w:hint="eastAsia" w:ascii="仿宋_GB2312" w:eastAsia="仿宋_GB2312"/>
          <w:color w:val="auto"/>
          <w:sz w:val="28"/>
          <w:szCs w:val="32"/>
          <w:lang w:eastAsia="zh-Hans"/>
        </w:rPr>
        <w:t>与</w:t>
      </w:r>
      <w:r>
        <w:rPr>
          <w:rFonts w:ascii="仿宋_GB2312" w:eastAsia="仿宋_GB2312"/>
          <w:color w:val="auto"/>
          <w:sz w:val="28"/>
          <w:szCs w:val="32"/>
          <w:lang w:eastAsia="zh-Hans"/>
        </w:rPr>
        <w:t>信息反馈制度，</w:t>
      </w:r>
      <w:r>
        <w:rPr>
          <w:rFonts w:hint="eastAsia" w:ascii="仿宋_GB2312" w:eastAsia="仿宋_GB2312"/>
          <w:color w:val="auto"/>
          <w:sz w:val="28"/>
          <w:szCs w:val="32"/>
          <w:lang w:eastAsia="zh-Hans"/>
        </w:rPr>
        <w:t>确保完成药品</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医用耗材集中带量采购工作</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推进市级药品耗材招采联盟建设</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强化市域内药品</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耗材集中招采工作</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全面落实国家、省各项药品、耗材带量采购任务，执行药品、耗材采购政策，针对全市公立医疗机构临床使用较多、临床应用较成熟的部分药品、医用耗材，探索开展全市统一的集中招标采购、谈判</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深化</w:t>
      </w:r>
      <w:r>
        <w:rPr>
          <w:rFonts w:ascii="仿宋_GB2312" w:eastAsia="仿宋_GB2312"/>
          <w:color w:val="auto"/>
          <w:sz w:val="28"/>
          <w:szCs w:val="32"/>
          <w:lang w:eastAsia="zh-Hans"/>
        </w:rPr>
        <w:t>“浙丽保”药品、耗材采购谈判</w:t>
      </w:r>
      <w:r>
        <w:rPr>
          <w:rFonts w:hint="eastAsia" w:ascii="仿宋_GB2312" w:eastAsia="仿宋_GB2312"/>
          <w:color w:val="auto"/>
          <w:sz w:val="28"/>
          <w:szCs w:val="32"/>
          <w:lang w:eastAsia="zh-Hans"/>
        </w:rPr>
        <w:t>工作</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持续推进“浙丽保”负面清单内药品、医用耗材谈判，加强对“浙丽保”合理医疗费用内的药品、医用耗材的采购管理</w:t>
      </w:r>
      <w:r>
        <w:rPr>
          <w:rFonts w:ascii="仿宋_GB2312" w:eastAsia="仿宋_GB2312"/>
          <w:color w:val="auto"/>
          <w:sz w:val="28"/>
          <w:szCs w:val="32"/>
          <w:lang w:eastAsia="zh-Hans"/>
        </w:rPr>
        <w:t>。完善药品、医用耗材供应保障机制，健全短缺药品监测预警机制。加强药品价格异常情况监测预警，落实短缺药品直接挂网采购政策，做好保供稳价工作。</w:t>
      </w:r>
      <w:r>
        <w:rPr>
          <w:rFonts w:hint="eastAsia" w:ascii="仿宋_GB2312" w:eastAsia="仿宋_GB2312"/>
          <w:color w:val="auto"/>
          <w:sz w:val="28"/>
          <w:szCs w:val="32"/>
          <w:lang w:eastAsia="zh-Hans"/>
        </w:rPr>
        <w:t>推动公立医疗机构自行采购机制规范发展</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健全短缺药品供应保障体系</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切实满足临床需求</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强化各主体间信息共享与沟通协作</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探索实现</w:t>
      </w:r>
      <w:r>
        <w:rPr>
          <w:rFonts w:ascii="仿宋_GB2312" w:eastAsia="仿宋_GB2312"/>
          <w:color w:val="auto"/>
          <w:sz w:val="28"/>
          <w:szCs w:val="32"/>
        </w:rPr>
        <w:t>药品和医用耗材采购、配送、使用、结算、支付等全周期管理。</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2</w:t>
      </w:r>
      <w:r>
        <w:rPr>
          <w:rFonts w:ascii="仿宋_GB2312" w:eastAsia="仿宋_GB2312"/>
          <w:b/>
          <w:bCs/>
          <w:color w:val="auto"/>
          <w:sz w:val="28"/>
          <w:szCs w:val="32"/>
        </w:rPr>
        <w:t>.</w:t>
      </w:r>
      <w:r>
        <w:rPr>
          <w:rFonts w:hint="eastAsia" w:ascii="仿宋_GB2312" w:eastAsia="仿宋_GB2312"/>
          <w:b/>
          <w:bCs/>
          <w:color w:val="auto"/>
          <w:sz w:val="28"/>
          <w:szCs w:val="32"/>
        </w:rPr>
        <w:t>持续推进医药服务价格改革</w:t>
      </w:r>
      <w:r>
        <w:rPr>
          <w:rFonts w:ascii="仿宋_GB2312" w:eastAsia="仿宋_GB2312"/>
          <w:b/>
          <w:bCs/>
          <w:color w:val="auto"/>
          <w:sz w:val="28"/>
          <w:szCs w:val="32"/>
        </w:rPr>
        <w:t>。</w:t>
      </w:r>
      <w:r>
        <w:rPr>
          <w:rFonts w:ascii="仿宋_GB2312" w:eastAsia="仿宋_GB2312"/>
          <w:color w:val="auto"/>
          <w:sz w:val="28"/>
          <w:szCs w:val="32"/>
        </w:rPr>
        <w:t>建立以市场为主导的药品、医用耗材价格形成机制，推进本市交易价格信息与省内其它地市交易价格信息共享。</w:t>
      </w:r>
      <w:r>
        <w:rPr>
          <w:rFonts w:hint="eastAsia" w:ascii="仿宋_GB2312" w:eastAsia="仿宋_GB2312"/>
          <w:color w:val="auto"/>
          <w:sz w:val="28"/>
          <w:szCs w:val="32"/>
          <w:lang w:eastAsia="zh-Hans"/>
        </w:rPr>
        <w:t>加强</w:t>
      </w:r>
      <w:r>
        <w:rPr>
          <w:rFonts w:ascii="仿宋_GB2312" w:eastAsia="仿宋_GB2312"/>
          <w:color w:val="auto"/>
          <w:sz w:val="28"/>
          <w:szCs w:val="32"/>
        </w:rPr>
        <w:t>药品、医用耗材和医疗服务项目价格常态化监测，</w:t>
      </w:r>
      <w:r>
        <w:rPr>
          <w:rFonts w:hint="eastAsia" w:ascii="仿宋_GB2312" w:eastAsia="仿宋_GB2312"/>
          <w:color w:val="auto"/>
          <w:sz w:val="28"/>
          <w:szCs w:val="32"/>
          <w:lang w:eastAsia="zh-Hans"/>
        </w:rPr>
        <w:t>完善医药价格信息发布机制</w:t>
      </w:r>
      <w:r>
        <w:rPr>
          <w:rFonts w:ascii="仿宋_GB2312" w:eastAsia="仿宋_GB2312"/>
          <w:color w:val="auto"/>
          <w:sz w:val="28"/>
          <w:szCs w:val="32"/>
        </w:rPr>
        <w:t>。按照 “控总量、腾空间、调结构、保衔接、强监管”的改革路径和 “总量控制、结构调整、有升有降、逐步到位”的调价原则，降低药品、耗材、检查、化验等费用，逐步理顺医疗服务比价关系，持续优化医疗服务价格结构。</w:t>
      </w:r>
      <w:r>
        <w:rPr>
          <w:rFonts w:hint="eastAsia" w:ascii="仿宋_GB2312" w:eastAsia="仿宋_GB2312"/>
          <w:color w:val="auto"/>
          <w:sz w:val="28"/>
          <w:szCs w:val="32"/>
          <w:lang w:eastAsia="zh-Hans"/>
        </w:rPr>
        <w:t>推进分级定价机制</w:t>
      </w:r>
      <w:r>
        <w:rPr>
          <w:rFonts w:ascii="仿宋_GB2312" w:eastAsia="仿宋_GB2312"/>
          <w:color w:val="auto"/>
          <w:sz w:val="28"/>
          <w:szCs w:val="32"/>
          <w:lang w:eastAsia="zh-Hans"/>
        </w:rPr>
        <w:t>，</w:t>
      </w:r>
      <w:r>
        <w:rPr>
          <w:rFonts w:ascii="仿宋_GB2312" w:eastAsia="仿宋_GB2312"/>
          <w:color w:val="auto"/>
          <w:sz w:val="28"/>
          <w:szCs w:val="32"/>
        </w:rPr>
        <w:t>出台市、县（</w:t>
      </w:r>
      <w:r>
        <w:rPr>
          <w:rFonts w:hint="eastAsia" w:ascii="仿宋_GB2312" w:eastAsia="仿宋_GB2312"/>
          <w:color w:val="auto"/>
          <w:sz w:val="28"/>
          <w:szCs w:val="32"/>
          <w:lang w:eastAsia="zh-Hans"/>
        </w:rPr>
        <w:t>市</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区</w:t>
      </w:r>
      <w:r>
        <w:rPr>
          <w:rFonts w:ascii="仿宋_GB2312" w:eastAsia="仿宋_GB2312"/>
          <w:color w:val="auto"/>
          <w:sz w:val="28"/>
          <w:szCs w:val="32"/>
          <w:lang w:eastAsia="zh-Hans"/>
        </w:rPr>
        <w:t>）</w:t>
      </w:r>
      <w:r>
        <w:rPr>
          <w:rFonts w:ascii="仿宋_GB2312" w:eastAsia="仿宋_GB2312"/>
          <w:color w:val="auto"/>
          <w:sz w:val="28"/>
          <w:szCs w:val="32"/>
        </w:rPr>
        <w:t>联动的医疗服务价格改革</w:t>
      </w:r>
      <w:r>
        <w:rPr>
          <w:rFonts w:hint="eastAsia" w:ascii="仿宋_GB2312" w:eastAsia="仿宋_GB2312"/>
          <w:color w:val="auto"/>
          <w:sz w:val="28"/>
          <w:szCs w:val="32"/>
          <w:lang w:eastAsia="zh-Hans"/>
        </w:rPr>
        <w:t>政策</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探索建立科学的</w:t>
      </w:r>
      <w:r>
        <w:rPr>
          <w:rFonts w:ascii="仿宋_GB2312" w:eastAsia="仿宋_GB2312"/>
          <w:color w:val="auto"/>
          <w:sz w:val="28"/>
          <w:szCs w:val="32"/>
          <w:lang w:eastAsia="zh-Hans"/>
        </w:rPr>
        <w:t>医疗服务定</w:t>
      </w:r>
      <w:r>
        <w:rPr>
          <w:rFonts w:hint="eastAsia" w:ascii="仿宋_GB2312" w:eastAsia="仿宋_GB2312"/>
          <w:color w:val="auto"/>
          <w:sz w:val="28"/>
          <w:szCs w:val="32"/>
          <w:lang w:eastAsia="zh-Hans"/>
        </w:rPr>
        <w:t>价</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调</w:t>
      </w:r>
      <w:r>
        <w:rPr>
          <w:rFonts w:ascii="仿宋_GB2312" w:eastAsia="仿宋_GB2312"/>
          <w:color w:val="auto"/>
          <w:sz w:val="28"/>
          <w:szCs w:val="32"/>
          <w:lang w:eastAsia="zh-Hans"/>
        </w:rPr>
        <w:t>价机制，</w:t>
      </w:r>
      <w:r>
        <w:rPr>
          <w:rFonts w:hint="eastAsia" w:ascii="仿宋_GB2312" w:eastAsia="仿宋_GB2312"/>
          <w:color w:val="auto"/>
          <w:sz w:val="28"/>
          <w:szCs w:val="32"/>
          <w:lang w:eastAsia="zh-Hans"/>
        </w:rPr>
        <w:t>合理调整医疗服务价格</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充分保障医务人员劳动价值</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实现医药服务价格管理的机制化</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科学化</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常态化</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完善</w:t>
      </w:r>
      <w:r>
        <w:rPr>
          <w:rFonts w:ascii="仿宋_GB2312" w:eastAsia="仿宋_GB2312"/>
          <w:color w:val="auto"/>
          <w:sz w:val="28"/>
          <w:szCs w:val="32"/>
          <w:lang w:eastAsia="zh-Hans"/>
        </w:rPr>
        <w:t>价格函询、约谈制度，</w:t>
      </w:r>
      <w:r>
        <w:rPr>
          <w:rFonts w:hint="eastAsia" w:ascii="仿宋_GB2312" w:eastAsia="仿宋_GB2312"/>
          <w:color w:val="auto"/>
          <w:sz w:val="28"/>
          <w:szCs w:val="32"/>
          <w:lang w:eastAsia="zh-Hans"/>
        </w:rPr>
        <w:t>加强医疗服务价格改革工作考核监督</w:t>
      </w:r>
      <w:r>
        <w:rPr>
          <w:rFonts w:ascii="仿宋_GB2312" w:eastAsia="仿宋_GB2312"/>
          <w:color w:val="auto"/>
          <w:sz w:val="28"/>
          <w:szCs w:val="32"/>
          <w:lang w:eastAsia="zh-Hans"/>
        </w:rPr>
        <w:t>，确保医保基金可承受、群众负担总体不增加。</w:t>
      </w:r>
      <w:r>
        <w:rPr>
          <w:rFonts w:hint="eastAsia" w:ascii="仿宋_GB2312" w:eastAsia="仿宋_GB2312"/>
          <w:color w:val="auto"/>
          <w:sz w:val="28"/>
          <w:szCs w:val="32"/>
          <w:lang w:eastAsia="zh-Hans"/>
        </w:rPr>
        <w:t>积极推动</w:t>
      </w:r>
      <w:r>
        <w:rPr>
          <w:rFonts w:ascii="仿宋_GB2312" w:eastAsia="仿宋_GB2312"/>
          <w:color w:val="auto"/>
          <w:sz w:val="28"/>
          <w:szCs w:val="32"/>
          <w:lang w:eastAsia="zh-Hans"/>
        </w:rPr>
        <w:t>新增医疗服务项目价格改革，</w:t>
      </w:r>
      <w:r>
        <w:rPr>
          <w:rFonts w:hint="eastAsia" w:ascii="仿宋_GB2312" w:eastAsia="仿宋_GB2312"/>
          <w:color w:val="auto"/>
          <w:sz w:val="28"/>
          <w:szCs w:val="32"/>
          <w:lang w:eastAsia="zh-Hans"/>
        </w:rPr>
        <w:t>促进医疗技术发展和应用推广</w:t>
      </w:r>
      <w:r>
        <w:rPr>
          <w:rFonts w:ascii="仿宋_GB2312" w:eastAsia="仿宋_GB2312"/>
          <w:color w:val="auto"/>
          <w:sz w:val="28"/>
          <w:szCs w:val="32"/>
          <w:lang w:eastAsia="zh-Hans"/>
        </w:rPr>
        <w:t>。</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3</w:t>
      </w:r>
      <w:r>
        <w:rPr>
          <w:rFonts w:ascii="仿宋_GB2312" w:eastAsia="仿宋_GB2312"/>
          <w:b/>
          <w:bCs/>
          <w:color w:val="auto"/>
          <w:sz w:val="28"/>
          <w:szCs w:val="32"/>
        </w:rPr>
        <w:t>.</w:t>
      </w:r>
      <w:r>
        <w:rPr>
          <w:rFonts w:hint="eastAsia" w:ascii="仿宋_GB2312" w:eastAsia="仿宋_GB2312"/>
          <w:b/>
          <w:bCs/>
          <w:color w:val="auto"/>
          <w:sz w:val="28"/>
          <w:szCs w:val="32"/>
        </w:rPr>
        <w:t>促进医疗服务能力和质量提升</w:t>
      </w:r>
      <w:r>
        <w:rPr>
          <w:rFonts w:ascii="仿宋_GB2312" w:eastAsia="仿宋_GB2312"/>
          <w:b/>
          <w:bCs/>
          <w:color w:val="auto"/>
          <w:sz w:val="28"/>
          <w:szCs w:val="32"/>
        </w:rPr>
        <w:t>。</w:t>
      </w:r>
      <w:r>
        <w:rPr>
          <w:rFonts w:ascii="仿宋_GB2312" w:eastAsia="仿宋_GB2312"/>
          <w:color w:val="auto"/>
          <w:sz w:val="28"/>
          <w:szCs w:val="32"/>
        </w:rPr>
        <w:t>合理规划各类医疗</w:t>
      </w:r>
      <w:r>
        <w:rPr>
          <w:rFonts w:hint="eastAsia" w:ascii="仿宋_GB2312" w:eastAsia="仿宋_GB2312"/>
          <w:color w:val="auto"/>
          <w:sz w:val="28"/>
          <w:szCs w:val="32"/>
        </w:rPr>
        <w:t>保障</w:t>
      </w:r>
      <w:r>
        <w:rPr>
          <w:rFonts w:ascii="仿宋_GB2312" w:eastAsia="仿宋_GB2312"/>
          <w:color w:val="auto"/>
          <w:sz w:val="28"/>
          <w:szCs w:val="32"/>
        </w:rPr>
        <w:t>资源布局，</w:t>
      </w:r>
      <w:r>
        <w:rPr>
          <w:rFonts w:hint="eastAsia" w:ascii="仿宋_GB2312" w:eastAsia="仿宋_GB2312"/>
          <w:color w:val="auto"/>
          <w:sz w:val="28"/>
          <w:szCs w:val="32"/>
        </w:rPr>
        <w:t>协同</w:t>
      </w:r>
      <w:r>
        <w:rPr>
          <w:rFonts w:ascii="仿宋_GB2312" w:eastAsia="仿宋_GB2312"/>
          <w:color w:val="auto"/>
          <w:sz w:val="28"/>
          <w:szCs w:val="32"/>
        </w:rPr>
        <w:t>推进县域医共体和城市医联体建设。发挥医保支付政策</w:t>
      </w:r>
      <w:r>
        <w:rPr>
          <w:rFonts w:hint="eastAsia" w:ascii="仿宋_GB2312" w:eastAsia="仿宋_GB2312"/>
          <w:color w:val="auto"/>
          <w:sz w:val="28"/>
          <w:szCs w:val="32"/>
        </w:rPr>
        <w:t>引导</w:t>
      </w:r>
      <w:r>
        <w:rPr>
          <w:rFonts w:ascii="仿宋_GB2312" w:eastAsia="仿宋_GB2312"/>
          <w:color w:val="auto"/>
          <w:sz w:val="28"/>
          <w:szCs w:val="32"/>
        </w:rPr>
        <w:t>作用，完善县域医共体医保总额管理机制，健全</w:t>
      </w:r>
      <w:r>
        <w:rPr>
          <w:rFonts w:hint="eastAsia" w:ascii="仿宋_GB2312" w:eastAsia="仿宋_GB2312"/>
          <w:color w:val="auto"/>
          <w:sz w:val="28"/>
          <w:szCs w:val="32"/>
          <w:lang w:eastAsia="zh-Hans"/>
        </w:rPr>
        <w:t>与</w:t>
      </w:r>
      <w:r>
        <w:rPr>
          <w:rFonts w:ascii="仿宋_GB2312" w:eastAsia="仿宋_GB2312"/>
          <w:color w:val="auto"/>
          <w:sz w:val="28"/>
          <w:szCs w:val="32"/>
        </w:rPr>
        <w:t>分级诊疗制度建设相结合的支付机制，合理</w:t>
      </w:r>
      <w:r>
        <w:rPr>
          <w:rFonts w:hint="eastAsia" w:ascii="仿宋_GB2312" w:eastAsia="仿宋_GB2312"/>
          <w:color w:val="auto"/>
          <w:sz w:val="28"/>
          <w:szCs w:val="32"/>
          <w:lang w:val="en-US" w:eastAsia="zh-CN"/>
        </w:rPr>
        <w:t>优化</w:t>
      </w:r>
      <w:r>
        <w:rPr>
          <w:rFonts w:ascii="仿宋_GB2312" w:eastAsia="仿宋_GB2312"/>
          <w:color w:val="auto"/>
          <w:sz w:val="28"/>
          <w:szCs w:val="32"/>
        </w:rPr>
        <w:t>不同层级医疗机构报销待遇梯度，激励基层医疗机构提供优质医疗服务和全周期健康管理，引导群众有序就医。增加优质医疗服务供给，对开展疑难杂症和急危重症救治、引进新技术和新项目</w:t>
      </w:r>
      <w:r>
        <w:rPr>
          <w:rFonts w:hint="eastAsia" w:ascii="仿宋_GB2312" w:eastAsia="仿宋_GB2312"/>
          <w:color w:val="auto"/>
          <w:sz w:val="28"/>
          <w:szCs w:val="32"/>
          <w:lang w:eastAsia="zh-Hans"/>
        </w:rPr>
        <w:t>的</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予以合理的</w:t>
      </w:r>
      <w:r>
        <w:rPr>
          <w:rFonts w:ascii="仿宋_GB2312" w:eastAsia="仿宋_GB2312"/>
          <w:color w:val="auto"/>
          <w:sz w:val="28"/>
          <w:szCs w:val="32"/>
        </w:rPr>
        <w:t>医保政策倾斜</w:t>
      </w:r>
      <w:r>
        <w:rPr>
          <w:rFonts w:hint="eastAsia" w:ascii="仿宋_GB2312" w:eastAsia="仿宋_GB2312"/>
          <w:color w:val="auto"/>
          <w:sz w:val="28"/>
          <w:szCs w:val="32"/>
          <w:lang w:eastAsia="zh-Hans"/>
        </w:rPr>
        <w:t>支持</w:t>
      </w:r>
      <w:r>
        <w:rPr>
          <w:rFonts w:ascii="仿宋_GB2312" w:eastAsia="仿宋_GB2312"/>
          <w:color w:val="auto"/>
          <w:sz w:val="28"/>
          <w:szCs w:val="32"/>
        </w:rPr>
        <w:t>。</w:t>
      </w:r>
      <w:r>
        <w:rPr>
          <w:rFonts w:hint="eastAsia" w:ascii="仿宋_GB2312" w:eastAsia="仿宋_GB2312"/>
          <w:color w:val="auto"/>
          <w:sz w:val="28"/>
          <w:szCs w:val="32"/>
          <w:lang w:eastAsia="zh-Hans"/>
        </w:rPr>
        <w:t>探索</w:t>
      </w:r>
      <w:r>
        <w:rPr>
          <w:rFonts w:ascii="仿宋_GB2312" w:eastAsia="仿宋_GB2312"/>
          <w:color w:val="auto"/>
          <w:sz w:val="28"/>
          <w:szCs w:val="32"/>
        </w:rPr>
        <w:t>“互联网+”医疗服务</w:t>
      </w:r>
      <w:r>
        <w:rPr>
          <w:rFonts w:hint="eastAsia" w:ascii="仿宋_GB2312" w:eastAsia="仿宋_GB2312"/>
          <w:color w:val="auto"/>
          <w:sz w:val="28"/>
          <w:szCs w:val="32"/>
          <w:lang w:eastAsia="zh-Hans"/>
        </w:rPr>
        <w:t>收费和</w:t>
      </w:r>
      <w:r>
        <w:rPr>
          <w:rFonts w:ascii="仿宋_GB2312" w:eastAsia="仿宋_GB2312"/>
          <w:color w:val="auto"/>
          <w:sz w:val="28"/>
          <w:szCs w:val="32"/>
        </w:rPr>
        <w:t>医保支付</w:t>
      </w:r>
      <w:r>
        <w:rPr>
          <w:rFonts w:hint="eastAsia" w:ascii="仿宋_GB2312" w:eastAsia="仿宋_GB2312"/>
          <w:color w:val="auto"/>
          <w:sz w:val="28"/>
          <w:szCs w:val="32"/>
          <w:lang w:eastAsia="zh-Hans"/>
        </w:rPr>
        <w:t>政策</w:t>
      </w:r>
      <w:r>
        <w:rPr>
          <w:rFonts w:ascii="仿宋_GB2312" w:eastAsia="仿宋_GB2312"/>
          <w:color w:val="auto"/>
          <w:sz w:val="28"/>
          <w:szCs w:val="32"/>
        </w:rPr>
        <w:t>，实现医保支付网上结算。</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4</w:t>
      </w:r>
      <w:r>
        <w:rPr>
          <w:rFonts w:ascii="仿宋_GB2312" w:eastAsia="仿宋_GB2312"/>
          <w:b/>
          <w:bCs/>
          <w:color w:val="auto"/>
          <w:sz w:val="28"/>
          <w:szCs w:val="32"/>
        </w:rPr>
        <w:t>.</w:t>
      </w:r>
      <w:r>
        <w:rPr>
          <w:rFonts w:hint="eastAsia" w:ascii="仿宋_GB2312" w:eastAsia="仿宋_GB2312"/>
          <w:b/>
          <w:bCs/>
          <w:color w:val="auto"/>
          <w:sz w:val="28"/>
          <w:szCs w:val="32"/>
          <w:lang w:eastAsia="zh-Hans"/>
        </w:rPr>
        <w:t>建立健全医疗服务监管机制。</w:t>
      </w:r>
      <w:r>
        <w:rPr>
          <w:rFonts w:ascii="仿宋_GB2312" w:eastAsia="仿宋_GB2312"/>
          <w:color w:val="auto"/>
          <w:sz w:val="28"/>
          <w:szCs w:val="32"/>
        </w:rPr>
        <w:t>推行</w:t>
      </w:r>
      <w:r>
        <w:rPr>
          <w:rFonts w:hint="eastAsia" w:ascii="仿宋_GB2312" w:eastAsia="仿宋_GB2312"/>
          <w:color w:val="auto"/>
          <w:sz w:val="28"/>
          <w:szCs w:val="32"/>
          <w:lang w:val="en-US" w:eastAsia="zh-CN"/>
        </w:rPr>
        <w:t>医保服务</w:t>
      </w:r>
      <w:r>
        <w:rPr>
          <w:rFonts w:ascii="仿宋_GB2312" w:eastAsia="仿宋_GB2312"/>
          <w:color w:val="auto"/>
          <w:sz w:val="28"/>
          <w:szCs w:val="32"/>
        </w:rPr>
        <w:t>处方点评制度，推动医疗机构和医务人员</w:t>
      </w:r>
      <w:r>
        <w:rPr>
          <w:rFonts w:hint="eastAsia" w:ascii="仿宋_GB2312" w:eastAsia="仿宋_GB2312"/>
          <w:color w:val="auto"/>
          <w:sz w:val="28"/>
          <w:szCs w:val="32"/>
          <w:lang w:eastAsia="zh-Hans"/>
        </w:rPr>
        <w:t>自觉</w:t>
      </w:r>
      <w:r>
        <w:rPr>
          <w:rFonts w:ascii="仿宋_GB2312" w:eastAsia="仿宋_GB2312"/>
          <w:color w:val="auto"/>
          <w:sz w:val="28"/>
          <w:szCs w:val="32"/>
        </w:rPr>
        <w:t>规范</w:t>
      </w:r>
      <w:r>
        <w:rPr>
          <w:rFonts w:hint="eastAsia" w:ascii="仿宋_GB2312" w:eastAsia="仿宋_GB2312"/>
          <w:color w:val="auto"/>
          <w:sz w:val="28"/>
          <w:szCs w:val="32"/>
          <w:lang w:val="en-US" w:eastAsia="zh-CN"/>
        </w:rPr>
        <w:t>医保</w:t>
      </w:r>
      <w:r>
        <w:rPr>
          <w:rFonts w:ascii="仿宋_GB2312" w:eastAsia="仿宋_GB2312"/>
          <w:color w:val="auto"/>
          <w:sz w:val="28"/>
          <w:szCs w:val="32"/>
        </w:rPr>
        <w:t>诊疗行为。建立</w:t>
      </w:r>
      <w:r>
        <w:rPr>
          <w:rFonts w:hint="eastAsia" w:ascii="仿宋_GB2312" w:eastAsia="仿宋_GB2312"/>
          <w:color w:val="auto"/>
          <w:sz w:val="28"/>
          <w:szCs w:val="32"/>
        </w:rPr>
        <w:t>医保</w:t>
      </w:r>
      <w:r>
        <w:rPr>
          <w:rFonts w:ascii="仿宋_GB2312" w:eastAsia="仿宋_GB2312"/>
          <w:color w:val="auto"/>
          <w:sz w:val="28"/>
          <w:szCs w:val="32"/>
        </w:rPr>
        <w:t>服务能力评估和医院绩效评价制度，有效推动医疗机构内部分配机制与医疗技术服务收入、绩效考核结果挂钩，与药品、医用耗材和检查检验收入脱钩，</w:t>
      </w:r>
      <w:r>
        <w:rPr>
          <w:rFonts w:hint="eastAsia" w:ascii="仿宋_GB2312" w:eastAsia="仿宋_GB2312"/>
          <w:color w:val="auto"/>
          <w:sz w:val="28"/>
          <w:szCs w:val="32"/>
          <w:lang w:eastAsia="zh-Hans"/>
        </w:rPr>
        <w:t>促进合理合规用药</w:t>
      </w:r>
      <w:r>
        <w:rPr>
          <w:rFonts w:ascii="仿宋_GB2312" w:eastAsia="仿宋_GB2312"/>
          <w:color w:val="auto"/>
          <w:sz w:val="28"/>
          <w:szCs w:val="32"/>
          <w:lang w:eastAsia="zh-Hans"/>
        </w:rPr>
        <w:t>，</w:t>
      </w:r>
      <w:r>
        <w:rPr>
          <w:rFonts w:hint="eastAsia" w:ascii="仿宋_GB2312" w:eastAsia="仿宋_GB2312"/>
          <w:color w:val="auto"/>
          <w:sz w:val="28"/>
          <w:szCs w:val="32"/>
          <w:lang w:eastAsia="zh-Hans"/>
        </w:rPr>
        <w:t>引导医疗机构和医务人员着力提升医疗服务质量</w:t>
      </w:r>
      <w:r>
        <w:rPr>
          <w:rFonts w:ascii="仿宋_GB2312" w:eastAsia="仿宋_GB2312"/>
          <w:color w:val="auto"/>
          <w:sz w:val="28"/>
          <w:szCs w:val="32"/>
        </w:rPr>
        <w:t>。</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0" w:firstLineChars="200"/>
              <w:jc w:val="center"/>
              <w:rPr>
                <w:rFonts w:ascii="黑体" w:hAnsi="黑体" w:eastAsia="黑体"/>
                <w:color w:val="auto"/>
                <w:sz w:val="28"/>
                <w:szCs w:val="32"/>
                <w:lang w:eastAsia="zh-Hans"/>
              </w:rPr>
            </w:pPr>
            <w:r>
              <w:rPr>
                <w:rFonts w:hint="eastAsia" w:ascii="黑体" w:hAnsi="黑体" w:eastAsia="黑体"/>
                <w:color w:val="auto"/>
                <w:sz w:val="28"/>
                <w:szCs w:val="32"/>
                <w:lang w:eastAsia="zh-Hans"/>
              </w:rPr>
              <w:t>专栏</w:t>
            </w:r>
            <w:r>
              <w:rPr>
                <w:rFonts w:hint="eastAsia" w:ascii="黑体" w:hAnsi="黑体" w:eastAsia="黑体"/>
                <w:color w:val="auto"/>
                <w:sz w:val="28"/>
                <w:szCs w:val="32"/>
                <w:lang w:val="en-US" w:eastAsia="zh-CN"/>
              </w:rPr>
              <w:t>2</w:t>
            </w:r>
            <w:r>
              <w:rPr>
                <w:rFonts w:ascii="黑体" w:hAnsi="黑体" w:eastAsia="黑体"/>
                <w:color w:val="auto"/>
                <w:sz w:val="28"/>
                <w:szCs w:val="32"/>
                <w:lang w:eastAsia="zh-Hans"/>
              </w:rPr>
              <w:t xml:space="preserve"> 医药服务供给侧改革</w:t>
            </w:r>
            <w:r>
              <w:rPr>
                <w:rFonts w:hint="eastAsia" w:ascii="黑体" w:hAnsi="黑体" w:eastAsia="黑体"/>
                <w:color w:val="auto"/>
                <w:sz w:val="28"/>
                <w:szCs w:val="32"/>
                <w:lang w:eastAsia="zh-Hans"/>
              </w:rPr>
              <w:t>推动工程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400" w:lineRule="exact"/>
              <w:ind w:firstLine="480" w:firstLineChars="200"/>
              <w:rPr>
                <w:rFonts w:ascii="楷体" w:hAnsi="楷体" w:eastAsia="楷体"/>
                <w:color w:val="auto"/>
                <w:kern w:val="0"/>
                <w:sz w:val="24"/>
                <w:szCs w:val="24"/>
              </w:rPr>
            </w:pPr>
            <w:r>
              <w:rPr>
                <w:rFonts w:ascii="楷体" w:hAnsi="楷体" w:eastAsia="楷体"/>
                <w:color w:val="auto"/>
                <w:kern w:val="0"/>
                <w:sz w:val="24"/>
                <w:szCs w:val="24"/>
              </w:rPr>
              <w:t>（</w:t>
            </w:r>
            <w:r>
              <w:rPr>
                <w:rFonts w:hint="eastAsia" w:ascii="楷体" w:hAnsi="楷体" w:eastAsia="楷体"/>
                <w:color w:val="auto"/>
                <w:kern w:val="0"/>
                <w:sz w:val="24"/>
                <w:szCs w:val="24"/>
              </w:rPr>
              <w:t>一</w:t>
            </w:r>
            <w:r>
              <w:rPr>
                <w:rFonts w:ascii="楷体" w:hAnsi="楷体" w:eastAsia="楷体"/>
                <w:color w:val="auto"/>
                <w:kern w:val="0"/>
                <w:sz w:val="24"/>
                <w:szCs w:val="24"/>
              </w:rPr>
              <w:t>）</w:t>
            </w:r>
            <w:r>
              <w:rPr>
                <w:rFonts w:hint="eastAsia" w:ascii="楷体" w:hAnsi="楷体" w:eastAsia="楷体"/>
                <w:color w:val="auto"/>
                <w:kern w:val="0"/>
                <w:sz w:val="24"/>
                <w:szCs w:val="24"/>
              </w:rPr>
              <w:t>全面实行药械集中采购</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落实《浙江省药品、医用耗材集中带量采购暂行办法》，规范联合集中带量采购工作，做到程序、规则、政策相对一致，形成浙江特色的集中带量采购模式，为医药企业提供良好的环境和优质的服务。“十四五”期间省级集中带量采购药品品种达到100个，覆盖医用耗材30类。实现医保药品通用名全覆盖即通用名剂型在线交易达到100%，医用耗材在线交易全品种即二级目录内医用耗材品类在线交易达到100%。</w:t>
            </w:r>
          </w:p>
          <w:p>
            <w:pPr>
              <w:snapToGrid w:val="0"/>
              <w:spacing w:line="400" w:lineRule="exact"/>
              <w:ind w:firstLine="480" w:firstLineChars="200"/>
              <w:rPr>
                <w:rFonts w:ascii="楷体" w:hAnsi="楷体" w:eastAsia="楷体"/>
                <w:color w:val="auto"/>
                <w:kern w:val="0"/>
                <w:sz w:val="24"/>
                <w:szCs w:val="24"/>
              </w:rPr>
            </w:pPr>
            <w:r>
              <w:rPr>
                <w:rFonts w:hint="eastAsia" w:ascii="仿宋" w:hAnsi="仿宋" w:eastAsia="仿宋"/>
                <w:color w:val="auto"/>
                <w:kern w:val="0"/>
                <w:sz w:val="24"/>
                <w:szCs w:val="24"/>
              </w:rPr>
              <w:t>推进市级招采联盟建设</w:t>
            </w:r>
            <w:r>
              <w:rPr>
                <w:rFonts w:ascii="仿宋" w:hAnsi="仿宋" w:eastAsia="仿宋"/>
                <w:color w:val="auto"/>
                <w:kern w:val="0"/>
                <w:sz w:val="24"/>
                <w:szCs w:val="24"/>
              </w:rPr>
              <w:t>。</w:t>
            </w:r>
            <w:r>
              <w:rPr>
                <w:rFonts w:hint="eastAsia" w:ascii="仿宋" w:hAnsi="仿宋" w:eastAsia="仿宋"/>
                <w:color w:val="auto"/>
                <w:kern w:val="0"/>
                <w:sz w:val="24"/>
                <w:szCs w:val="24"/>
              </w:rPr>
              <w:t>组建全市公立医院参与的药品、耗材招采联盟</w:t>
            </w:r>
            <w:r>
              <w:rPr>
                <w:rFonts w:ascii="仿宋" w:hAnsi="仿宋" w:eastAsia="仿宋"/>
                <w:color w:val="auto"/>
                <w:kern w:val="0"/>
                <w:sz w:val="24"/>
                <w:szCs w:val="24"/>
              </w:rPr>
              <w:t>，</w:t>
            </w:r>
            <w:r>
              <w:rPr>
                <w:rFonts w:hint="eastAsia" w:ascii="仿宋" w:hAnsi="仿宋" w:eastAsia="仿宋"/>
                <w:color w:val="auto"/>
                <w:kern w:val="0"/>
                <w:sz w:val="24"/>
                <w:szCs w:val="24"/>
              </w:rPr>
              <w:t>落实国家、省各项药品、耗材带量采购任务，执行药品、耗材采购政策，</w:t>
            </w:r>
            <w:r>
              <w:rPr>
                <w:rFonts w:hint="eastAsia" w:ascii="仿宋" w:hAnsi="仿宋" w:eastAsia="仿宋"/>
                <w:color w:val="auto"/>
                <w:kern w:val="0"/>
                <w:sz w:val="24"/>
                <w:szCs w:val="24"/>
                <w:lang w:eastAsia="zh-Hans"/>
              </w:rPr>
              <w:t>探索</w:t>
            </w:r>
            <w:r>
              <w:rPr>
                <w:rFonts w:hint="eastAsia" w:ascii="仿宋" w:hAnsi="仿宋" w:eastAsia="仿宋"/>
                <w:color w:val="auto"/>
                <w:kern w:val="0"/>
                <w:sz w:val="24"/>
                <w:szCs w:val="24"/>
              </w:rPr>
              <w:t>开展全市统一的集中招标采购、谈判</w:t>
            </w:r>
            <w:r>
              <w:rPr>
                <w:rFonts w:ascii="楷体" w:hAnsi="楷体" w:eastAsia="楷体"/>
                <w:color w:val="auto"/>
                <w:kern w:val="0"/>
                <w:sz w:val="24"/>
                <w:szCs w:val="24"/>
              </w:rPr>
              <w:t>。</w:t>
            </w:r>
          </w:p>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（二）完善价格形成机制</w:t>
            </w:r>
          </w:p>
          <w:p>
            <w:pPr>
              <w:snapToGrid w:val="0"/>
              <w:spacing w:line="400" w:lineRule="exact"/>
              <w:ind w:firstLine="480" w:firstLineChars="200"/>
              <w:rPr>
                <w:rFonts w:ascii="仿宋" w:hAnsi="仿宋" w:eastAsia="仿宋"/>
                <w:color w:val="auto"/>
                <w:kern w:val="0"/>
                <w:sz w:val="24"/>
                <w:szCs w:val="24"/>
              </w:rPr>
            </w:pPr>
            <w:r>
              <w:rPr>
                <w:rFonts w:ascii="仿宋" w:hAnsi="仿宋" w:eastAsia="仿宋"/>
                <w:color w:val="auto"/>
                <w:kern w:val="0"/>
                <w:sz w:val="24"/>
                <w:szCs w:val="24"/>
              </w:rPr>
              <w:t>健全新增医疗服务价格项目机制。国家新增医疗服务价格项目管理办法</w:t>
            </w:r>
            <w:r>
              <w:rPr>
                <w:rFonts w:hint="eastAsia" w:ascii="仿宋" w:hAnsi="仿宋" w:eastAsia="仿宋"/>
                <w:color w:val="auto"/>
                <w:kern w:val="0"/>
                <w:sz w:val="24"/>
                <w:szCs w:val="24"/>
              </w:rPr>
              <w:t>出台后</w:t>
            </w:r>
            <w:r>
              <w:rPr>
                <w:rFonts w:ascii="仿宋" w:hAnsi="仿宋" w:eastAsia="仿宋"/>
                <w:color w:val="auto"/>
                <w:kern w:val="0"/>
                <w:sz w:val="24"/>
                <w:szCs w:val="24"/>
              </w:rPr>
              <w:t>，</w:t>
            </w:r>
            <w:r>
              <w:rPr>
                <w:rFonts w:hint="eastAsia" w:ascii="仿宋" w:hAnsi="仿宋" w:eastAsia="仿宋"/>
                <w:color w:val="auto"/>
                <w:kern w:val="0"/>
                <w:sz w:val="24"/>
                <w:szCs w:val="24"/>
              </w:rPr>
              <w:t>根据省医疗保障局</w:t>
            </w:r>
            <w:r>
              <w:rPr>
                <w:rFonts w:ascii="仿宋" w:hAnsi="仿宋" w:eastAsia="仿宋"/>
                <w:color w:val="auto"/>
                <w:kern w:val="0"/>
                <w:sz w:val="24"/>
                <w:szCs w:val="24"/>
              </w:rPr>
              <w:t>要求，适时修订完善我</w:t>
            </w:r>
            <w:r>
              <w:rPr>
                <w:rFonts w:hint="eastAsia" w:ascii="仿宋" w:hAnsi="仿宋" w:eastAsia="仿宋"/>
                <w:color w:val="auto"/>
                <w:kern w:val="0"/>
                <w:sz w:val="24"/>
                <w:szCs w:val="24"/>
              </w:rPr>
              <w:t>市</w:t>
            </w:r>
            <w:r>
              <w:rPr>
                <w:rFonts w:ascii="仿宋" w:hAnsi="仿宋" w:eastAsia="仿宋"/>
                <w:color w:val="auto"/>
                <w:kern w:val="0"/>
                <w:sz w:val="24"/>
                <w:szCs w:val="24"/>
              </w:rPr>
              <w:t>新增医疗服务价格项目管理办法。</w:t>
            </w:r>
          </w:p>
          <w:p>
            <w:pPr>
              <w:snapToGrid w:val="0"/>
              <w:spacing w:line="400" w:lineRule="exact"/>
              <w:ind w:firstLine="480" w:firstLineChars="200"/>
              <w:rPr>
                <w:rFonts w:ascii="仿宋" w:hAnsi="仿宋" w:eastAsia="仿宋"/>
                <w:color w:val="auto"/>
                <w:kern w:val="0"/>
                <w:sz w:val="24"/>
                <w:szCs w:val="24"/>
              </w:rPr>
            </w:pPr>
            <w:r>
              <w:rPr>
                <w:rFonts w:ascii="仿宋" w:hAnsi="仿宋" w:eastAsia="仿宋"/>
                <w:color w:val="auto"/>
                <w:kern w:val="0"/>
                <w:sz w:val="24"/>
                <w:szCs w:val="24"/>
              </w:rPr>
              <w:t>完善医疗服务价格项目。结合</w:t>
            </w:r>
            <w:r>
              <w:rPr>
                <w:rFonts w:hint="eastAsia" w:ascii="仿宋" w:hAnsi="仿宋" w:eastAsia="仿宋"/>
                <w:color w:val="auto"/>
                <w:kern w:val="0"/>
                <w:sz w:val="24"/>
                <w:szCs w:val="24"/>
              </w:rPr>
              <w:t>我市</w:t>
            </w:r>
            <w:r>
              <w:rPr>
                <w:rFonts w:ascii="仿宋" w:hAnsi="仿宋" w:eastAsia="仿宋"/>
                <w:color w:val="auto"/>
                <w:kern w:val="0"/>
                <w:sz w:val="24"/>
                <w:szCs w:val="24"/>
              </w:rPr>
              <w:t>医疗技术发展和临床实际需求等因素，</w:t>
            </w:r>
            <w:r>
              <w:rPr>
                <w:rFonts w:hint="eastAsia" w:ascii="仿宋" w:hAnsi="仿宋" w:eastAsia="仿宋"/>
                <w:color w:val="auto"/>
                <w:kern w:val="0"/>
                <w:sz w:val="24"/>
                <w:szCs w:val="24"/>
              </w:rPr>
              <w:t>及时</w:t>
            </w:r>
            <w:r>
              <w:rPr>
                <w:rFonts w:ascii="仿宋" w:hAnsi="仿宋" w:eastAsia="仿宋"/>
                <w:color w:val="auto"/>
                <w:kern w:val="0"/>
                <w:sz w:val="24"/>
                <w:szCs w:val="24"/>
              </w:rPr>
              <w:t>受理审核新增医疗服务价格项目，</w:t>
            </w:r>
            <w:r>
              <w:rPr>
                <w:rFonts w:hint="eastAsia" w:ascii="仿宋" w:hAnsi="仿宋" w:eastAsia="仿宋"/>
                <w:color w:val="auto"/>
                <w:kern w:val="0"/>
                <w:sz w:val="24"/>
                <w:szCs w:val="24"/>
              </w:rPr>
              <w:t>按照省医疗保障局医疗服务项目价格工作推进情况</w:t>
            </w:r>
            <w:r>
              <w:rPr>
                <w:rFonts w:ascii="仿宋" w:hAnsi="仿宋" w:eastAsia="仿宋"/>
                <w:color w:val="auto"/>
                <w:kern w:val="0"/>
                <w:sz w:val="24"/>
                <w:szCs w:val="24"/>
              </w:rPr>
              <w:t>，</w:t>
            </w:r>
            <w:r>
              <w:rPr>
                <w:rFonts w:hint="eastAsia" w:ascii="仿宋" w:hAnsi="仿宋" w:eastAsia="仿宋"/>
                <w:color w:val="auto"/>
                <w:kern w:val="0"/>
                <w:sz w:val="24"/>
                <w:szCs w:val="24"/>
              </w:rPr>
              <w:t>相应修订</w:t>
            </w:r>
            <w:r>
              <w:rPr>
                <w:rFonts w:ascii="仿宋" w:hAnsi="仿宋" w:eastAsia="仿宋"/>
                <w:color w:val="auto"/>
                <w:kern w:val="0"/>
                <w:sz w:val="24"/>
                <w:szCs w:val="24"/>
              </w:rPr>
              <w:t>、新增一批医疗服务价格项目。</w:t>
            </w:r>
          </w:p>
          <w:p>
            <w:pPr>
              <w:snapToGrid w:val="0"/>
              <w:spacing w:line="400" w:lineRule="exact"/>
              <w:ind w:firstLine="480" w:firstLineChars="200"/>
              <w:rPr>
                <w:rFonts w:ascii="仿宋" w:hAnsi="仿宋" w:eastAsia="仿宋"/>
                <w:color w:val="auto"/>
                <w:kern w:val="0"/>
                <w:sz w:val="24"/>
                <w:szCs w:val="24"/>
              </w:rPr>
            </w:pPr>
            <w:r>
              <w:rPr>
                <w:rFonts w:ascii="仿宋" w:hAnsi="仿宋" w:eastAsia="仿宋"/>
                <w:color w:val="auto"/>
                <w:kern w:val="0"/>
                <w:sz w:val="24"/>
                <w:szCs w:val="24"/>
              </w:rPr>
              <w:t>建立医疗服务价格动态调整机制。按照“设置启动条件、评估触发实施、有升有降调价、保持支付衔接、跟踪监测考核”的基本路径，建立符合我</w:t>
            </w:r>
            <w:r>
              <w:rPr>
                <w:rFonts w:hint="eastAsia" w:ascii="仿宋" w:hAnsi="仿宋" w:eastAsia="仿宋"/>
                <w:color w:val="auto"/>
                <w:kern w:val="0"/>
                <w:sz w:val="24"/>
                <w:szCs w:val="24"/>
              </w:rPr>
              <w:t>市</w:t>
            </w:r>
            <w:r>
              <w:rPr>
                <w:rFonts w:ascii="仿宋" w:hAnsi="仿宋" w:eastAsia="仿宋"/>
                <w:color w:val="auto"/>
                <w:kern w:val="0"/>
                <w:sz w:val="24"/>
                <w:szCs w:val="24"/>
              </w:rPr>
              <w:t>医疗行业特点、科学确定、动态调整、</w:t>
            </w:r>
            <w:r>
              <w:rPr>
                <w:rFonts w:hint="eastAsia" w:ascii="仿宋" w:hAnsi="仿宋" w:eastAsia="仿宋"/>
                <w:color w:val="auto"/>
                <w:kern w:val="0"/>
                <w:sz w:val="24"/>
                <w:szCs w:val="24"/>
              </w:rPr>
              <w:t>多方协同</w:t>
            </w:r>
            <w:r>
              <w:rPr>
                <w:rFonts w:ascii="仿宋" w:hAnsi="仿宋" w:eastAsia="仿宋"/>
                <w:color w:val="auto"/>
                <w:kern w:val="0"/>
                <w:sz w:val="24"/>
                <w:szCs w:val="24"/>
              </w:rPr>
              <w:t>的价格机制。</w:t>
            </w:r>
          </w:p>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（三）优化医疗服务价格结构</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根据医疗服务价格动态调整机制，衔接医用耗材集中采购等各项改革措施，统筹兼顾医保基金负担、医疗事业发展和人民群众的承受能力，合理调整医疗服务价格，优化医疗机构收入结构。</w:t>
            </w:r>
          </w:p>
          <w:p>
            <w:pPr>
              <w:snapToGrid w:val="0"/>
              <w:spacing w:line="400" w:lineRule="exact"/>
              <w:ind w:firstLine="480" w:firstLineChars="200"/>
              <w:rPr>
                <w:rFonts w:ascii="楷体" w:hAnsi="楷体" w:eastAsia="楷体"/>
                <w:color w:val="auto"/>
                <w:kern w:val="0"/>
                <w:sz w:val="24"/>
                <w:szCs w:val="24"/>
              </w:rPr>
            </w:pPr>
            <w:r>
              <w:rPr>
                <w:rFonts w:hint="eastAsia" w:ascii="仿宋" w:hAnsi="仿宋" w:eastAsia="仿宋"/>
                <w:color w:val="auto"/>
                <w:kern w:val="0"/>
                <w:sz w:val="24"/>
                <w:szCs w:val="24"/>
              </w:rPr>
              <w:t>提升医疗服务能力与质量。加强</w:t>
            </w:r>
            <w:r>
              <w:rPr>
                <w:rFonts w:ascii="仿宋" w:hAnsi="仿宋" w:eastAsia="仿宋"/>
                <w:color w:val="auto"/>
                <w:kern w:val="0"/>
                <w:sz w:val="24"/>
                <w:szCs w:val="24"/>
              </w:rPr>
              <w:t>县域医共体建设，</w:t>
            </w:r>
            <w:r>
              <w:rPr>
                <w:rFonts w:hint="eastAsia" w:ascii="仿宋" w:hAnsi="仿宋" w:eastAsia="仿宋"/>
                <w:color w:val="auto"/>
                <w:kern w:val="0"/>
                <w:sz w:val="24"/>
                <w:szCs w:val="24"/>
              </w:rPr>
              <w:t>着力</w:t>
            </w:r>
            <w:r>
              <w:rPr>
                <w:rFonts w:ascii="仿宋" w:hAnsi="仿宋" w:eastAsia="仿宋"/>
                <w:color w:val="auto"/>
                <w:kern w:val="0"/>
                <w:sz w:val="24"/>
                <w:szCs w:val="24"/>
              </w:rPr>
              <w:t>提升基层医疗卫生服务能力，</w:t>
            </w:r>
            <w:r>
              <w:rPr>
                <w:rFonts w:hint="eastAsia" w:ascii="仿宋" w:hAnsi="仿宋" w:eastAsia="仿宋"/>
                <w:color w:val="auto"/>
                <w:kern w:val="0"/>
                <w:sz w:val="24"/>
                <w:szCs w:val="24"/>
              </w:rPr>
              <w:t>通过医疗</w:t>
            </w:r>
            <w:r>
              <w:rPr>
                <w:rFonts w:ascii="仿宋" w:hAnsi="仿宋" w:eastAsia="仿宋"/>
                <w:color w:val="auto"/>
                <w:kern w:val="0"/>
                <w:sz w:val="24"/>
                <w:szCs w:val="24"/>
              </w:rPr>
              <w:t>、</w:t>
            </w:r>
            <w:r>
              <w:rPr>
                <w:rFonts w:hint="eastAsia" w:ascii="仿宋" w:hAnsi="仿宋" w:eastAsia="仿宋"/>
                <w:color w:val="auto"/>
                <w:kern w:val="0"/>
                <w:sz w:val="24"/>
                <w:szCs w:val="24"/>
              </w:rPr>
              <w:t>医保</w:t>
            </w:r>
            <w:r>
              <w:rPr>
                <w:rFonts w:ascii="仿宋" w:hAnsi="仿宋" w:eastAsia="仿宋"/>
                <w:color w:val="auto"/>
                <w:kern w:val="0"/>
                <w:sz w:val="24"/>
                <w:szCs w:val="24"/>
              </w:rPr>
              <w:t>、</w:t>
            </w:r>
            <w:r>
              <w:rPr>
                <w:rFonts w:hint="eastAsia" w:ascii="仿宋" w:hAnsi="仿宋" w:eastAsia="仿宋"/>
                <w:color w:val="auto"/>
                <w:kern w:val="0"/>
                <w:sz w:val="24"/>
                <w:szCs w:val="24"/>
              </w:rPr>
              <w:t>医药政策联动</w:t>
            </w:r>
            <w:r>
              <w:rPr>
                <w:rFonts w:ascii="仿宋" w:hAnsi="仿宋" w:eastAsia="仿宋"/>
                <w:color w:val="auto"/>
                <w:kern w:val="0"/>
                <w:sz w:val="24"/>
                <w:szCs w:val="24"/>
              </w:rPr>
              <w:t>，</w:t>
            </w:r>
            <w:r>
              <w:rPr>
                <w:rFonts w:hint="eastAsia" w:ascii="仿宋" w:hAnsi="仿宋" w:eastAsia="仿宋"/>
                <w:color w:val="auto"/>
                <w:kern w:val="0"/>
                <w:sz w:val="24"/>
                <w:szCs w:val="24"/>
              </w:rPr>
              <w:t>充分发挥分级诊疗和医保支付相结合的制度作用</w:t>
            </w:r>
            <w:r>
              <w:rPr>
                <w:rFonts w:ascii="仿宋" w:hAnsi="仿宋" w:eastAsia="仿宋"/>
                <w:color w:val="auto"/>
                <w:kern w:val="0"/>
                <w:sz w:val="24"/>
                <w:szCs w:val="24"/>
              </w:rPr>
              <w:t>，</w:t>
            </w:r>
            <w:r>
              <w:rPr>
                <w:rFonts w:hint="eastAsia" w:ascii="仿宋" w:hAnsi="仿宋" w:eastAsia="仿宋"/>
                <w:color w:val="auto"/>
                <w:kern w:val="0"/>
                <w:sz w:val="24"/>
                <w:szCs w:val="24"/>
              </w:rPr>
              <w:t>激励基层医疗机构提升医疗服务水平</w:t>
            </w:r>
            <w:r>
              <w:rPr>
                <w:rFonts w:ascii="仿宋" w:hAnsi="仿宋" w:eastAsia="仿宋"/>
                <w:color w:val="auto"/>
                <w:kern w:val="0"/>
                <w:sz w:val="24"/>
                <w:szCs w:val="24"/>
              </w:rPr>
              <w:t>。</w:t>
            </w:r>
            <w:r>
              <w:rPr>
                <w:rFonts w:hint="eastAsia" w:ascii="仿宋" w:hAnsi="仿宋" w:eastAsia="仿宋"/>
                <w:color w:val="auto"/>
                <w:kern w:val="0"/>
                <w:sz w:val="24"/>
                <w:szCs w:val="24"/>
              </w:rPr>
              <w:t>探索</w:t>
            </w:r>
            <w:r>
              <w:rPr>
                <w:rFonts w:ascii="仿宋" w:hAnsi="仿宋" w:eastAsia="仿宋"/>
                <w:color w:val="auto"/>
                <w:kern w:val="0"/>
                <w:sz w:val="24"/>
                <w:szCs w:val="24"/>
              </w:rPr>
              <w:t>医疗服务能力评估</w:t>
            </w:r>
            <w:r>
              <w:rPr>
                <w:rFonts w:hint="eastAsia" w:ascii="仿宋" w:hAnsi="仿宋" w:eastAsia="仿宋"/>
                <w:color w:val="auto"/>
                <w:kern w:val="0"/>
                <w:sz w:val="24"/>
                <w:szCs w:val="24"/>
              </w:rPr>
              <w:t>同</w:t>
            </w:r>
            <w:r>
              <w:rPr>
                <w:rFonts w:ascii="仿宋" w:hAnsi="仿宋" w:eastAsia="仿宋"/>
                <w:color w:val="auto"/>
                <w:kern w:val="0"/>
                <w:sz w:val="24"/>
                <w:szCs w:val="24"/>
              </w:rPr>
              <w:t>医院绩效评价</w:t>
            </w:r>
            <w:r>
              <w:rPr>
                <w:rFonts w:hint="eastAsia" w:ascii="仿宋" w:hAnsi="仿宋" w:eastAsia="仿宋"/>
                <w:color w:val="auto"/>
                <w:kern w:val="0"/>
                <w:sz w:val="24"/>
                <w:szCs w:val="24"/>
              </w:rPr>
              <w:t>相挂钩</w:t>
            </w:r>
            <w:r>
              <w:rPr>
                <w:rFonts w:ascii="仿宋" w:hAnsi="仿宋" w:eastAsia="仿宋"/>
                <w:color w:val="auto"/>
                <w:kern w:val="0"/>
                <w:sz w:val="24"/>
                <w:szCs w:val="24"/>
              </w:rPr>
              <w:t>，</w:t>
            </w:r>
            <w:r>
              <w:rPr>
                <w:rFonts w:hint="eastAsia" w:ascii="仿宋" w:hAnsi="仿宋" w:eastAsia="仿宋"/>
                <w:color w:val="auto"/>
                <w:kern w:val="0"/>
                <w:sz w:val="24"/>
                <w:szCs w:val="24"/>
              </w:rPr>
              <w:t>引导医疗机构聚力提升医疗服务质量</w:t>
            </w:r>
            <w:r>
              <w:rPr>
                <w:rFonts w:ascii="仿宋" w:hAnsi="仿宋" w:eastAsia="仿宋"/>
                <w:color w:val="auto"/>
                <w:kern w:val="0"/>
                <w:sz w:val="24"/>
                <w:szCs w:val="24"/>
              </w:rPr>
              <w:t>。</w:t>
            </w:r>
          </w:p>
        </w:tc>
      </w:tr>
    </w:tbl>
    <w:p>
      <w:pPr>
        <w:pStyle w:val="3"/>
        <w:spacing w:before="0" w:after="0" w:line="360" w:lineRule="auto"/>
        <w:ind w:firstLine="562" w:firstLineChars="200"/>
        <w:rPr>
          <w:rFonts w:ascii="楷体_GB2312" w:eastAsia="楷体_GB2312"/>
          <w:color w:val="auto"/>
          <w:sz w:val="28"/>
          <w:szCs w:val="28"/>
        </w:rPr>
      </w:pPr>
      <w:bookmarkStart w:id="12" w:name="_Toc81666353"/>
      <w:r>
        <w:rPr>
          <w:rFonts w:hint="eastAsia" w:ascii="楷体_GB2312" w:eastAsia="楷体_GB2312"/>
          <w:color w:val="auto"/>
          <w:sz w:val="28"/>
          <w:szCs w:val="28"/>
        </w:rPr>
        <w:t>（四）优化医疗保障基金综合监管</w:t>
      </w:r>
      <w:bookmarkEnd w:id="12"/>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1.深化医保基金综合监管机制改革。</w:t>
      </w:r>
      <w:r>
        <w:rPr>
          <w:rFonts w:hint="eastAsia" w:ascii="仿宋_GB2312" w:eastAsia="仿宋_GB2312"/>
          <w:color w:val="auto"/>
          <w:sz w:val="28"/>
          <w:szCs w:val="32"/>
        </w:rPr>
        <w:t>推进基金监管改革，完善创新基金监管方式</w:t>
      </w:r>
      <w:r>
        <w:rPr>
          <w:rFonts w:ascii="仿宋_GB2312" w:eastAsia="仿宋_GB2312"/>
          <w:color w:val="auto"/>
          <w:sz w:val="28"/>
          <w:szCs w:val="32"/>
        </w:rPr>
        <w:t>，</w:t>
      </w:r>
      <w:r>
        <w:rPr>
          <w:rFonts w:hint="eastAsia" w:ascii="仿宋_GB2312" w:eastAsia="仿宋_GB2312"/>
          <w:color w:val="auto"/>
          <w:sz w:val="28"/>
          <w:szCs w:val="32"/>
          <w:lang w:eastAsia="zh-Hans"/>
        </w:rPr>
        <w:t>围绕</w:t>
      </w:r>
      <w:r>
        <w:rPr>
          <w:rFonts w:hint="eastAsia" w:ascii="仿宋_GB2312" w:eastAsia="仿宋_GB2312"/>
          <w:color w:val="auto"/>
          <w:sz w:val="28"/>
          <w:szCs w:val="32"/>
        </w:rPr>
        <w:t>“七个监管”</w:t>
      </w:r>
      <w:r>
        <w:rPr>
          <w:rFonts w:hint="eastAsia" w:ascii="仿宋_GB2312" w:eastAsia="仿宋_GB2312"/>
          <w:color w:val="auto"/>
          <w:sz w:val="28"/>
          <w:szCs w:val="32"/>
          <w:lang w:eastAsia="zh-Hans"/>
        </w:rPr>
        <w:t>核心理念</w:t>
      </w:r>
      <w:r>
        <w:rPr>
          <w:rFonts w:ascii="仿宋_GB2312" w:eastAsia="仿宋_GB2312"/>
          <w:color w:val="auto"/>
          <w:sz w:val="28"/>
          <w:szCs w:val="32"/>
        </w:rPr>
        <w:t>，</w:t>
      </w:r>
      <w:r>
        <w:rPr>
          <w:rFonts w:hint="eastAsia" w:ascii="仿宋_GB2312" w:eastAsia="仿宋_GB2312"/>
          <w:color w:val="auto"/>
          <w:sz w:val="28"/>
          <w:szCs w:val="32"/>
          <w:lang w:eastAsia="zh-Hans"/>
        </w:rPr>
        <w:t>不断深化医保基金综合监管试点建设</w:t>
      </w:r>
      <w:r>
        <w:rPr>
          <w:rFonts w:hint="eastAsia" w:ascii="仿宋_GB2312" w:eastAsia="仿宋_GB2312"/>
          <w:color w:val="auto"/>
          <w:sz w:val="28"/>
          <w:szCs w:val="32"/>
        </w:rPr>
        <w:t>。建立部门联动机制，开展联合检查，形成监管合力。积极引入信息技术服务机构、会计师事务所、商业保险机构等第三方力量参与医疗保障基金监管，建立和完善政府购买服务制度，推行按服务绩效付费，提升监管的专业性。</w:t>
      </w:r>
      <w:r>
        <w:rPr>
          <w:rFonts w:hint="eastAsia" w:ascii="仿宋_GB2312" w:eastAsia="仿宋_GB2312"/>
          <w:color w:val="auto"/>
          <w:sz w:val="28"/>
          <w:szCs w:val="32"/>
          <w:lang w:eastAsia="zh-Hans"/>
        </w:rPr>
        <w:t>探索建立</w:t>
      </w:r>
      <w:r>
        <w:rPr>
          <w:rFonts w:hint="eastAsia" w:ascii="仿宋_GB2312" w:eastAsia="仿宋_GB2312"/>
          <w:color w:val="auto"/>
          <w:sz w:val="28"/>
          <w:szCs w:val="32"/>
        </w:rPr>
        <w:t>公立医院及大型民营医院</w:t>
      </w:r>
      <w:r>
        <w:rPr>
          <w:rFonts w:hint="eastAsia" w:ascii="仿宋_GB2312" w:eastAsia="仿宋_GB2312"/>
          <w:color w:val="auto"/>
          <w:sz w:val="28"/>
          <w:szCs w:val="32"/>
          <w:lang w:eastAsia="zh-Hans"/>
        </w:rPr>
        <w:t>主动</w:t>
      </w:r>
      <w:r>
        <w:rPr>
          <w:rFonts w:hint="eastAsia" w:ascii="仿宋_GB2312" w:eastAsia="仿宋_GB2312"/>
          <w:color w:val="auto"/>
          <w:sz w:val="28"/>
          <w:szCs w:val="32"/>
        </w:rPr>
        <w:t>邀请第三方公司进行</w:t>
      </w:r>
      <w:r>
        <w:rPr>
          <w:rFonts w:hint="eastAsia" w:ascii="仿宋_GB2312" w:eastAsia="仿宋_GB2312"/>
          <w:color w:val="auto"/>
          <w:sz w:val="28"/>
          <w:szCs w:val="32"/>
          <w:lang w:eastAsia="zh-Hans"/>
        </w:rPr>
        <w:t>医保基金使用情况</w:t>
      </w:r>
      <w:r>
        <w:rPr>
          <w:rFonts w:hint="eastAsia" w:ascii="仿宋_GB2312" w:eastAsia="仿宋_GB2312"/>
          <w:color w:val="auto"/>
          <w:sz w:val="28"/>
          <w:szCs w:val="32"/>
        </w:rPr>
        <w:t>大数据审核</w:t>
      </w:r>
      <w:r>
        <w:rPr>
          <w:rFonts w:hint="eastAsia" w:ascii="仿宋_GB2312" w:eastAsia="仿宋_GB2312"/>
          <w:color w:val="auto"/>
          <w:sz w:val="28"/>
          <w:szCs w:val="32"/>
          <w:lang w:eastAsia="zh-Hans"/>
        </w:rPr>
        <w:t>的工作机制</w:t>
      </w:r>
      <w:r>
        <w:rPr>
          <w:rFonts w:ascii="仿宋_GB2312" w:eastAsia="仿宋_GB2312"/>
          <w:color w:val="auto"/>
          <w:sz w:val="28"/>
          <w:szCs w:val="32"/>
          <w:lang w:eastAsia="zh-Hans"/>
        </w:rPr>
        <w:t>，</w:t>
      </w:r>
      <w:r>
        <w:rPr>
          <w:rFonts w:hint="eastAsia" w:ascii="仿宋_GB2312" w:eastAsia="仿宋_GB2312"/>
          <w:color w:val="auto"/>
          <w:sz w:val="28"/>
          <w:szCs w:val="32"/>
        </w:rPr>
        <w:t>突出</w:t>
      </w:r>
      <w:r>
        <w:rPr>
          <w:rFonts w:hint="eastAsia" w:ascii="仿宋_GB2312" w:eastAsia="仿宋_GB2312"/>
          <w:color w:val="auto"/>
          <w:sz w:val="28"/>
          <w:szCs w:val="32"/>
          <w:lang w:eastAsia="zh-Hans"/>
        </w:rPr>
        <w:t>定点医疗机构</w:t>
      </w:r>
      <w:r>
        <w:rPr>
          <w:rFonts w:hint="eastAsia" w:ascii="仿宋_GB2312" w:eastAsia="仿宋_GB2312"/>
          <w:color w:val="auto"/>
          <w:sz w:val="28"/>
          <w:szCs w:val="32"/>
        </w:rPr>
        <w:t>主体责任</w:t>
      </w:r>
      <w:r>
        <w:rPr>
          <w:rFonts w:ascii="仿宋_GB2312" w:eastAsia="仿宋_GB2312"/>
          <w:color w:val="auto"/>
          <w:sz w:val="28"/>
          <w:szCs w:val="32"/>
          <w:lang w:eastAsia="zh-Hans"/>
        </w:rPr>
        <w:t>。</w:t>
      </w:r>
      <w:r>
        <w:rPr>
          <w:rFonts w:hint="eastAsia" w:ascii="仿宋_GB2312" w:eastAsia="仿宋_GB2312"/>
          <w:color w:val="auto"/>
          <w:sz w:val="28"/>
          <w:szCs w:val="32"/>
        </w:rPr>
        <w:t>建立健全基金监管执法制度、流程和标准，完善飞行检查工作机制，推进有法可依、规范执法。理顺医保行政监管与经办协议管理的关系，明确行政监管与经办稽核的职责边界。抓实日常监督检查，开展经办稽核、联合检查、专项检查、专家审查、</w:t>
      </w:r>
      <w:r>
        <w:rPr>
          <w:rFonts w:hint="eastAsia" w:ascii="仿宋_GB2312" w:eastAsia="仿宋_GB2312"/>
          <w:color w:val="auto"/>
          <w:sz w:val="28"/>
          <w:szCs w:val="32"/>
          <w:lang w:eastAsia="zh-CN"/>
        </w:rPr>
        <w:t>“双随机、一公开”</w:t>
      </w:r>
      <w:r>
        <w:rPr>
          <w:rFonts w:hint="eastAsia" w:ascii="仿宋_GB2312" w:eastAsia="仿宋_GB2312"/>
          <w:color w:val="auto"/>
          <w:sz w:val="28"/>
          <w:szCs w:val="32"/>
        </w:rPr>
        <w:t>监管，积极推进“互联网+监管”，促进信息共享，压实各级医疗保障部门监管责任，形成系统高效的医保基金监督检查体系。</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2</w:t>
      </w:r>
      <w:r>
        <w:rPr>
          <w:rFonts w:ascii="仿宋_GB2312" w:eastAsia="仿宋_GB2312"/>
          <w:b/>
          <w:bCs/>
          <w:color w:val="auto"/>
          <w:sz w:val="28"/>
          <w:szCs w:val="32"/>
        </w:rPr>
        <w:t>.</w:t>
      </w:r>
      <w:r>
        <w:rPr>
          <w:rFonts w:hint="eastAsia" w:ascii="仿宋_GB2312" w:eastAsia="仿宋_GB2312"/>
          <w:b/>
          <w:bCs/>
          <w:color w:val="auto"/>
          <w:sz w:val="28"/>
          <w:szCs w:val="32"/>
        </w:rPr>
        <w:t>全面推行基金预算绩效管理。</w:t>
      </w:r>
      <w:r>
        <w:rPr>
          <w:rFonts w:hint="eastAsia" w:ascii="仿宋_GB2312" w:eastAsia="仿宋_GB2312"/>
          <w:color w:val="auto"/>
          <w:sz w:val="28"/>
          <w:szCs w:val="32"/>
        </w:rPr>
        <w:t>将</w:t>
      </w:r>
      <w:r>
        <w:rPr>
          <w:rFonts w:ascii="仿宋_GB2312" w:eastAsia="仿宋_GB2312"/>
          <w:color w:val="auto"/>
          <w:sz w:val="28"/>
          <w:szCs w:val="32"/>
        </w:rPr>
        <w:t>绩效引领</w:t>
      </w:r>
      <w:r>
        <w:rPr>
          <w:rFonts w:hint="eastAsia" w:ascii="仿宋_GB2312" w:eastAsia="仿宋_GB2312"/>
          <w:color w:val="auto"/>
          <w:sz w:val="28"/>
          <w:szCs w:val="32"/>
        </w:rPr>
        <w:t>作为重中之重</w:t>
      </w:r>
      <w:r>
        <w:rPr>
          <w:rFonts w:ascii="仿宋_GB2312" w:eastAsia="仿宋_GB2312"/>
          <w:color w:val="auto"/>
          <w:sz w:val="28"/>
          <w:szCs w:val="32"/>
        </w:rPr>
        <w:t>，按照“预算精准、负担合理、运行高效”的建设目标，构建符合新时代医保发展需求的基金绩效评价体系。全面实施基金绩效评价管理办法，发挥好激励约束作用，促进基金管理提质增效。加强区域医疗服务能力评估，</w:t>
      </w:r>
      <w:r>
        <w:rPr>
          <w:rFonts w:hint="eastAsia" w:ascii="仿宋_GB2312" w:eastAsia="仿宋_GB2312"/>
          <w:color w:val="auto"/>
          <w:sz w:val="28"/>
          <w:szCs w:val="32"/>
        </w:rPr>
        <w:t>将</w:t>
      </w:r>
      <w:r>
        <w:rPr>
          <w:rFonts w:ascii="仿宋_GB2312" w:eastAsia="仿宋_GB2312"/>
          <w:color w:val="auto"/>
          <w:sz w:val="28"/>
          <w:szCs w:val="32"/>
        </w:rPr>
        <w:t>医保基金支付与定点医药机构绩效考核结果挂钩。</w:t>
      </w:r>
      <w:r>
        <w:rPr>
          <w:rFonts w:hint="eastAsia" w:ascii="仿宋_GB2312" w:eastAsia="仿宋_GB2312"/>
          <w:color w:val="auto"/>
          <w:sz w:val="28"/>
          <w:szCs w:val="32"/>
        </w:rPr>
        <w:t>健全基金运行风险评估和预警机制，将评估结果作为</w:t>
      </w:r>
      <w:r>
        <w:rPr>
          <w:rFonts w:hint="eastAsia" w:ascii="仿宋_GB2312" w:eastAsia="仿宋_GB2312"/>
          <w:color w:val="auto"/>
          <w:sz w:val="28"/>
          <w:szCs w:val="32"/>
          <w:lang w:val="en-US" w:eastAsia="zh-CN"/>
        </w:rPr>
        <w:t>市级统筹下的市-县两级责任分担评价依据，为</w:t>
      </w:r>
      <w:r>
        <w:rPr>
          <w:rFonts w:hint="eastAsia" w:ascii="仿宋_GB2312" w:eastAsia="仿宋_GB2312"/>
          <w:color w:val="auto"/>
          <w:sz w:val="28"/>
          <w:szCs w:val="32"/>
        </w:rPr>
        <w:t>筹资、待遇和支付方式等政策调整</w:t>
      </w:r>
      <w:r>
        <w:rPr>
          <w:rFonts w:hint="eastAsia" w:ascii="仿宋_GB2312" w:eastAsia="仿宋_GB2312"/>
          <w:color w:val="auto"/>
          <w:sz w:val="28"/>
          <w:szCs w:val="32"/>
          <w:lang w:val="en-US" w:eastAsia="zh-CN"/>
        </w:rPr>
        <w:t>提供决策基础</w:t>
      </w:r>
      <w:r>
        <w:rPr>
          <w:rFonts w:hint="eastAsia" w:ascii="仿宋_GB2312" w:eastAsia="仿宋_GB2312"/>
          <w:color w:val="auto"/>
          <w:sz w:val="28"/>
          <w:szCs w:val="32"/>
        </w:rPr>
        <w:t>。</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3</w:t>
      </w:r>
      <w:r>
        <w:rPr>
          <w:rFonts w:ascii="仿宋_GB2312" w:eastAsia="仿宋_GB2312"/>
          <w:b/>
          <w:bCs/>
          <w:color w:val="auto"/>
          <w:sz w:val="28"/>
          <w:szCs w:val="32"/>
        </w:rPr>
        <w:t>.</w:t>
      </w:r>
      <w:r>
        <w:rPr>
          <w:rFonts w:hint="eastAsia" w:ascii="仿宋_GB2312" w:eastAsia="仿宋_GB2312"/>
          <w:b/>
          <w:bCs/>
          <w:color w:val="auto"/>
          <w:sz w:val="28"/>
          <w:szCs w:val="32"/>
        </w:rPr>
        <w:t>加强医保基金精算平衡。</w:t>
      </w:r>
      <w:r>
        <w:rPr>
          <w:rFonts w:hint="eastAsia" w:ascii="仿宋_GB2312" w:eastAsia="仿宋_GB2312"/>
          <w:color w:val="auto"/>
          <w:sz w:val="28"/>
          <w:szCs w:val="32"/>
        </w:rPr>
        <w:t>坚持以收定支、收支平衡、略有结余，科学编制医疗保障基金收支预算。全市统一编制职工医保基金、城乡居民医保基金收支预算。以经济社会发展水平、医疗费用控制目标、待遇政策调整、参保人员年龄结构等因素为考量，努力提高基金预算编制科学化、规范化水平。注重预算执行监督，完善基金预算编制多部门联合审核机制，落实预算编制目标，监督预算执行过程。加强医保部门筹资的大数据精算能力建设，健全基金运行风险评估及预警机制。</w:t>
      </w:r>
    </w:p>
    <w:tbl>
      <w:tblPr>
        <w:tblStyle w:val="12"/>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5" w:type="dxa"/>
            <w:vAlign w:val="center"/>
          </w:tcPr>
          <w:p>
            <w:pPr>
              <w:ind w:firstLine="560" w:firstLineChars="200"/>
              <w:jc w:val="center"/>
              <w:rPr>
                <w:rFonts w:ascii="黑体" w:hAnsi="黑体" w:eastAsia="黑体"/>
                <w:color w:val="auto"/>
                <w:sz w:val="28"/>
                <w:szCs w:val="32"/>
              </w:rPr>
            </w:pPr>
            <w:r>
              <w:rPr>
                <w:rFonts w:hint="eastAsia" w:ascii="黑体" w:hAnsi="黑体" w:eastAsia="黑体"/>
                <w:color w:val="auto"/>
                <w:sz w:val="28"/>
                <w:szCs w:val="32"/>
              </w:rPr>
              <w:t>专栏</w:t>
            </w:r>
            <w:r>
              <w:rPr>
                <w:rFonts w:hint="eastAsia" w:ascii="黑体" w:hAnsi="黑体" w:eastAsia="黑体"/>
                <w:color w:val="auto"/>
                <w:sz w:val="28"/>
                <w:szCs w:val="32"/>
                <w:lang w:val="en-US" w:eastAsia="zh-CN"/>
              </w:rPr>
              <w:t>3</w:t>
            </w:r>
            <w:r>
              <w:rPr>
                <w:rFonts w:hint="eastAsia" w:ascii="黑体" w:hAnsi="黑体" w:eastAsia="黑体"/>
                <w:color w:val="auto"/>
                <w:sz w:val="28"/>
                <w:szCs w:val="32"/>
              </w:rPr>
              <w:t xml:space="preserve">  医保基金可持续能力提升工程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vAlign w:val="center"/>
          </w:tcPr>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（一）提升基金预算管理能力</w:t>
            </w:r>
          </w:p>
          <w:p>
            <w:pPr>
              <w:snapToGrid w:val="0"/>
              <w:spacing w:line="400" w:lineRule="exact"/>
              <w:ind w:firstLine="480" w:firstLineChars="200"/>
              <w:rPr>
                <w:rFonts w:ascii="仿宋" w:hAnsi="仿宋" w:eastAsia="仿宋"/>
                <w:color w:val="auto"/>
                <w:kern w:val="0"/>
                <w:sz w:val="24"/>
                <w:szCs w:val="24"/>
              </w:rPr>
            </w:pPr>
            <w:r>
              <w:rPr>
                <w:rFonts w:ascii="仿宋" w:hAnsi="仿宋" w:eastAsia="仿宋"/>
                <w:color w:val="auto"/>
                <w:kern w:val="0"/>
                <w:sz w:val="24"/>
                <w:szCs w:val="24"/>
              </w:rPr>
              <w:t>完善基本医疗保险基金收支预算，科学编制基金预算。根据当地经济发展水平、工资水平、医疗保险筹资比例等因素编制收入预算，根据参保人员年龄结构、疾病谱、医疗费用增长趋势、医疗保险受益面、保障水平和基金结余情况编制支出预算。规范预算编制办法，严格预算约束。</w:t>
            </w:r>
          </w:p>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（二）健全基金绩效评价体系</w:t>
            </w:r>
          </w:p>
          <w:p>
            <w:pPr>
              <w:snapToGrid w:val="0"/>
              <w:spacing w:line="400" w:lineRule="exact"/>
              <w:ind w:firstLine="480" w:firstLineChars="200"/>
              <w:rPr>
                <w:rFonts w:ascii="仿宋" w:hAnsi="仿宋" w:eastAsia="仿宋"/>
                <w:color w:val="auto"/>
                <w:kern w:val="0"/>
                <w:sz w:val="24"/>
                <w:szCs w:val="24"/>
              </w:rPr>
            </w:pPr>
            <w:r>
              <w:rPr>
                <w:rFonts w:ascii="仿宋" w:hAnsi="仿宋" w:eastAsia="仿宋"/>
                <w:color w:val="auto"/>
                <w:kern w:val="0"/>
                <w:sz w:val="24"/>
                <w:szCs w:val="24"/>
              </w:rPr>
              <w:t>按照“预算精准、负担合理、运行高效”的目标，</w:t>
            </w:r>
            <w:r>
              <w:rPr>
                <w:rFonts w:hint="eastAsia" w:ascii="仿宋" w:hAnsi="仿宋" w:eastAsia="仿宋"/>
                <w:color w:val="auto"/>
                <w:kern w:val="0"/>
                <w:sz w:val="24"/>
                <w:szCs w:val="24"/>
                <w:lang w:val="en-US" w:eastAsia="zh-CN"/>
              </w:rPr>
              <w:t>在基本医保市级统筹体系下</w:t>
            </w:r>
            <w:r>
              <w:rPr>
                <w:rFonts w:ascii="仿宋" w:hAnsi="仿宋" w:eastAsia="仿宋"/>
                <w:color w:val="auto"/>
                <w:kern w:val="0"/>
                <w:sz w:val="24"/>
                <w:szCs w:val="24"/>
              </w:rPr>
              <w:t>制定医疗保障基金绩效评价指标体系，对基本医疗保险基金征收、支付、结余、监管等基金管理全过程进行绩效评价。明确基金绩效评价办法和评价程序，制定绩效考核方案，统一绩效评价数据口径、计算标准和评分依据，规范绩效评价过程。建立绩效评价反馈机制，推动评价结果多场景应用，完善激励机制，以绩效评价带动基金管理补短板、提质量。</w:t>
            </w:r>
          </w:p>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（三）完善基金中长期精算平衡机制</w:t>
            </w:r>
          </w:p>
          <w:p>
            <w:pPr>
              <w:snapToGrid w:val="0"/>
              <w:spacing w:line="400" w:lineRule="exact"/>
              <w:ind w:firstLine="480" w:firstLineChars="200"/>
              <w:rPr>
                <w:rFonts w:ascii="仿宋" w:hAnsi="仿宋" w:eastAsia="仿宋"/>
                <w:color w:val="auto"/>
                <w:sz w:val="28"/>
                <w:szCs w:val="32"/>
              </w:rPr>
            </w:pPr>
            <w:r>
              <w:rPr>
                <w:rFonts w:ascii="仿宋" w:hAnsi="仿宋" w:eastAsia="仿宋"/>
                <w:color w:val="auto"/>
                <w:kern w:val="0"/>
                <w:sz w:val="24"/>
                <w:szCs w:val="24"/>
              </w:rPr>
              <w:t>强化基金运行风险分析，加强基金运行状况实时监测。对基本医疗保险人口结构、基金支出、当期结余、累计结余等进行动态监测，合理设置风险预警线，对基金运行状况予以预警。</w:t>
            </w:r>
          </w:p>
        </w:tc>
      </w:tr>
    </w:tbl>
    <w:p>
      <w:pPr>
        <w:ind w:firstLine="560" w:firstLineChars="200"/>
        <w:rPr>
          <w:rFonts w:ascii="仿宋_GB2312" w:eastAsia="仿宋_GB2312"/>
          <w:color w:val="auto"/>
          <w:sz w:val="28"/>
          <w:szCs w:val="32"/>
        </w:rPr>
      </w:pPr>
    </w:p>
    <w:p>
      <w:pPr>
        <w:ind w:firstLine="562" w:firstLineChars="200"/>
        <w:rPr>
          <w:rFonts w:ascii="仿宋_GB2312" w:eastAsia="仿宋_GB2312"/>
          <w:color w:val="auto"/>
          <w:sz w:val="28"/>
          <w:szCs w:val="32"/>
        </w:rPr>
      </w:pPr>
      <w:r>
        <w:rPr>
          <w:rFonts w:ascii="仿宋_GB2312" w:eastAsia="仿宋_GB2312"/>
          <w:b/>
          <w:bCs/>
          <w:color w:val="auto"/>
          <w:sz w:val="28"/>
          <w:szCs w:val="32"/>
        </w:rPr>
        <w:t>4.</w:t>
      </w:r>
      <w:r>
        <w:rPr>
          <w:rFonts w:hint="eastAsia" w:ascii="仿宋_GB2312" w:eastAsia="仿宋_GB2312"/>
          <w:b/>
          <w:bCs/>
          <w:color w:val="auto"/>
          <w:sz w:val="28"/>
          <w:szCs w:val="32"/>
        </w:rPr>
        <w:t>建立医保基金监管信用体系。</w:t>
      </w:r>
      <w:r>
        <w:rPr>
          <w:rFonts w:hint="eastAsia" w:ascii="仿宋_GB2312" w:eastAsia="仿宋_GB2312"/>
          <w:color w:val="auto"/>
          <w:sz w:val="28"/>
          <w:szCs w:val="32"/>
        </w:rPr>
        <w:t>建立完善医保基金监管信用管理体系，重点探索基金监管信用体系建设相关标准、规范和指标体系，相关信息采集、评价和结果应用等内容。建立医药机构和参保人员医保信用记录、信用评价制度和积分管理制度。创新定点医药机构综合绩效考评机制，将信用评价结果、综合绩效考评结果与预算管理、检查稽核、定点协议管理等相关联。鼓励公立医疗机构、非公立医疗机构、零售药店、医师、药师等行业协会开展行业规范和自律建设，制定并落实自律公约，促进行业规范和自我约束。建立失信惩戒制度，积极推动将欺诈骗保行为纳入当地信用管理体系，发挥联合惩戒威慑力。</w:t>
      </w:r>
    </w:p>
    <w:tbl>
      <w:tblPr>
        <w:tblStyle w:val="12"/>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5" w:type="dxa"/>
            <w:vAlign w:val="center"/>
          </w:tcPr>
          <w:p>
            <w:pPr>
              <w:snapToGrid w:val="0"/>
              <w:spacing w:line="400" w:lineRule="exact"/>
              <w:ind w:firstLine="560" w:firstLineChars="200"/>
              <w:jc w:val="center"/>
              <w:rPr>
                <w:rFonts w:ascii="黑体" w:hAnsi="黑体" w:eastAsia="黑体"/>
                <w:color w:val="auto"/>
                <w:kern w:val="0"/>
                <w:sz w:val="28"/>
                <w:szCs w:val="28"/>
              </w:rPr>
            </w:pPr>
            <w:r>
              <w:rPr>
                <w:rFonts w:hint="eastAsia" w:ascii="黑体" w:hAnsi="黑体" w:eastAsia="黑体"/>
                <w:color w:val="auto"/>
                <w:sz w:val="28"/>
                <w:szCs w:val="28"/>
              </w:rPr>
              <w:t>专栏</w:t>
            </w:r>
            <w:r>
              <w:rPr>
                <w:rFonts w:hint="eastAsia" w:ascii="黑体" w:hAnsi="黑体" w:eastAsia="黑体"/>
                <w:color w:val="auto"/>
                <w:sz w:val="28"/>
                <w:szCs w:val="28"/>
                <w:lang w:val="en-US" w:eastAsia="zh-CN"/>
              </w:rPr>
              <w:t>4</w:t>
            </w:r>
            <w:r>
              <w:rPr>
                <w:rFonts w:hint="eastAsia" w:ascii="黑体" w:hAnsi="黑体" w:eastAsia="黑体"/>
                <w:color w:val="auto"/>
                <w:sz w:val="28"/>
                <w:szCs w:val="28"/>
              </w:rPr>
              <w:t xml:space="preserve">  </w:t>
            </w:r>
            <w:r>
              <w:rPr>
                <w:rFonts w:hint="eastAsia" w:ascii="黑体" w:hAnsi="黑体" w:eastAsia="黑体"/>
                <w:color w:val="auto"/>
                <w:kern w:val="0"/>
                <w:sz w:val="28"/>
                <w:szCs w:val="28"/>
              </w:rPr>
              <w:t>医保基金综合监管体系“七个监管”工程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vAlign w:val="center"/>
          </w:tcPr>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（一）</w:t>
            </w:r>
            <w:r>
              <w:rPr>
                <w:rFonts w:hint="eastAsia" w:ascii="楷体" w:hAnsi="楷体" w:eastAsia="楷体"/>
                <w:color w:val="auto"/>
                <w:kern w:val="0"/>
                <w:sz w:val="24"/>
                <w:szCs w:val="24"/>
              </w:rPr>
              <w:tab/>
            </w:r>
            <w:r>
              <w:rPr>
                <w:rFonts w:hint="eastAsia" w:ascii="楷体" w:hAnsi="楷体" w:eastAsia="楷体"/>
                <w:color w:val="auto"/>
                <w:kern w:val="0"/>
                <w:sz w:val="24"/>
                <w:szCs w:val="24"/>
              </w:rPr>
              <w:t>以全覆盖加强机构监管</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lang w:eastAsia="zh-Hans"/>
              </w:rPr>
              <w:t>推进市级</w:t>
            </w:r>
            <w:r>
              <w:rPr>
                <w:rFonts w:hint="eastAsia" w:ascii="仿宋" w:hAnsi="仿宋" w:eastAsia="仿宋"/>
                <w:color w:val="auto"/>
                <w:kern w:val="0"/>
                <w:sz w:val="24"/>
                <w:szCs w:val="24"/>
              </w:rPr>
              <w:t>医保监管机构</w:t>
            </w:r>
            <w:r>
              <w:rPr>
                <w:rFonts w:hint="eastAsia" w:ascii="仿宋" w:hAnsi="仿宋" w:eastAsia="仿宋"/>
                <w:color w:val="auto"/>
                <w:kern w:val="0"/>
                <w:sz w:val="24"/>
                <w:szCs w:val="24"/>
                <w:lang w:eastAsia="zh-Hans"/>
              </w:rPr>
              <w:t>建设</w:t>
            </w:r>
            <w:r>
              <w:rPr>
                <w:rFonts w:hint="eastAsia" w:ascii="仿宋" w:hAnsi="仿宋" w:eastAsia="仿宋"/>
                <w:color w:val="auto"/>
                <w:kern w:val="0"/>
                <w:sz w:val="24"/>
                <w:szCs w:val="24"/>
              </w:rPr>
              <w:t>，夯实</w:t>
            </w:r>
            <w:r>
              <w:rPr>
                <w:rFonts w:hint="eastAsia" w:ascii="仿宋" w:hAnsi="仿宋" w:eastAsia="仿宋"/>
                <w:color w:val="auto"/>
                <w:kern w:val="0"/>
                <w:sz w:val="24"/>
                <w:szCs w:val="24"/>
                <w:lang w:eastAsia="zh-Hans"/>
              </w:rPr>
              <w:t>监管工作</w:t>
            </w:r>
            <w:r>
              <w:rPr>
                <w:rFonts w:hint="eastAsia" w:ascii="仿宋" w:hAnsi="仿宋" w:eastAsia="仿宋"/>
                <w:color w:val="auto"/>
                <w:kern w:val="0"/>
                <w:sz w:val="24"/>
                <w:szCs w:val="24"/>
              </w:rPr>
              <w:t>基础。结合“市-县-乡-村”“四位一体”医疗保障服务体系，同步建立</w:t>
            </w:r>
            <w:r>
              <w:rPr>
                <w:rFonts w:hint="eastAsia" w:ascii="仿宋" w:hAnsi="仿宋" w:eastAsia="仿宋"/>
                <w:color w:val="auto"/>
                <w:kern w:val="0"/>
                <w:sz w:val="24"/>
                <w:szCs w:val="24"/>
                <w:lang w:eastAsia="zh-Hans"/>
              </w:rPr>
              <w:t>完善</w:t>
            </w:r>
            <w:r>
              <w:rPr>
                <w:rFonts w:hint="eastAsia" w:ascii="仿宋" w:hAnsi="仿宋" w:eastAsia="仿宋"/>
                <w:color w:val="auto"/>
                <w:kern w:val="0"/>
                <w:sz w:val="24"/>
                <w:szCs w:val="24"/>
              </w:rPr>
              <w:t>医疗保障监管体系，</w:t>
            </w:r>
            <w:r>
              <w:rPr>
                <w:rFonts w:hint="eastAsia" w:ascii="仿宋" w:hAnsi="仿宋" w:eastAsia="仿宋"/>
                <w:color w:val="auto"/>
                <w:kern w:val="0"/>
                <w:sz w:val="24"/>
                <w:szCs w:val="24"/>
                <w:lang w:eastAsia="zh-Hans"/>
              </w:rPr>
              <w:t>全面建成</w:t>
            </w:r>
            <w:r>
              <w:rPr>
                <w:rFonts w:hint="eastAsia" w:ascii="仿宋" w:hAnsi="仿宋" w:eastAsia="仿宋"/>
                <w:color w:val="auto"/>
                <w:kern w:val="0"/>
                <w:sz w:val="24"/>
                <w:szCs w:val="24"/>
              </w:rPr>
              <w:t>“服务+监管”的大医疗保障格局。</w:t>
            </w:r>
          </w:p>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（二）</w:t>
            </w:r>
            <w:r>
              <w:rPr>
                <w:rFonts w:hint="eastAsia" w:ascii="楷体" w:hAnsi="楷体" w:eastAsia="楷体"/>
                <w:color w:val="auto"/>
                <w:kern w:val="0"/>
                <w:sz w:val="24"/>
                <w:szCs w:val="24"/>
              </w:rPr>
              <w:tab/>
            </w:r>
            <w:r>
              <w:rPr>
                <w:rFonts w:hint="eastAsia" w:ascii="楷体" w:hAnsi="楷体" w:eastAsia="楷体"/>
                <w:color w:val="auto"/>
                <w:kern w:val="0"/>
                <w:sz w:val="24"/>
                <w:szCs w:val="24"/>
              </w:rPr>
              <w:t>以法制化推进制度监管</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lang w:eastAsia="zh-Hans"/>
              </w:rPr>
              <w:t>不断</w:t>
            </w:r>
            <w:r>
              <w:rPr>
                <w:rFonts w:hint="eastAsia" w:ascii="仿宋" w:hAnsi="仿宋" w:eastAsia="仿宋"/>
                <w:color w:val="auto"/>
                <w:kern w:val="0"/>
                <w:sz w:val="24"/>
                <w:szCs w:val="24"/>
              </w:rPr>
              <w:t>健全重大案件处理集体讨论决策的工作机制和经办机构内控管理制度，</w:t>
            </w:r>
            <w:r>
              <w:rPr>
                <w:rFonts w:hint="eastAsia" w:ascii="仿宋" w:hAnsi="仿宋" w:eastAsia="仿宋"/>
                <w:color w:val="auto"/>
                <w:kern w:val="0"/>
                <w:sz w:val="24"/>
                <w:szCs w:val="24"/>
                <w:lang w:eastAsia="zh-Hans"/>
              </w:rPr>
              <w:t>提升监管法制化水平</w:t>
            </w:r>
            <w:r>
              <w:rPr>
                <w:rFonts w:ascii="仿宋" w:hAnsi="仿宋" w:eastAsia="仿宋"/>
                <w:color w:val="auto"/>
                <w:kern w:val="0"/>
                <w:sz w:val="24"/>
                <w:szCs w:val="24"/>
                <w:lang w:eastAsia="zh-Hans"/>
              </w:rPr>
              <w:t>，</w:t>
            </w:r>
            <w:r>
              <w:rPr>
                <w:rFonts w:hint="eastAsia" w:ascii="仿宋" w:hAnsi="仿宋" w:eastAsia="仿宋"/>
                <w:color w:val="auto"/>
                <w:kern w:val="0"/>
                <w:sz w:val="24"/>
                <w:szCs w:val="24"/>
              </w:rPr>
              <w:t>厘清医保行政监管和协议管理的关系。</w:t>
            </w:r>
          </w:p>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（三）</w:t>
            </w:r>
            <w:r>
              <w:rPr>
                <w:rFonts w:hint="eastAsia" w:ascii="楷体" w:hAnsi="楷体" w:eastAsia="楷体"/>
                <w:color w:val="auto"/>
                <w:kern w:val="0"/>
                <w:sz w:val="24"/>
                <w:szCs w:val="24"/>
              </w:rPr>
              <w:tab/>
            </w:r>
            <w:r>
              <w:rPr>
                <w:rFonts w:hint="eastAsia" w:ascii="楷体" w:hAnsi="楷体" w:eastAsia="楷体"/>
                <w:color w:val="auto"/>
                <w:kern w:val="0"/>
                <w:sz w:val="24"/>
                <w:szCs w:val="24"/>
              </w:rPr>
              <w:t>以大数据促进智能监管</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lang w:eastAsia="zh-Hans"/>
              </w:rPr>
              <w:t>丰富医保监管手段和方式</w:t>
            </w:r>
            <w:r>
              <w:rPr>
                <w:rFonts w:ascii="仿宋" w:hAnsi="仿宋" w:eastAsia="仿宋"/>
                <w:color w:val="auto"/>
                <w:kern w:val="0"/>
                <w:sz w:val="24"/>
                <w:szCs w:val="24"/>
                <w:lang w:eastAsia="zh-Hans"/>
              </w:rPr>
              <w:t>，</w:t>
            </w:r>
            <w:r>
              <w:rPr>
                <w:rFonts w:hint="eastAsia" w:ascii="仿宋" w:hAnsi="仿宋" w:eastAsia="仿宋"/>
                <w:color w:val="auto"/>
                <w:kern w:val="0"/>
                <w:sz w:val="24"/>
                <w:szCs w:val="24"/>
                <w:lang w:eastAsia="zh-Hans"/>
              </w:rPr>
              <w:t>推动</w:t>
            </w:r>
            <w:r>
              <w:rPr>
                <w:rFonts w:hint="eastAsia" w:ascii="仿宋" w:hAnsi="仿宋" w:eastAsia="仿宋"/>
                <w:color w:val="auto"/>
                <w:kern w:val="0"/>
                <w:sz w:val="24"/>
                <w:szCs w:val="24"/>
              </w:rPr>
              <w:t>基金监管系统</w:t>
            </w:r>
            <w:r>
              <w:rPr>
                <w:rFonts w:ascii="仿宋" w:hAnsi="仿宋" w:eastAsia="仿宋"/>
                <w:color w:val="auto"/>
                <w:kern w:val="0"/>
                <w:sz w:val="24"/>
                <w:szCs w:val="24"/>
              </w:rPr>
              <w:t>、</w:t>
            </w:r>
            <w:r>
              <w:rPr>
                <w:rFonts w:hint="eastAsia" w:ascii="仿宋" w:hAnsi="仿宋" w:eastAsia="仿宋"/>
                <w:color w:val="auto"/>
                <w:kern w:val="0"/>
                <w:sz w:val="24"/>
                <w:szCs w:val="24"/>
              </w:rPr>
              <w:t>智能审核系统</w:t>
            </w:r>
            <w:r>
              <w:rPr>
                <w:rFonts w:ascii="仿宋" w:hAnsi="仿宋" w:eastAsia="仿宋"/>
                <w:color w:val="auto"/>
                <w:kern w:val="0"/>
                <w:sz w:val="24"/>
                <w:szCs w:val="24"/>
              </w:rPr>
              <w:t>、</w:t>
            </w:r>
            <w:r>
              <w:rPr>
                <w:rFonts w:hint="eastAsia" w:ascii="仿宋" w:hAnsi="仿宋" w:eastAsia="仿宋"/>
                <w:color w:val="auto"/>
                <w:kern w:val="0"/>
                <w:sz w:val="24"/>
                <w:szCs w:val="24"/>
              </w:rPr>
              <w:t>视频监控</w:t>
            </w:r>
            <w:r>
              <w:rPr>
                <w:rFonts w:hint="eastAsia" w:ascii="仿宋" w:hAnsi="仿宋" w:eastAsia="仿宋"/>
                <w:color w:val="auto"/>
                <w:kern w:val="0"/>
                <w:sz w:val="24"/>
                <w:szCs w:val="24"/>
                <w:lang w:eastAsia="zh-Hans"/>
              </w:rPr>
              <w:t>系统建设发展</w:t>
            </w:r>
            <w:r>
              <w:rPr>
                <w:rFonts w:hint="eastAsia" w:ascii="仿宋" w:hAnsi="仿宋" w:eastAsia="仿宋"/>
                <w:color w:val="auto"/>
                <w:kern w:val="0"/>
                <w:sz w:val="24"/>
                <w:szCs w:val="24"/>
              </w:rPr>
              <w:t>，</w:t>
            </w:r>
            <w:r>
              <w:rPr>
                <w:rFonts w:hint="eastAsia" w:ascii="仿宋" w:hAnsi="仿宋" w:eastAsia="仿宋"/>
                <w:color w:val="auto"/>
                <w:kern w:val="0"/>
                <w:sz w:val="24"/>
                <w:szCs w:val="24"/>
                <w:lang w:eastAsia="zh-Hans"/>
              </w:rPr>
              <w:t>发挥</w:t>
            </w:r>
            <w:r>
              <w:rPr>
                <w:rFonts w:hint="eastAsia" w:ascii="仿宋" w:hAnsi="仿宋" w:eastAsia="仿宋"/>
                <w:color w:val="auto"/>
                <w:kern w:val="0"/>
                <w:sz w:val="24"/>
                <w:szCs w:val="24"/>
              </w:rPr>
              <w:t>医保管理大数据分析平台</w:t>
            </w:r>
            <w:r>
              <w:rPr>
                <w:rFonts w:hint="eastAsia" w:ascii="仿宋" w:hAnsi="仿宋" w:eastAsia="仿宋"/>
                <w:color w:val="auto"/>
                <w:kern w:val="0"/>
                <w:sz w:val="24"/>
                <w:szCs w:val="24"/>
                <w:lang w:eastAsia="zh-Hans"/>
              </w:rPr>
              <w:t>与</w:t>
            </w:r>
            <w:r>
              <w:rPr>
                <w:rFonts w:hint="eastAsia" w:ascii="仿宋" w:hAnsi="仿宋" w:eastAsia="仿宋"/>
                <w:color w:val="auto"/>
                <w:kern w:val="0"/>
                <w:sz w:val="24"/>
                <w:szCs w:val="24"/>
              </w:rPr>
              <w:t>丽水市医保基金运行管理系统工程</w:t>
            </w:r>
            <w:r>
              <w:rPr>
                <w:rFonts w:hint="eastAsia" w:ascii="仿宋" w:hAnsi="仿宋" w:eastAsia="仿宋"/>
                <w:color w:val="auto"/>
                <w:kern w:val="0"/>
                <w:sz w:val="24"/>
                <w:szCs w:val="24"/>
                <w:lang w:eastAsia="zh-Hans"/>
              </w:rPr>
              <w:t>的数字化监管效益</w:t>
            </w:r>
            <w:r>
              <w:rPr>
                <w:rFonts w:hint="eastAsia" w:ascii="仿宋" w:hAnsi="仿宋" w:eastAsia="仿宋"/>
                <w:color w:val="auto"/>
                <w:kern w:val="0"/>
                <w:sz w:val="24"/>
                <w:szCs w:val="24"/>
              </w:rPr>
              <w:t>。</w:t>
            </w:r>
          </w:p>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（四）</w:t>
            </w:r>
            <w:r>
              <w:rPr>
                <w:rFonts w:hint="eastAsia" w:ascii="楷体" w:hAnsi="楷体" w:eastAsia="楷体"/>
                <w:color w:val="auto"/>
                <w:kern w:val="0"/>
                <w:sz w:val="24"/>
                <w:szCs w:val="24"/>
              </w:rPr>
              <w:tab/>
            </w:r>
            <w:r>
              <w:rPr>
                <w:rFonts w:hint="eastAsia" w:ascii="楷体" w:hAnsi="楷体" w:eastAsia="楷体"/>
                <w:color w:val="auto"/>
                <w:kern w:val="0"/>
                <w:sz w:val="24"/>
                <w:szCs w:val="24"/>
              </w:rPr>
              <w:t>以规范化提升借力监管</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拓展第三方借力监管范围，引入第三方公司全程参与医保基金监管</w:t>
            </w:r>
            <w:r>
              <w:rPr>
                <w:rFonts w:ascii="仿宋" w:hAnsi="仿宋" w:eastAsia="仿宋"/>
                <w:color w:val="auto"/>
                <w:kern w:val="0"/>
                <w:sz w:val="24"/>
                <w:szCs w:val="24"/>
              </w:rPr>
              <w:t>，</w:t>
            </w:r>
            <w:r>
              <w:rPr>
                <w:rFonts w:hint="eastAsia" w:ascii="仿宋" w:hAnsi="仿宋" w:eastAsia="仿宋"/>
                <w:color w:val="auto"/>
                <w:kern w:val="0"/>
                <w:sz w:val="24"/>
                <w:szCs w:val="24"/>
              </w:rPr>
              <w:t>对全市所有医保经办机构</w:t>
            </w:r>
            <w:r>
              <w:rPr>
                <w:rFonts w:hint="eastAsia" w:ascii="仿宋" w:hAnsi="仿宋" w:eastAsia="仿宋"/>
                <w:color w:val="auto"/>
                <w:kern w:val="0"/>
                <w:sz w:val="24"/>
                <w:szCs w:val="24"/>
                <w:lang w:eastAsia="zh-Hans"/>
              </w:rPr>
              <w:t>与</w:t>
            </w:r>
            <w:r>
              <w:rPr>
                <w:rFonts w:hint="eastAsia" w:ascii="仿宋" w:hAnsi="仿宋" w:eastAsia="仿宋"/>
                <w:color w:val="auto"/>
                <w:kern w:val="0"/>
                <w:sz w:val="24"/>
                <w:szCs w:val="24"/>
              </w:rPr>
              <w:t>定点医药机构</w:t>
            </w:r>
            <w:r>
              <w:rPr>
                <w:rFonts w:hint="eastAsia" w:ascii="仿宋" w:hAnsi="仿宋" w:eastAsia="仿宋"/>
                <w:color w:val="auto"/>
                <w:kern w:val="0"/>
                <w:sz w:val="24"/>
                <w:szCs w:val="24"/>
                <w:lang w:eastAsia="zh-Hans"/>
              </w:rPr>
              <w:t>开展检查</w:t>
            </w:r>
            <w:r>
              <w:rPr>
                <w:rFonts w:hint="eastAsia" w:ascii="仿宋" w:hAnsi="仿宋" w:eastAsia="仿宋"/>
                <w:color w:val="auto"/>
                <w:kern w:val="0"/>
                <w:sz w:val="24"/>
                <w:szCs w:val="24"/>
              </w:rPr>
              <w:t>监管</w:t>
            </w:r>
            <w:r>
              <w:rPr>
                <w:rFonts w:ascii="仿宋" w:hAnsi="仿宋" w:eastAsia="仿宋"/>
                <w:color w:val="auto"/>
                <w:kern w:val="0"/>
                <w:sz w:val="24"/>
                <w:szCs w:val="24"/>
              </w:rPr>
              <w:t>，</w:t>
            </w:r>
            <w:r>
              <w:rPr>
                <w:rFonts w:hint="eastAsia" w:ascii="仿宋" w:hAnsi="仿宋" w:eastAsia="仿宋"/>
                <w:color w:val="auto"/>
                <w:kern w:val="0"/>
                <w:sz w:val="24"/>
                <w:szCs w:val="24"/>
              </w:rPr>
              <w:t>全方位、多角度加强医保基金监管。</w:t>
            </w:r>
          </w:p>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（五）</w:t>
            </w:r>
            <w:r>
              <w:rPr>
                <w:rFonts w:hint="eastAsia" w:ascii="楷体" w:hAnsi="楷体" w:eastAsia="楷体"/>
                <w:color w:val="auto"/>
                <w:kern w:val="0"/>
                <w:sz w:val="24"/>
                <w:szCs w:val="24"/>
              </w:rPr>
              <w:tab/>
            </w:r>
            <w:r>
              <w:rPr>
                <w:rFonts w:hint="eastAsia" w:ascii="楷体" w:hAnsi="楷体" w:eastAsia="楷体"/>
                <w:color w:val="auto"/>
                <w:kern w:val="0"/>
                <w:sz w:val="24"/>
                <w:szCs w:val="24"/>
              </w:rPr>
              <w:t>以体系化推进信用监管</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建立与市信用办等</w:t>
            </w:r>
            <w:r>
              <w:rPr>
                <w:rFonts w:hint="eastAsia" w:ascii="仿宋" w:hAnsi="仿宋" w:eastAsia="仿宋"/>
                <w:color w:val="auto"/>
                <w:kern w:val="0"/>
                <w:sz w:val="24"/>
                <w:szCs w:val="24"/>
                <w:lang w:eastAsia="zh-Hans"/>
              </w:rPr>
              <w:t>部门间</w:t>
            </w:r>
            <w:r>
              <w:rPr>
                <w:rFonts w:hint="eastAsia" w:ascii="仿宋" w:hAnsi="仿宋" w:eastAsia="仿宋"/>
                <w:color w:val="auto"/>
                <w:kern w:val="0"/>
                <w:sz w:val="24"/>
                <w:szCs w:val="24"/>
              </w:rPr>
              <w:t>信息互通机制，探索建立医保信用曝光平台，将有重大违法违规行为的定点医药机构和个人信息推送至信用信息平台，将医保失信机构、人员在局网站等平台进行曝光。</w:t>
            </w:r>
          </w:p>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（六）</w:t>
            </w:r>
            <w:r>
              <w:rPr>
                <w:rFonts w:hint="eastAsia" w:ascii="楷体" w:hAnsi="楷体" w:eastAsia="楷体"/>
                <w:color w:val="auto"/>
                <w:kern w:val="0"/>
                <w:sz w:val="24"/>
                <w:szCs w:val="24"/>
              </w:rPr>
              <w:tab/>
            </w:r>
            <w:r>
              <w:rPr>
                <w:rFonts w:hint="eastAsia" w:ascii="楷体" w:hAnsi="楷体" w:eastAsia="楷体"/>
                <w:color w:val="auto"/>
                <w:kern w:val="0"/>
                <w:sz w:val="24"/>
                <w:szCs w:val="24"/>
              </w:rPr>
              <w:t>以创新宣传强化全民监管</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加强与市场监管、卫生监督、价格执法、公安刑侦等部门的联合执法，</w:t>
            </w:r>
            <w:r>
              <w:rPr>
                <w:rFonts w:hint="eastAsia" w:ascii="仿宋" w:hAnsi="仿宋" w:eastAsia="仿宋"/>
                <w:color w:val="auto"/>
                <w:kern w:val="0"/>
                <w:sz w:val="24"/>
                <w:szCs w:val="24"/>
                <w:lang w:eastAsia="zh-Hans"/>
              </w:rPr>
              <w:t>完善</w:t>
            </w:r>
            <w:r>
              <w:rPr>
                <w:rFonts w:hint="eastAsia" w:ascii="仿宋" w:hAnsi="仿宋" w:eastAsia="仿宋"/>
                <w:color w:val="auto"/>
                <w:kern w:val="0"/>
                <w:sz w:val="24"/>
                <w:szCs w:val="24"/>
              </w:rPr>
              <w:t>与法院、检察院、公安等部门信息互通、案件移交等工作机制</w:t>
            </w:r>
            <w:r>
              <w:rPr>
                <w:rFonts w:ascii="仿宋" w:hAnsi="仿宋" w:eastAsia="仿宋"/>
                <w:color w:val="auto"/>
                <w:kern w:val="0"/>
                <w:sz w:val="24"/>
                <w:szCs w:val="24"/>
              </w:rPr>
              <w:t>。</w:t>
            </w:r>
            <w:r>
              <w:rPr>
                <w:rFonts w:hint="eastAsia" w:ascii="仿宋" w:hAnsi="仿宋" w:eastAsia="仿宋"/>
                <w:color w:val="auto"/>
                <w:kern w:val="0"/>
                <w:sz w:val="24"/>
                <w:szCs w:val="24"/>
                <w:lang w:eastAsia="zh-Hans"/>
              </w:rPr>
              <w:t>积极</w:t>
            </w:r>
            <w:r>
              <w:rPr>
                <w:rFonts w:hint="eastAsia" w:ascii="仿宋" w:hAnsi="仿宋" w:eastAsia="仿宋"/>
                <w:color w:val="auto"/>
                <w:kern w:val="0"/>
                <w:sz w:val="24"/>
                <w:szCs w:val="24"/>
              </w:rPr>
              <w:t>组织打击欺诈骗保集中宣传月活动，发动群众参与打击欺诈骗保行为</w:t>
            </w:r>
            <w:r>
              <w:rPr>
                <w:rFonts w:ascii="仿宋" w:hAnsi="仿宋" w:eastAsia="仿宋"/>
                <w:color w:val="auto"/>
                <w:kern w:val="0"/>
                <w:sz w:val="24"/>
                <w:szCs w:val="24"/>
              </w:rPr>
              <w:t>，</w:t>
            </w:r>
            <w:r>
              <w:rPr>
                <w:rFonts w:hint="eastAsia" w:ascii="仿宋" w:hAnsi="仿宋" w:eastAsia="仿宋"/>
                <w:color w:val="auto"/>
                <w:kern w:val="0"/>
                <w:sz w:val="24"/>
                <w:szCs w:val="24"/>
              </w:rPr>
              <w:t>营造浓厚的打击欺诈骗保氛围。</w:t>
            </w:r>
          </w:p>
          <w:p>
            <w:pPr>
              <w:snapToGrid w:val="0"/>
              <w:spacing w:line="400" w:lineRule="exact"/>
              <w:ind w:firstLine="480" w:firstLineChars="200"/>
              <w:rPr>
                <w:rFonts w:ascii="楷体" w:hAnsi="楷体" w:eastAsia="楷体"/>
                <w:color w:val="auto"/>
                <w:kern w:val="0"/>
                <w:sz w:val="24"/>
                <w:szCs w:val="24"/>
              </w:rPr>
            </w:pPr>
            <w:r>
              <w:rPr>
                <w:rFonts w:hint="eastAsia" w:ascii="楷体" w:hAnsi="楷体" w:eastAsia="楷体"/>
                <w:color w:val="auto"/>
                <w:kern w:val="0"/>
                <w:sz w:val="24"/>
                <w:szCs w:val="24"/>
              </w:rPr>
              <w:t>（七）以严格执法强化震慑监管</w:t>
            </w:r>
          </w:p>
          <w:p>
            <w:pPr>
              <w:snapToGrid w:val="0"/>
              <w:spacing w:line="4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出台规范使用医保基金个人账户办法，同检察院等建立基金监管行政执法与检察职能长效协作机制，与法院等建立信息互通和追偿协作机制，加强定点医药机构检查，严厉处罚违规定点医药机构与涉嫌骗保人员，保持高压态势，强化震慑作用。</w:t>
            </w:r>
          </w:p>
        </w:tc>
      </w:tr>
    </w:tbl>
    <w:p>
      <w:pPr>
        <w:rPr>
          <w:rFonts w:ascii="仿宋_GB2312" w:eastAsia="仿宋_GB2312"/>
          <w:color w:val="auto"/>
          <w:sz w:val="28"/>
          <w:szCs w:val="32"/>
        </w:rPr>
      </w:pPr>
    </w:p>
    <w:p>
      <w:pPr>
        <w:ind w:firstLine="562" w:firstLineChars="200"/>
        <w:rPr>
          <w:rFonts w:ascii="仿宋_GB2312" w:eastAsia="仿宋_GB2312"/>
          <w:color w:val="auto"/>
          <w:sz w:val="28"/>
          <w:szCs w:val="32"/>
        </w:rPr>
      </w:pPr>
      <w:r>
        <w:rPr>
          <w:rFonts w:ascii="仿宋_GB2312" w:eastAsia="仿宋_GB2312"/>
          <w:b/>
          <w:bCs/>
          <w:color w:val="auto"/>
          <w:sz w:val="28"/>
          <w:szCs w:val="32"/>
        </w:rPr>
        <w:t>5.</w:t>
      </w:r>
      <w:r>
        <w:rPr>
          <w:rFonts w:hint="eastAsia" w:ascii="仿宋_GB2312" w:eastAsia="仿宋_GB2312"/>
          <w:b/>
          <w:bCs/>
          <w:color w:val="auto"/>
          <w:sz w:val="28"/>
          <w:szCs w:val="32"/>
        </w:rPr>
        <w:t>加强异地就医监管。</w:t>
      </w:r>
      <w:r>
        <w:rPr>
          <w:rFonts w:hint="eastAsia" w:ascii="仿宋_GB2312" w:eastAsia="仿宋_GB2312"/>
          <w:color w:val="auto"/>
          <w:sz w:val="28"/>
          <w:szCs w:val="32"/>
        </w:rPr>
        <w:t>将异地就医人员纳入统一监管范围，配合参保地加强备案管理，积极落实就医地监管责任，规范医疗行为。与兄弟省</w:t>
      </w:r>
      <w:r>
        <w:rPr>
          <w:rFonts w:hint="eastAsia" w:ascii="仿宋_GB2312" w:eastAsia="仿宋_GB2312"/>
          <w:color w:val="auto"/>
          <w:sz w:val="28"/>
          <w:szCs w:val="32"/>
          <w:lang w:eastAsia="zh-CN"/>
        </w:rPr>
        <w:t>、</w:t>
      </w:r>
      <w:r>
        <w:rPr>
          <w:rFonts w:hint="eastAsia" w:ascii="仿宋_GB2312" w:eastAsia="仿宋_GB2312"/>
          <w:color w:val="auto"/>
          <w:sz w:val="28"/>
          <w:szCs w:val="32"/>
        </w:rPr>
        <w:t>市医保经办部门协同配合，调阅异地就医人员的就医医院与病史情况，排查异地就医零星报销异常情形，共同防范打击欺诈骗保行为。</w:t>
      </w:r>
    </w:p>
    <w:p>
      <w:pPr>
        <w:pStyle w:val="3"/>
        <w:spacing w:before="0" w:after="0" w:line="360" w:lineRule="auto"/>
        <w:ind w:firstLine="562" w:firstLineChars="200"/>
        <w:rPr>
          <w:rFonts w:ascii="楷体_GB2312" w:eastAsia="楷体_GB2312"/>
          <w:color w:val="auto"/>
          <w:sz w:val="28"/>
          <w:szCs w:val="28"/>
        </w:rPr>
      </w:pPr>
      <w:bookmarkStart w:id="13" w:name="_Toc81666354"/>
      <w:r>
        <w:rPr>
          <w:rFonts w:hint="eastAsia" w:ascii="楷体_GB2312" w:eastAsia="楷体_GB2312"/>
          <w:color w:val="auto"/>
          <w:sz w:val="28"/>
          <w:szCs w:val="28"/>
        </w:rPr>
        <w:t>（五）深化医疗保障领域数字化改革</w:t>
      </w:r>
      <w:bookmarkEnd w:id="13"/>
    </w:p>
    <w:p>
      <w:pPr>
        <w:ind w:firstLine="560" w:firstLineChars="200"/>
        <w:rPr>
          <w:rFonts w:ascii="仿宋_GB2312" w:eastAsia="仿宋_GB2312"/>
          <w:color w:val="auto"/>
          <w:sz w:val="28"/>
          <w:szCs w:val="32"/>
        </w:rPr>
      </w:pPr>
      <w:r>
        <w:rPr>
          <w:rFonts w:hint="eastAsia" w:ascii="仿宋_GB2312" w:eastAsia="仿宋_GB2312"/>
          <w:color w:val="auto"/>
          <w:sz w:val="28"/>
          <w:szCs w:val="32"/>
        </w:rPr>
        <w:t>围绕“全面推进数字化改革”工作部署，加强数字技术应用和制度创新，全面提升数字化治理水平，运用数字化技术、数字化思维、数字化认知对医疗保障领域的体制机制、组织架构、方式流程、手段工具进行全方位系统性重构。</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1.加强信息化、标准化基础建设。</w:t>
      </w:r>
      <w:r>
        <w:rPr>
          <w:rFonts w:hint="eastAsia" w:ascii="仿宋_GB2312" w:eastAsia="仿宋_GB2312"/>
          <w:color w:val="auto"/>
          <w:sz w:val="28"/>
          <w:szCs w:val="32"/>
        </w:rPr>
        <w:t>多平台推动实现医保信息化建设。构建医保互联网服务平台，构建完善数字化、智能化医保服务管理体系和全渠道、全业务、智能化的医保数字服务供给体系。构建医保智能监管和大数据分析平台，实现医保基金监管从人工审核向大数据全方位、全流程、全环节智能监控转变，推动医保业务、数据、治理融合应用，实现资源要素的高效配置和高效协同。运用医保大数据有效监控异地就医行为、线上的医保移动支付行为，不断优化医保结算政策，支撑医保支付方式改革。搭建医保移动支付平台，加快推进医保移动支付应用，实现参保人员在线申领、在线验证开通医保电子凭证，推进基本医疗保险、大病保险、补充医疗保险、医疗救助以及其他救助补助项目费用结算“一站式”办理。加强医保信息管理系统建设规划，为全市医保信用体系建设、DRGs付费、医疗保障业务、基金、政策大统筹提供数据保障。加强医保信息化建设的人员和队伍建设。加强医疗保障系统信息化队伍建设，提高信息化建设队伍的整体素质，加强对系统业务人员，特别是基层业务人员的信息化培训，提高医保服务能力和服务效率。建立与管理服务绩效挂钩的激励约束机制。加强与技术服务商的合作和规范管理，进一步调动和发挥社会力量在医疗保障信息化建设中的作用。强化信息化过程中信息安全。强化网络安全保障，逐步完善信息安全相关制度，依法保护参保人员基本信息和数据安全，加强参保人员个人数据保护，防止泄露个人隐私。同时，联合市财政局等相关部门，规划医保信息化建设资金保障措施，为信息化工作提供坚实基础。</w:t>
      </w:r>
    </w:p>
    <w:p>
      <w:pPr>
        <w:ind w:firstLine="562" w:firstLineChars="200"/>
        <w:rPr>
          <w:rFonts w:hint="eastAsia" w:ascii="仿宋_GB2312" w:eastAsia="仿宋_GB2312"/>
          <w:color w:val="auto"/>
          <w:sz w:val="28"/>
          <w:szCs w:val="32"/>
          <w:lang w:eastAsia="zh-CN"/>
        </w:rPr>
      </w:pPr>
      <w:r>
        <w:rPr>
          <w:rFonts w:hint="eastAsia" w:ascii="仿宋_GB2312" w:eastAsia="仿宋_GB2312"/>
          <w:b/>
          <w:bCs/>
          <w:color w:val="auto"/>
          <w:sz w:val="28"/>
          <w:szCs w:val="32"/>
        </w:rPr>
        <w:t>2.提升医保经办服务能力。</w:t>
      </w:r>
      <w:r>
        <w:rPr>
          <w:rFonts w:hint="eastAsia" w:ascii="仿宋_GB2312" w:eastAsia="仿宋_GB2312"/>
          <w:color w:val="auto"/>
          <w:sz w:val="28"/>
          <w:szCs w:val="32"/>
        </w:rPr>
        <w:t>通过构建全市统一的医疗保障经办管理标准化体系，不断促进医保经办服务提质增效。以“雷锋式”医保服务理念引领，奋力打造“最便捷的医保经办城市”。完善业务经办、医保事项、稽核体系标准，实现医疗保障一站式服务、一窗口办理、一单制结算，提升同城通办率。开展第三方经办服务机构自查自纠和考核评价工作，促进第三方机构规范服务。加强与新时代医保经办服务要求相适应的专业队伍和能力建设，推动经办服务优化便捷、医保治理精准高效。支持定点医疗机构依托“互联网+”提供规范、便捷、优质、高效的医疗服务。完善诚信办理模式和容缺受理机制，大力推进“网上办”“掌上办”“即时办”，创新服务方式，推动经办服务信息化、便民化</w:t>
      </w:r>
      <w:r>
        <w:rPr>
          <w:rFonts w:hint="eastAsia" w:ascii="仿宋_GB2312" w:eastAsia="仿宋_GB2312"/>
          <w:color w:val="auto"/>
          <w:sz w:val="28"/>
          <w:szCs w:val="32"/>
          <w:lang w:eastAsia="zh-CN"/>
        </w:rPr>
        <w:t>，促进医保治理体系和治理能力现代化。</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3. 推进医保经办服务体制改革。</w:t>
      </w:r>
      <w:r>
        <w:rPr>
          <w:rFonts w:hint="eastAsia" w:ascii="仿宋_GB2312" w:eastAsia="仿宋_GB2312"/>
          <w:color w:val="auto"/>
          <w:sz w:val="28"/>
          <w:szCs w:val="32"/>
        </w:rPr>
        <w:t>顺应数字化改革趋势，积极推进</w:t>
      </w:r>
      <w:r>
        <w:rPr>
          <w:rFonts w:hint="eastAsia" w:ascii="仿宋_GB2312" w:eastAsia="仿宋_GB2312"/>
          <w:color w:val="auto"/>
          <w:sz w:val="28"/>
          <w:szCs w:val="32"/>
          <w:lang w:eastAsia="zh-CN"/>
        </w:rPr>
        <w:t>数字</w:t>
      </w:r>
      <w:r>
        <w:rPr>
          <w:rFonts w:hint="eastAsia" w:ascii="仿宋_GB2312" w:eastAsia="仿宋_GB2312"/>
          <w:color w:val="auto"/>
          <w:sz w:val="28"/>
          <w:szCs w:val="32"/>
        </w:rPr>
        <w:t>医保经办服务体制改革，推动医保经办服务制度流程与新科技技术相结合。推广医保电子凭证、电子病历、电子票据应用，积极开展人脸识别、区块链等技术应用。建立完善医保经办互联网服务大厅，实现全时域全领域信息化、电子化服务。促成经办服务部门合作，健全部门间信息共享实时交互机制，实现服务对象精准识别、精细服务。紧贴老年人需求特点，加强技术创新，提供更多智能化适老产品和服务，建立解决老年人面临“数字鸿沟”问题的长效机制。推进医疗保障经办机构法人治理。紧跟国家省级部署指导，创新医保经办服务体制机制。加强医保经办机构风险防范，建立健全医保经办机构内部控制办法。落地应用国家医疗保障信息平台处方流转中心，实现电子处方网上流转，探索网上竞价配送机制，优化参保人员就医体验。推进医疗保障经办机构法人治理。建立完善医保经办互联网服务大厅，实现全时域全领域信息化、电子化服务。按照国家统一要求，建立健全医疗保障经办政务服务“好差评”制度体系，推动医疗保障政务服务质量和水平不断提升。</w:t>
      </w:r>
    </w:p>
    <w:tbl>
      <w:tblPr>
        <w:tblStyle w:val="12"/>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5" w:type="dxa"/>
            <w:vAlign w:val="center"/>
          </w:tcPr>
          <w:p>
            <w:pPr>
              <w:spacing w:line="480" w:lineRule="exact"/>
              <w:jc w:val="center"/>
              <w:rPr>
                <w:rFonts w:ascii="Times New Roman" w:hAnsi="Times New Roman" w:eastAsia="黑体"/>
                <w:color w:val="auto"/>
                <w:sz w:val="28"/>
                <w:szCs w:val="28"/>
              </w:rPr>
            </w:pPr>
            <w:r>
              <w:rPr>
                <w:rFonts w:hint="eastAsia" w:ascii="Times New Roman" w:hAnsi="Times New Roman" w:eastAsia="黑体"/>
                <w:color w:val="auto"/>
                <w:sz w:val="28"/>
                <w:szCs w:val="28"/>
              </w:rPr>
              <w:t>专栏</w:t>
            </w:r>
            <w:r>
              <w:rPr>
                <w:rFonts w:hint="eastAsia" w:ascii="Times New Roman" w:hAnsi="Times New Roman" w:eastAsia="黑体"/>
                <w:color w:val="auto"/>
                <w:sz w:val="28"/>
                <w:szCs w:val="28"/>
                <w:lang w:val="en-US" w:eastAsia="zh-CN"/>
              </w:rPr>
              <w:t>5</w:t>
            </w:r>
            <w:r>
              <w:rPr>
                <w:rFonts w:hint="eastAsia" w:ascii="Times New Roman" w:hAnsi="Times New Roman" w:eastAsia="黑体"/>
                <w:color w:val="auto"/>
                <w:sz w:val="28"/>
                <w:szCs w:val="28"/>
              </w:rPr>
              <w:t xml:space="preserve">  医疗保障服务能力提升工程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vAlign w:val="center"/>
          </w:tcPr>
          <w:p>
            <w:pPr>
              <w:snapToGrid w:val="0"/>
              <w:spacing w:line="400" w:lineRule="exact"/>
              <w:ind w:firstLine="482" w:firstLineChars="200"/>
              <w:rPr>
                <w:rFonts w:ascii="楷体_GB2312" w:hAnsi="Times New Roman" w:eastAsia="楷体_GB2312"/>
                <w:b/>
                <w:bCs/>
                <w:color w:val="auto"/>
                <w:kern w:val="0"/>
                <w:sz w:val="24"/>
                <w:szCs w:val="24"/>
              </w:rPr>
            </w:pPr>
            <w:r>
              <w:rPr>
                <w:rFonts w:hint="eastAsia" w:ascii="楷体_GB2312" w:hAnsi="Times New Roman" w:eastAsia="楷体_GB2312"/>
                <w:b/>
                <w:bCs/>
                <w:color w:val="auto"/>
                <w:kern w:val="0"/>
                <w:sz w:val="24"/>
                <w:szCs w:val="24"/>
              </w:rPr>
              <w:t>（一）推进医保经办标准化建设</w:t>
            </w:r>
          </w:p>
          <w:p>
            <w:pPr>
              <w:snapToGrid w:val="0"/>
              <w:spacing w:line="400" w:lineRule="exact"/>
              <w:ind w:firstLine="480" w:firstLineChars="200"/>
              <w:rPr>
                <w:rFonts w:ascii="Times New Roman" w:hAnsi="Times New Roman" w:eastAsia="仿宋_GB2312"/>
                <w:color w:val="auto"/>
                <w:kern w:val="0"/>
                <w:sz w:val="24"/>
                <w:szCs w:val="24"/>
              </w:rPr>
            </w:pPr>
            <w:r>
              <w:rPr>
                <w:rFonts w:hint="eastAsia" w:ascii="Times New Roman" w:hAnsi="Times New Roman" w:eastAsia="仿宋_GB2312"/>
                <w:color w:val="auto"/>
                <w:kern w:val="0"/>
                <w:sz w:val="24"/>
                <w:szCs w:val="24"/>
              </w:rPr>
              <w:t>积极参与全省统一的</w:t>
            </w:r>
            <w:r>
              <w:rPr>
                <w:rFonts w:ascii="Times New Roman" w:hAnsi="Times New Roman" w:eastAsia="仿宋_GB2312"/>
                <w:color w:val="auto"/>
                <w:kern w:val="0"/>
                <w:sz w:val="24"/>
                <w:szCs w:val="24"/>
              </w:rPr>
              <w:t>医疗保障经办管理标准化体系</w:t>
            </w:r>
            <w:r>
              <w:rPr>
                <w:rFonts w:hint="eastAsia" w:ascii="Times New Roman" w:hAnsi="Times New Roman" w:eastAsia="仿宋_GB2312"/>
                <w:color w:val="auto"/>
                <w:kern w:val="0"/>
                <w:sz w:val="24"/>
                <w:szCs w:val="24"/>
              </w:rPr>
              <w:t>建设</w:t>
            </w:r>
            <w:r>
              <w:rPr>
                <w:rFonts w:ascii="Times New Roman" w:hAnsi="Times New Roman" w:eastAsia="仿宋_GB2312"/>
                <w:color w:val="auto"/>
                <w:kern w:val="0"/>
                <w:sz w:val="24"/>
                <w:szCs w:val="24"/>
              </w:rPr>
              <w:t>，</w:t>
            </w:r>
            <w:r>
              <w:rPr>
                <w:rFonts w:hint="eastAsia" w:ascii="Times New Roman" w:hAnsi="Times New Roman" w:eastAsia="仿宋_GB2312"/>
                <w:color w:val="auto"/>
                <w:kern w:val="0"/>
                <w:sz w:val="24"/>
                <w:szCs w:val="24"/>
              </w:rPr>
              <w:t>贯彻落实</w:t>
            </w:r>
            <w:r>
              <w:rPr>
                <w:rFonts w:ascii="Times New Roman" w:hAnsi="Times New Roman" w:eastAsia="仿宋_GB2312"/>
                <w:color w:val="auto"/>
                <w:kern w:val="0"/>
                <w:sz w:val="24"/>
                <w:szCs w:val="24"/>
              </w:rPr>
              <w:t>《浙江省医保经办事项“领跑者”标准》，建立完善业务经办、医保事项、稽核体系等标准，简化办事程序，不断提升群众获得感、幸福感。</w:t>
            </w:r>
          </w:p>
          <w:p>
            <w:pPr>
              <w:snapToGrid w:val="0"/>
              <w:spacing w:line="400" w:lineRule="exact"/>
              <w:ind w:firstLine="482" w:firstLineChars="200"/>
              <w:rPr>
                <w:rFonts w:ascii="楷体_GB2312" w:hAnsi="Times New Roman" w:eastAsia="楷体_GB2312"/>
                <w:b/>
                <w:bCs/>
                <w:color w:val="auto"/>
                <w:kern w:val="0"/>
                <w:sz w:val="24"/>
                <w:szCs w:val="24"/>
              </w:rPr>
            </w:pPr>
            <w:r>
              <w:rPr>
                <w:rFonts w:hint="eastAsia" w:ascii="楷体_GB2312" w:hAnsi="Times New Roman" w:eastAsia="楷体_GB2312"/>
                <w:b/>
                <w:bCs/>
                <w:color w:val="auto"/>
                <w:kern w:val="0"/>
                <w:sz w:val="24"/>
                <w:szCs w:val="24"/>
              </w:rPr>
              <w:t>（二）加强智慧化数字医保建设</w:t>
            </w:r>
          </w:p>
          <w:p>
            <w:pPr>
              <w:snapToGrid w:val="0"/>
              <w:spacing w:line="400" w:lineRule="exact"/>
              <w:ind w:firstLine="480" w:firstLineChars="200"/>
              <w:rPr>
                <w:rFonts w:hint="eastAsia" w:ascii="Times New Roman" w:hAnsi="Times New Roman" w:eastAsia="仿宋_GB2312"/>
                <w:color w:val="auto"/>
                <w:kern w:val="0"/>
                <w:sz w:val="24"/>
                <w:szCs w:val="24"/>
              </w:rPr>
            </w:pPr>
            <w:r>
              <w:rPr>
                <w:rFonts w:ascii="Times New Roman" w:hAnsi="Times New Roman" w:eastAsia="仿宋_GB2312"/>
                <w:color w:val="auto"/>
                <w:kern w:val="0"/>
                <w:sz w:val="24"/>
                <w:szCs w:val="24"/>
              </w:rPr>
              <w:t>按照国家医疗保障局“云+中台”应用架构和浙江省数字化改革“四横四纵”框架体系要求，</w:t>
            </w:r>
            <w:r>
              <w:rPr>
                <w:rFonts w:hint="eastAsia" w:ascii="Times New Roman" w:hAnsi="Times New Roman" w:eastAsia="仿宋_GB2312"/>
                <w:color w:val="auto"/>
                <w:kern w:val="0"/>
                <w:sz w:val="24"/>
                <w:szCs w:val="24"/>
              </w:rPr>
              <w:t>积极参与</w:t>
            </w:r>
            <w:r>
              <w:rPr>
                <w:rFonts w:ascii="Times New Roman" w:hAnsi="Times New Roman" w:eastAsia="仿宋_GB2312"/>
                <w:color w:val="auto"/>
                <w:kern w:val="0"/>
                <w:sz w:val="24"/>
                <w:szCs w:val="24"/>
              </w:rPr>
              <w:t>构建“一个平台、两端服务、三套体系、四层支撑、五类资源、九大应用”医保信息平台，</w:t>
            </w:r>
            <w:r>
              <w:rPr>
                <w:rFonts w:hint="eastAsia" w:ascii="Times New Roman" w:hAnsi="Times New Roman" w:eastAsia="仿宋_GB2312"/>
                <w:color w:val="auto"/>
                <w:kern w:val="0"/>
                <w:sz w:val="24"/>
                <w:szCs w:val="24"/>
              </w:rPr>
              <w:t>贯彻实施</w:t>
            </w:r>
            <w:r>
              <w:rPr>
                <w:rFonts w:ascii="Times New Roman" w:hAnsi="Times New Roman" w:eastAsia="仿宋_GB2312"/>
                <w:color w:val="auto"/>
                <w:kern w:val="0"/>
                <w:sz w:val="24"/>
                <w:szCs w:val="24"/>
              </w:rPr>
              <w:t>全省统一的方便可及“大服务”、规范高效“大经办”、智能精准“大治理”、融合共享“大协作”、在线可用“大数据”、安全可靠“大支撑”。</w:t>
            </w:r>
            <w:r>
              <w:rPr>
                <w:rFonts w:hint="eastAsia" w:ascii="Times New Roman" w:hAnsi="Times New Roman" w:eastAsia="仿宋_GB2312"/>
                <w:color w:val="auto"/>
                <w:kern w:val="0"/>
                <w:sz w:val="24"/>
                <w:szCs w:val="24"/>
              </w:rPr>
              <w:t>全面推进医疗机构处方、医保结算、药品追溯、预算管理等信息互联互通。全面实施药品采购、使用、支付等环节规范编码的衔接应用。完善部门信息共享机制,推进数据有序共享。</w:t>
            </w:r>
          </w:p>
          <w:p>
            <w:pPr>
              <w:snapToGrid w:val="0"/>
              <w:spacing w:line="400" w:lineRule="exact"/>
              <w:ind w:firstLine="482" w:firstLineChars="200"/>
              <w:rPr>
                <w:rFonts w:ascii="Times New Roman" w:hAnsi="Times New Roman" w:eastAsia="楷体_GB2312"/>
                <w:b/>
                <w:bCs/>
                <w:color w:val="auto"/>
                <w:kern w:val="0"/>
                <w:sz w:val="24"/>
                <w:szCs w:val="24"/>
              </w:rPr>
            </w:pPr>
            <w:r>
              <w:rPr>
                <w:rFonts w:ascii="Times New Roman" w:hAnsi="Times New Roman" w:eastAsia="楷体_GB2312"/>
                <w:b/>
                <w:bCs/>
                <w:color w:val="auto"/>
                <w:kern w:val="0"/>
                <w:sz w:val="24"/>
                <w:szCs w:val="24"/>
              </w:rPr>
              <w:t>（</w:t>
            </w:r>
            <w:r>
              <w:rPr>
                <w:rFonts w:hint="eastAsia" w:ascii="Times New Roman" w:hAnsi="Times New Roman" w:eastAsia="楷体_GB2312"/>
                <w:b/>
                <w:bCs/>
                <w:color w:val="auto"/>
                <w:kern w:val="0"/>
                <w:sz w:val="24"/>
                <w:szCs w:val="24"/>
                <w:lang w:eastAsia="zh-CN"/>
              </w:rPr>
              <w:t>三</w:t>
            </w:r>
            <w:r>
              <w:rPr>
                <w:rFonts w:ascii="Times New Roman" w:hAnsi="Times New Roman" w:eastAsia="楷体_GB2312"/>
                <w:b/>
                <w:bCs/>
                <w:color w:val="auto"/>
                <w:kern w:val="0"/>
                <w:sz w:val="24"/>
                <w:szCs w:val="24"/>
              </w:rPr>
              <w:t>）推进“互联网+医保”线上经办服务大厅建设</w:t>
            </w:r>
          </w:p>
          <w:p>
            <w:pPr>
              <w:snapToGrid w:val="0"/>
              <w:spacing w:line="400" w:lineRule="exact"/>
              <w:ind w:firstLine="480" w:firstLineChars="200"/>
              <w:rPr>
                <w:rFonts w:hint="eastAsia" w:ascii="Times New Roman" w:hAnsi="Times New Roman" w:eastAsia="仿宋_GB2312"/>
                <w:color w:val="auto"/>
                <w:kern w:val="0"/>
                <w:sz w:val="24"/>
                <w:szCs w:val="24"/>
              </w:rPr>
            </w:pPr>
            <w:r>
              <w:rPr>
                <w:rFonts w:ascii="Times New Roman" w:hAnsi="Times New Roman" w:eastAsia="仿宋_GB2312"/>
                <w:color w:val="auto"/>
                <w:kern w:val="0"/>
                <w:sz w:val="24"/>
                <w:szCs w:val="24"/>
              </w:rPr>
              <w:t>完善“互联网+医保”线上结算管理新服务模式，开展医保电子凭证、人脸识别、区块链等技术应用，推动医疗机构检验结果互认互享。建立以参保、就诊、购药、异地就医等支付结算信息为纽带的数字化医保档案云，汇聚整合形成参保人全生命周期，省内外全域参保、就诊信息的个人“医保云档案”，实现个人医疗保障信息全周期、全方位动态管理。</w:t>
            </w:r>
          </w:p>
        </w:tc>
      </w:tr>
    </w:tbl>
    <w:p>
      <w:pPr>
        <w:ind w:firstLine="560" w:firstLineChars="200"/>
        <w:rPr>
          <w:rFonts w:ascii="仿宋_GB2312" w:eastAsia="仿宋_GB2312"/>
          <w:color w:val="auto"/>
          <w:sz w:val="28"/>
          <w:szCs w:val="32"/>
        </w:rPr>
      </w:pP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4. 夯实医保基层基础，促进“四位一体”建设体系化。</w:t>
      </w:r>
      <w:r>
        <w:rPr>
          <w:rFonts w:hint="eastAsia" w:ascii="仿宋_GB2312" w:eastAsia="仿宋_GB2312"/>
          <w:color w:val="auto"/>
          <w:sz w:val="28"/>
          <w:szCs w:val="32"/>
        </w:rPr>
        <w:t>持续做好以“市-县-乡-村”服务网络为依托的“四位一体”医保经办体系建设，推进经办服务下沉，提升医保公共服务均等化和便捷度。推进服务下沉，构建经办服务大厅在县、经办窗口到乡镇（街道）、经办服务到村的县以下医保经办服务线下窗口服务体系，实现经办服务规范一致化、事项办理标准一致化、经办信息系统一致化，实现省、市、县、乡镇（街道）、村（社区）经办服务全覆盖。</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5. 助力长三角医保一体化发展。</w:t>
      </w:r>
      <w:r>
        <w:rPr>
          <w:rFonts w:hint="eastAsia" w:ascii="仿宋_GB2312" w:eastAsia="仿宋_GB2312"/>
          <w:color w:val="auto"/>
          <w:sz w:val="28"/>
          <w:szCs w:val="32"/>
        </w:rPr>
        <w:t>贯彻落实习近平总书记在扎实推进长三角一体化发展座谈会上的重要讲话精神，落实长三角地区医保一体化发展相关工作。按照省级部署加强招采、价格、支付联动，有计划逐步推动长三角药品目录、诊疗项目、医疗服务设施目录统一。落实长三角医保基金监管联动，建立基金监管联动机制，实现执法检查结果互认。推动实现长三角医保异地线上备案服务，全面推行长三角区域门诊费用跨省直接结算，推动“互联网+医保”异地在线结算，不断提升异地结算服务深度、改善患者就医体验。创新跨区域服务机制，出台医疗保险跨区域统一服务和转移接续政策。加大区域资源共享，实现数据互联互通和医保专家资源共享，为群众提供更加优质高效的医保服务。</w:t>
      </w:r>
    </w:p>
    <w:p>
      <w:pPr>
        <w:pStyle w:val="3"/>
        <w:spacing w:before="0" w:after="0" w:line="360" w:lineRule="auto"/>
        <w:ind w:firstLine="562" w:firstLineChars="200"/>
        <w:rPr>
          <w:rFonts w:ascii="楷体_GB2312" w:eastAsia="楷体_GB2312"/>
          <w:color w:val="auto"/>
          <w:sz w:val="28"/>
          <w:szCs w:val="28"/>
        </w:rPr>
      </w:pPr>
      <w:bookmarkStart w:id="14" w:name="_Toc81666355"/>
      <w:r>
        <w:rPr>
          <w:rFonts w:hint="eastAsia" w:ascii="楷体_GB2312" w:eastAsia="楷体_GB2312"/>
          <w:color w:val="auto"/>
          <w:sz w:val="28"/>
          <w:szCs w:val="28"/>
        </w:rPr>
        <w:t>（六）提高医疗保障依法治理水平</w:t>
      </w:r>
      <w:bookmarkEnd w:id="14"/>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1. 全面推进医保法治建设。</w:t>
      </w:r>
      <w:r>
        <w:rPr>
          <w:rFonts w:hint="eastAsia" w:ascii="仿宋_GB2312" w:eastAsia="仿宋_GB2312"/>
          <w:color w:val="auto"/>
          <w:sz w:val="28"/>
          <w:szCs w:val="32"/>
        </w:rPr>
        <w:t>加快医疗保障的法治建设步伐，提升医疗保障的法治化水平。认真贯彻落实《医疗保障基金使用监督管理条例》和《浙江省医疗保障条例》，构建条例、制度、政策、标准四位一体的医保法规政策体系，促进制度法治化、决策科学化、管理规范化。建立健全医疗保障医保基金监管制度体系和执法体系，规范医疗保障基金监督管理，实现医保基金监管法治化、专业化、规范化、常态化，确保医疗保障基金安全。</w:t>
      </w:r>
    </w:p>
    <w:p>
      <w:pPr>
        <w:ind w:firstLine="562" w:firstLineChars="200"/>
        <w:rPr>
          <w:rFonts w:ascii="仿宋_GB2312" w:eastAsia="仿宋_GB2312"/>
          <w:color w:val="auto"/>
          <w:sz w:val="28"/>
          <w:szCs w:val="32"/>
        </w:rPr>
      </w:pPr>
      <w:r>
        <w:rPr>
          <w:rFonts w:hint="eastAsia" w:ascii="仿宋_GB2312" w:eastAsia="仿宋_GB2312"/>
          <w:b/>
          <w:bCs/>
          <w:color w:val="auto"/>
          <w:sz w:val="28"/>
          <w:szCs w:val="32"/>
        </w:rPr>
        <w:t>2. 提升医保执法监督能力。</w:t>
      </w:r>
      <w:r>
        <w:rPr>
          <w:rFonts w:hint="eastAsia" w:ascii="仿宋_GB2312" w:eastAsia="仿宋_GB2312"/>
          <w:color w:val="auto"/>
          <w:sz w:val="28"/>
          <w:szCs w:val="32"/>
        </w:rPr>
        <w:t>明确医保执法监管责任，完善医保基金监管工作机制，强化医保执法能力建设，确保执法到位，探索建立专业、成熟的医疗保障执法和基金监管执法队伍和管理规范。健全完善重大决策、重大执法决定等重大行政行为的程序，严格行政处罚自由裁量标准，规范行政执法行为。推行行政执法网上办案、线上审批制度，建立执法数字化管理体系，实施非现场动态智能监管。健全执法机制，强化市、区县（市）两级医保执法监督人员力量，进一步完善医保行政执法与刑事司法衔接的联席会议制度，推进建立运转高效、规范有序的多部门联合监管机制。提升医保基金监督检查能力，严格落实行政执法公示、执法全过程记录和重大行政执法决定法制审核相关办法。建立和完善部门间相互配合、协同监管的综合监管制度，强化医保、卫健、市场监管、审计、司法、公安、法院、检察院等部门协同配合、综合协管机制，实现网格化管理。推进信息共享和互联互通，健全协同执法工作机制。</w:t>
      </w:r>
    </w:p>
    <w:p>
      <w:pPr>
        <w:ind w:firstLine="420"/>
        <w:rPr>
          <w:rFonts w:ascii="仿宋_GB2312" w:eastAsia="仿宋_GB2312"/>
          <w:color w:val="auto"/>
          <w:sz w:val="28"/>
          <w:szCs w:val="32"/>
        </w:rPr>
      </w:pPr>
      <w:r>
        <w:rPr>
          <w:rFonts w:hint="eastAsia" w:ascii="仿宋_GB2312" w:eastAsia="仿宋_GB2312"/>
          <w:b/>
          <w:bCs/>
          <w:color w:val="auto"/>
          <w:sz w:val="28"/>
          <w:szCs w:val="32"/>
        </w:rPr>
        <w:t>3. 持续推进医保治理创新。</w:t>
      </w:r>
      <w:r>
        <w:rPr>
          <w:rFonts w:hint="eastAsia" w:ascii="仿宋_GB2312" w:eastAsia="仿宋_GB2312"/>
          <w:color w:val="auto"/>
          <w:sz w:val="28"/>
          <w:szCs w:val="32"/>
        </w:rPr>
        <w:t>坚持医保、医疗、医药“三医联动”改革，建设“公平医保、精准医保、赋能医保、数字医保、绩效医保、法治医保”，全面打造“整体智治”的现代化医疗保障治理体系，构建共建共治共享医保治理格局，持续推进医保治理创新。第一，创新医保基金监管方式，加快推进医保基金监管制度体系改革，构建全领域、全流程的基金安全防控机制。严格落实《医疗保障基金使用监督管理条例》，推行“双随机、一公开”监管机制，建立和完善日常巡查、专项检查、飞行检查、重点检查、专家审查等相结合的多形式检查制度。完善定点医药机构协议管理制度，建立和完善定点医药机构动态管理和退出机制。完善医保对医疗服务行为的监控机制，将监管对象由医疗机构延伸至医务人员，将监管重点从医疗费用控制转向医疗费用和医疗服务绩效双控制。建立健全医保智能监控系统，建立依托于大数据的多种医保基金监管制度，探索多样化、专业化、信息化、智能化的医保基金监管方式。第二，创新医保信用管理体系。开展对两定医药机构、医保医师、药师、护师、参保人等主体的信用评价工作。创新定点医药机构综合绩效考评机制，将信用评价结果与预算管理、检查稽核、定点协议管理等相关联。</w:t>
      </w:r>
    </w:p>
    <w:p>
      <w:pPr>
        <w:pStyle w:val="2"/>
        <w:spacing w:before="0" w:after="0" w:line="360" w:lineRule="auto"/>
        <w:rPr>
          <w:rFonts w:ascii="黑体" w:hAnsi="黑体" w:eastAsia="黑体"/>
          <w:color w:val="auto"/>
          <w:sz w:val="28"/>
          <w:szCs w:val="28"/>
        </w:rPr>
      </w:pPr>
      <w:bookmarkStart w:id="15" w:name="_Toc81666356"/>
      <w:r>
        <w:rPr>
          <w:rFonts w:hint="eastAsia" w:ascii="黑体" w:hAnsi="黑体" w:eastAsia="黑体"/>
          <w:color w:val="auto"/>
          <w:sz w:val="28"/>
          <w:szCs w:val="28"/>
        </w:rPr>
        <w:t>四、保障措施</w:t>
      </w:r>
      <w:bookmarkEnd w:id="15"/>
    </w:p>
    <w:p>
      <w:pPr>
        <w:pStyle w:val="3"/>
        <w:spacing w:before="0" w:after="0" w:line="360" w:lineRule="auto"/>
        <w:ind w:firstLine="562" w:firstLineChars="200"/>
        <w:rPr>
          <w:rFonts w:ascii="楷体_GB2312" w:eastAsia="楷体_GB2312"/>
          <w:color w:val="auto"/>
          <w:sz w:val="28"/>
          <w:szCs w:val="28"/>
        </w:rPr>
      </w:pPr>
      <w:bookmarkStart w:id="16" w:name="_Toc81666357"/>
      <w:r>
        <w:rPr>
          <w:rFonts w:hint="eastAsia" w:ascii="楷体_GB2312" w:eastAsia="楷体_GB2312"/>
          <w:color w:val="auto"/>
          <w:sz w:val="28"/>
          <w:szCs w:val="28"/>
        </w:rPr>
        <w:t>（一）坚持党的组织领导，合理规划布局</w:t>
      </w:r>
      <w:bookmarkEnd w:id="16"/>
    </w:p>
    <w:p>
      <w:pPr>
        <w:ind w:firstLine="560" w:firstLineChars="200"/>
        <w:rPr>
          <w:rFonts w:ascii="仿宋_GB2312" w:eastAsia="仿宋_GB2312"/>
          <w:color w:val="auto"/>
          <w:sz w:val="28"/>
          <w:szCs w:val="32"/>
        </w:rPr>
      </w:pPr>
      <w:r>
        <w:rPr>
          <w:rFonts w:hint="eastAsia" w:ascii="仿宋_GB2312" w:eastAsia="仿宋_GB2312"/>
          <w:color w:val="auto"/>
          <w:sz w:val="28"/>
          <w:szCs w:val="32"/>
        </w:rPr>
        <w:t>全市各级医疗保障部门要坚持各级党组（委）在医疗保障事业发展中的领导核心作用，切实加强党的领导，</w:t>
      </w:r>
      <w:r>
        <w:rPr>
          <w:rFonts w:hint="eastAsia" w:ascii="仿宋_GB2312" w:eastAsia="仿宋_GB2312"/>
          <w:color w:val="auto"/>
          <w:sz w:val="28"/>
          <w:szCs w:val="32"/>
          <w:lang w:eastAsia="zh-CN"/>
        </w:rPr>
        <w:t>增强“四个意识”、坚定“四个自信”、做到“两个维护”</w:t>
      </w:r>
      <w:r>
        <w:rPr>
          <w:rFonts w:hint="eastAsia" w:ascii="仿宋_GB2312" w:eastAsia="仿宋_GB2312"/>
          <w:color w:val="auto"/>
          <w:sz w:val="28"/>
          <w:szCs w:val="32"/>
        </w:rPr>
        <w:t>，把党的领导贯彻到医疗保障改革发展的全过程。要将“十四五”规划的制定和实施列入工作计划，健全主要领导负总责、分管领导具体负责、专班抓落实的工作机制，统一部署、夯实责任、狠抓落实，采取有力举措，确保规划落实。各级党委和政府要把医疗保障制度改革作为重要工作任务，分解本规划确定的发展目标、主要任务，统筹协调医疗保障制度改革与高质量发展全链条事务。发展和完善规划实施的监督机制，加强对规划实施情况的跟踪分析和监督检查，加强清廉医保建设，落实规划实施责任主体，确保“十四五”医疗保障事业高质量发展。</w:t>
      </w:r>
    </w:p>
    <w:p>
      <w:pPr>
        <w:pStyle w:val="3"/>
        <w:spacing w:before="0" w:after="0" w:line="360" w:lineRule="auto"/>
        <w:ind w:firstLine="562" w:firstLineChars="200"/>
        <w:rPr>
          <w:rFonts w:ascii="楷体_GB2312" w:eastAsia="楷体_GB2312"/>
          <w:color w:val="auto"/>
          <w:sz w:val="28"/>
          <w:szCs w:val="28"/>
        </w:rPr>
      </w:pPr>
      <w:bookmarkStart w:id="17" w:name="_Toc81666358"/>
      <w:r>
        <w:rPr>
          <w:rFonts w:hint="eastAsia" w:ascii="楷体_GB2312" w:eastAsia="楷体_GB2312"/>
          <w:color w:val="auto"/>
          <w:sz w:val="28"/>
          <w:szCs w:val="28"/>
        </w:rPr>
        <w:t>（二）完善资源投入保障，确保工作落实</w:t>
      </w:r>
      <w:bookmarkEnd w:id="17"/>
    </w:p>
    <w:p>
      <w:pPr>
        <w:ind w:firstLine="560" w:firstLineChars="200"/>
        <w:rPr>
          <w:rFonts w:ascii="仿宋_GB2312" w:eastAsia="仿宋_GB2312"/>
          <w:color w:val="auto"/>
          <w:sz w:val="28"/>
          <w:szCs w:val="32"/>
        </w:rPr>
      </w:pPr>
      <w:r>
        <w:rPr>
          <w:rFonts w:hint="eastAsia" w:ascii="仿宋_GB2312" w:eastAsia="仿宋_GB2312"/>
          <w:color w:val="auto"/>
          <w:sz w:val="28"/>
          <w:szCs w:val="32"/>
        </w:rPr>
        <w:t>全市各级医疗保障部门要合理安排医疗保障资源的投入，落实各项行动计划和规划项目。提前做好各项目的经费预算，加大对兜底性、基础性医保工作的财政投入力度，使资金使用科学、规范、有效。加强医疗保障资金分配使用过程中的管理、规范和监督评价，健全项目建设规范和绩效评价。不断提高医疗保障工作人员的专业素养，努力培养以医疗专业背景为主，包括经济学、管理学、信息技术等领域的既懂政策经办、又懂信息化的复合型技术人才。加强医疗保障专业化人才队伍建设，强化业务培训，过集体培训、考察学习、内部业务交流等方式，提高医疗保障业务人员工作能力和管理水平，强化基层经办机构能力建设，确保医疗保障各项工作落到实处。</w:t>
      </w:r>
    </w:p>
    <w:p>
      <w:pPr>
        <w:pStyle w:val="3"/>
        <w:spacing w:before="0" w:after="0" w:line="360" w:lineRule="auto"/>
        <w:ind w:firstLine="562" w:firstLineChars="200"/>
        <w:rPr>
          <w:rFonts w:ascii="楷体_GB2312" w:eastAsia="楷体_GB2312"/>
          <w:color w:val="auto"/>
          <w:sz w:val="28"/>
          <w:szCs w:val="28"/>
        </w:rPr>
      </w:pPr>
      <w:bookmarkStart w:id="18" w:name="_Toc81666359"/>
      <w:r>
        <w:rPr>
          <w:rFonts w:hint="eastAsia" w:ascii="楷体_GB2312" w:eastAsia="楷体_GB2312"/>
          <w:color w:val="auto"/>
          <w:sz w:val="28"/>
          <w:szCs w:val="28"/>
        </w:rPr>
        <w:t>（三）强化医保数字化改革，保障精准高</w:t>
      </w:r>
      <w:bookmarkEnd w:id="18"/>
    </w:p>
    <w:p>
      <w:pPr>
        <w:ind w:firstLine="560" w:firstLineChars="200"/>
        <w:rPr>
          <w:rFonts w:ascii="仿宋_GB2312" w:eastAsia="仿宋_GB2312"/>
          <w:color w:val="auto"/>
          <w:sz w:val="28"/>
          <w:szCs w:val="32"/>
        </w:rPr>
      </w:pPr>
      <w:r>
        <w:rPr>
          <w:rFonts w:hint="eastAsia" w:ascii="仿宋_GB2312" w:eastAsia="仿宋_GB2312"/>
          <w:color w:val="auto"/>
          <w:sz w:val="28"/>
          <w:szCs w:val="32"/>
        </w:rPr>
        <w:t>全市各级医疗保障部门要顺应数字化改革趋势，结合互联网、云计算等推进“智慧医保”建设，努力消除医疗保障信息化领域信息孤岛、技术壁垒等信息系统碎片化问题。以群众需求与基金安全为导向，综合应用大数据、云计算、区块链、人工智能等技术，深入推进医保数字化转型。建立健全医保服务、业务领域全流程的规范化、模块化、数字化服务体系，建设“统一、高效、兼容、便捷、安全”的医疗保障信息平台，全面提高医疗保障科学化管理水平，有效提高医疗保障服务质量，促进医疗保障服务供给创新和治理能力现代化。运用医保大数据有效监控异地就医行为、线上的医保移动支付行为，不断优化医保结算政策，支撑医保支付方式改革，加快推动经办服务优化便捷、医保治理精准高效。</w:t>
      </w:r>
    </w:p>
    <w:p>
      <w:pPr>
        <w:pStyle w:val="3"/>
        <w:spacing w:before="0" w:after="0" w:line="360" w:lineRule="auto"/>
        <w:ind w:firstLine="562" w:firstLineChars="200"/>
        <w:rPr>
          <w:rFonts w:ascii="楷体_GB2312" w:eastAsia="楷体_GB2312"/>
          <w:color w:val="auto"/>
          <w:sz w:val="28"/>
          <w:szCs w:val="28"/>
        </w:rPr>
      </w:pPr>
      <w:bookmarkStart w:id="19" w:name="_Toc81666360"/>
      <w:r>
        <w:rPr>
          <w:rFonts w:hint="eastAsia" w:ascii="楷体_GB2312" w:eastAsia="楷体_GB2312"/>
          <w:color w:val="auto"/>
          <w:sz w:val="28"/>
          <w:szCs w:val="28"/>
        </w:rPr>
        <w:t>（四）推动部门协同联动，加强协作治理</w:t>
      </w:r>
      <w:bookmarkEnd w:id="19"/>
    </w:p>
    <w:p>
      <w:pPr>
        <w:ind w:firstLine="560" w:firstLineChars="200"/>
        <w:rPr>
          <w:rFonts w:ascii="仿宋_GB2312" w:eastAsia="仿宋_GB2312"/>
          <w:sz w:val="28"/>
          <w:szCs w:val="32"/>
        </w:rPr>
      </w:pPr>
      <w:r>
        <w:rPr>
          <w:rFonts w:hint="eastAsia" w:ascii="仿宋_GB2312" w:eastAsia="仿宋_GB2312"/>
          <w:color w:val="auto"/>
          <w:sz w:val="28"/>
          <w:szCs w:val="32"/>
        </w:rPr>
        <w:t>全市各级医疗保障部门要建立健全与“三医联动”“六医统筹”改革相适应的协作联动机制。主动加强与卫健、发展改革、人力社保、财政、民政、税务、市场监管、药监、公安、审计等部门的联系对接，信息互通共享、统一部署、部门联动、密切协作、形成合力，协商解</w:t>
      </w:r>
      <w:r>
        <w:rPr>
          <w:rFonts w:hint="eastAsia" w:ascii="仿宋_GB2312" w:eastAsia="仿宋_GB2312"/>
          <w:sz w:val="28"/>
          <w:szCs w:val="32"/>
        </w:rPr>
        <w:t>决跨部门重大问题。促成经办服务部门合作，实现覆盖参保人员全生命周期的医保便捷服务。完善监督管理协作联动工作机制，形成打击欺诈骗保行为的部门合力，有效提升医疗保障基金安全保障水平，确保医疗保障事业高质量发展。</w:t>
      </w:r>
    </w:p>
    <w:p>
      <w:pPr>
        <w:pStyle w:val="3"/>
        <w:spacing w:before="0" w:after="0" w:line="360" w:lineRule="auto"/>
        <w:ind w:firstLine="562" w:firstLineChars="200"/>
        <w:rPr>
          <w:rFonts w:ascii="楷体_GB2312" w:eastAsia="楷体_GB2312"/>
          <w:sz w:val="28"/>
          <w:szCs w:val="28"/>
        </w:rPr>
      </w:pPr>
      <w:bookmarkStart w:id="20" w:name="_Toc81666361"/>
      <w:r>
        <w:rPr>
          <w:rFonts w:hint="eastAsia" w:ascii="楷体_GB2312" w:eastAsia="楷体_GB2312"/>
          <w:sz w:val="28"/>
          <w:szCs w:val="28"/>
        </w:rPr>
        <w:t>（五）加强宣传引导工作，营造良好氛围</w:t>
      </w:r>
      <w:bookmarkEnd w:id="20"/>
    </w:p>
    <w:p>
      <w:pPr>
        <w:ind w:firstLine="560" w:firstLineChars="200"/>
        <w:rPr>
          <w:rFonts w:ascii="仿宋_GB2312" w:eastAsia="仿宋_GB2312"/>
          <w:sz w:val="28"/>
          <w:szCs w:val="32"/>
        </w:rPr>
      </w:pPr>
      <w:r>
        <w:rPr>
          <w:rFonts w:hint="eastAsia" w:ascii="仿宋_GB2312" w:eastAsia="仿宋_GB2312"/>
          <w:sz w:val="28"/>
          <w:szCs w:val="32"/>
        </w:rPr>
        <w:t>全市各级医疗保障部门要树立以人民为中心的服务理念，开展多种形式的医疗保障政策解读和服务宣传工作，结合医保政策、党史学习教育等活动，通过政策宣讲团等方式，常态化开展宣讲工作，提高群众对医保政策知晓率。重要改革事项广泛听取群众意见，及时回应社会关切，正确引导合理预期，充分调动群众对医保规划建设的积极性和主动性。加强医保文化建设，加强宣传阵地建设，健全与媒体沟通协调机制，积极营造浓厚的宣传氛围。加强对医药机构和广大参保人员有关医保法律法规政策宣传，树立参保人的健康管理意识，提高医药机构和参保人员法治意识。曝光已查实的典型欺诈骗保案件，加强警示教育宣传。</w:t>
      </w:r>
    </w:p>
    <w:p>
      <w:pPr>
        <w:pStyle w:val="3"/>
        <w:spacing w:before="0" w:after="0" w:line="360" w:lineRule="auto"/>
        <w:ind w:firstLine="562" w:firstLineChars="200"/>
        <w:rPr>
          <w:rFonts w:ascii="楷体_GB2312" w:eastAsia="楷体_GB2312"/>
          <w:sz w:val="28"/>
          <w:szCs w:val="28"/>
        </w:rPr>
      </w:pPr>
      <w:bookmarkStart w:id="21" w:name="_Toc81666362"/>
      <w:r>
        <w:rPr>
          <w:rFonts w:hint="eastAsia" w:ascii="楷体_GB2312" w:eastAsia="楷体_GB2312"/>
          <w:sz w:val="28"/>
          <w:szCs w:val="28"/>
        </w:rPr>
        <w:t>（六）防范</w:t>
      </w:r>
      <w:r>
        <w:rPr>
          <w:rFonts w:hint="eastAsia" w:ascii="楷体_GB2312" w:eastAsia="楷体_GB2312"/>
          <w:color w:val="auto"/>
          <w:sz w:val="28"/>
          <w:szCs w:val="28"/>
          <w:lang w:val="en-US" w:eastAsia="zh-CN"/>
        </w:rPr>
        <w:t>制度运行风险</w:t>
      </w:r>
      <w:r>
        <w:rPr>
          <w:rFonts w:hint="eastAsia" w:ascii="楷体_GB2312" w:eastAsia="楷体_GB2312"/>
          <w:sz w:val="28"/>
          <w:szCs w:val="28"/>
        </w:rPr>
        <w:t>，强化监测评估</w:t>
      </w:r>
      <w:bookmarkEnd w:id="21"/>
    </w:p>
    <w:p>
      <w:pPr>
        <w:ind w:firstLine="560" w:firstLineChars="200"/>
        <w:rPr>
          <w:rFonts w:ascii="仿宋_GB2312" w:eastAsia="仿宋_GB2312"/>
          <w:sz w:val="28"/>
          <w:szCs w:val="32"/>
        </w:rPr>
      </w:pPr>
      <w:r>
        <w:rPr>
          <w:rFonts w:hint="eastAsia" w:ascii="仿宋_GB2312" w:eastAsia="仿宋_GB2312"/>
          <w:sz w:val="28"/>
          <w:szCs w:val="32"/>
        </w:rPr>
        <w:t>全市各级医疗保障部门要强化规划实施的监督和考核，建立健全规划实施监测评估机制。成立监督评价工作组，根据规划评估指标体系，有计划、分阶段对实施情况进行跟踪检查，抓好年度监测分析、中期评估和总结评估。健全制度管控体系，加强行政监管能力建设，坚决堵住风险漏洞，鼓励公立及非公立医疗机构、零售药店、医师等行业协会开展行业规范和自律建设，制定自律公约，促进行业自我规范和约束。加强部门联合监管，重点查处违规违约、欺诈骗保行为，坚持“零容忍”，加强对欺诈骗保线索的发现和受理，建立线索督办和查处反馈制度，严厉惩处欺诈骗保，尤其是医疗机构内外勾结的欺诈骗保行为。加强内控制度建设，明确效能监督、流程监管、信息数据、基金征缴、待遇稽核、会计出纳等流程和分工，相互制约；加强对信息系统数据的监控管理，权限管理，加强风险预案管理。引导社会各界规范有序地参与医保监督与评估，积极引入第三方评估机构，强化规划具体事项的督查和考核，健全规划监督评价机制，完善规划反馈与调整机制，按期评估规划执行进度和效果，合理运用评价结果，确保各项政策措施和行动落实到位。</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F04ADD-0597-4FDC-AFA1-33E8CE3B0B0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ED25625-785E-4B15-BFF2-B818920A63B7}"/>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3" w:fontKey="{4275FACE-2257-4BEB-A65E-2351893800BC}"/>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embedRegular r:id="rId4" w:fontKey="{068DF75F-5469-41F6-BA02-564D2B50D71D}"/>
  </w:font>
  <w:font w:name="楷体">
    <w:panose1 w:val="02010609060101010101"/>
    <w:charset w:val="86"/>
    <w:family w:val="auto"/>
    <w:pitch w:val="default"/>
    <w:sig w:usb0="800002BF" w:usb1="38CF7CFA" w:usb2="00000016" w:usb3="00000000" w:csb0="00040001" w:csb1="00000000"/>
    <w:embedRegular r:id="rId5" w:fontKey="{707F74E7-EF21-47F1-B240-456EC30D984D}"/>
  </w:font>
  <w:font w:name="方正小标宋简体">
    <w:panose1 w:val="02000000000000000000"/>
    <w:charset w:val="86"/>
    <w:family w:val="script"/>
    <w:pitch w:val="default"/>
    <w:sig w:usb0="00000001" w:usb1="08000000" w:usb2="00000000" w:usb3="00000000" w:csb0="00040000" w:csb1="00000000"/>
    <w:embedRegular r:id="rId6" w:fontKey="{86712A78-95C2-4D98-8D80-D8F810D0F988}"/>
  </w:font>
  <w:font w:name="仿宋">
    <w:panose1 w:val="02010609060101010101"/>
    <w:charset w:val="86"/>
    <w:family w:val="modern"/>
    <w:pitch w:val="default"/>
    <w:sig w:usb0="800002BF" w:usb1="38CF7CFA" w:usb2="00000016" w:usb3="00000000" w:csb0="00040001" w:csb1="00000000"/>
    <w:embedRegular r:id="rId7" w:fontKey="{90D8B540-B29F-4E33-B2EA-8F16D56A153D}"/>
  </w:font>
  <w:font w:name="仿宋_GB2312">
    <w:altName w:val="仿宋"/>
    <w:panose1 w:val="02010609030101010101"/>
    <w:charset w:val="86"/>
    <w:family w:val="modern"/>
    <w:pitch w:val="default"/>
    <w:sig w:usb0="00000000" w:usb1="00000000" w:usb2="00000000" w:usb3="00000000" w:csb0="00040000" w:csb1="00000000"/>
    <w:embedRegular r:id="rId8" w:fontKey="{3A1B6557-8E6A-4FE6-B062-99515EEFBEB2}"/>
  </w:font>
  <w:font w:name="微软雅黑">
    <w:panose1 w:val="020B0503020204020204"/>
    <w:charset w:val="86"/>
    <w:family w:val="auto"/>
    <w:pitch w:val="default"/>
    <w:sig w:usb0="80000287" w:usb1="280F3C52" w:usb2="00000016" w:usb3="00000000" w:csb0="0004001F" w:csb1="00000000"/>
  </w:font>
  <w:font w:name="等线 Light">
    <w:altName w:val="RiiPopkaku-R"/>
    <w:panose1 w:val="00000000000000000000"/>
    <w:charset w:val="00"/>
    <w:family w:val="auto"/>
    <w:pitch w:val="default"/>
    <w:sig w:usb0="00000000" w:usb1="00000000" w:usb2="00000000" w:usb3="00000000" w:csb0="00000000" w:csb1="00000000"/>
  </w:font>
  <w:font w:name="RiiPopkaku-R">
    <w:panose1 w:val="02000600000000000000"/>
    <w:charset w:val="80"/>
    <w:family w:val="auto"/>
    <w:pitch w:val="default"/>
    <w:sig w:usb0="800002CF" w:usb1="68C7FCFC"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8823243"/>
    </w:sdtPr>
    <w:sdtContent>
      <w:sdt>
        <w:sdtPr>
          <w:id w:val="1728636285"/>
        </w:sdtPr>
        <w:sdtContent>
          <w:p>
            <w:pPr>
              <w:pStyle w:val="6"/>
              <w:jc w:val="center"/>
            </w:pPr>
            <w:r>
              <w:rPr>
                <w:lang w:val="zh-CN"/>
              </w:rPr>
              <w:t xml:space="preserve"> </w:t>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yNTgxNjlhMjdhMjVhYjFhMzg5OWFiZDcwNDY3NDkifQ=="/>
  </w:docVars>
  <w:rsids>
    <w:rsidRoot w:val="008F3F30"/>
    <w:rsid w:val="00010FBE"/>
    <w:rsid w:val="0007422F"/>
    <w:rsid w:val="00087BAA"/>
    <w:rsid w:val="000B01E2"/>
    <w:rsid w:val="000B3D85"/>
    <w:rsid w:val="000B5514"/>
    <w:rsid w:val="000C4494"/>
    <w:rsid w:val="000D169A"/>
    <w:rsid w:val="000D6CE9"/>
    <w:rsid w:val="000D7CDF"/>
    <w:rsid w:val="000E3A4E"/>
    <w:rsid w:val="00106E4F"/>
    <w:rsid w:val="00120139"/>
    <w:rsid w:val="001216B6"/>
    <w:rsid w:val="00126096"/>
    <w:rsid w:val="001377D5"/>
    <w:rsid w:val="0014245C"/>
    <w:rsid w:val="00145937"/>
    <w:rsid w:val="00164BB6"/>
    <w:rsid w:val="001666A5"/>
    <w:rsid w:val="001B4F2E"/>
    <w:rsid w:val="001B7564"/>
    <w:rsid w:val="001C0D70"/>
    <w:rsid w:val="0022673B"/>
    <w:rsid w:val="00252924"/>
    <w:rsid w:val="002618D6"/>
    <w:rsid w:val="00287510"/>
    <w:rsid w:val="002B78F3"/>
    <w:rsid w:val="002E5773"/>
    <w:rsid w:val="00320FF1"/>
    <w:rsid w:val="00327860"/>
    <w:rsid w:val="003446B6"/>
    <w:rsid w:val="00346348"/>
    <w:rsid w:val="00350AF4"/>
    <w:rsid w:val="00352609"/>
    <w:rsid w:val="003557BC"/>
    <w:rsid w:val="00386688"/>
    <w:rsid w:val="0039135C"/>
    <w:rsid w:val="003A3400"/>
    <w:rsid w:val="003A7C82"/>
    <w:rsid w:val="003B519E"/>
    <w:rsid w:val="003D267D"/>
    <w:rsid w:val="003D57D6"/>
    <w:rsid w:val="003D70DC"/>
    <w:rsid w:val="003E1A18"/>
    <w:rsid w:val="00400F12"/>
    <w:rsid w:val="004136D5"/>
    <w:rsid w:val="00424A74"/>
    <w:rsid w:val="00427B6A"/>
    <w:rsid w:val="00443768"/>
    <w:rsid w:val="00462BA8"/>
    <w:rsid w:val="00477F50"/>
    <w:rsid w:val="004819E2"/>
    <w:rsid w:val="004B34FD"/>
    <w:rsid w:val="004D05A6"/>
    <w:rsid w:val="004E603D"/>
    <w:rsid w:val="00500870"/>
    <w:rsid w:val="00505E2A"/>
    <w:rsid w:val="00511345"/>
    <w:rsid w:val="005466AD"/>
    <w:rsid w:val="0058306F"/>
    <w:rsid w:val="0058517A"/>
    <w:rsid w:val="005B6E41"/>
    <w:rsid w:val="005D268B"/>
    <w:rsid w:val="005E4496"/>
    <w:rsid w:val="005F7D44"/>
    <w:rsid w:val="00605CA7"/>
    <w:rsid w:val="006116BA"/>
    <w:rsid w:val="00613308"/>
    <w:rsid w:val="00624895"/>
    <w:rsid w:val="0067442D"/>
    <w:rsid w:val="0067670D"/>
    <w:rsid w:val="006908EF"/>
    <w:rsid w:val="006A1824"/>
    <w:rsid w:val="006C07CC"/>
    <w:rsid w:val="006C6750"/>
    <w:rsid w:val="006D7CD2"/>
    <w:rsid w:val="006E1B2B"/>
    <w:rsid w:val="00705965"/>
    <w:rsid w:val="00721D8D"/>
    <w:rsid w:val="00736B73"/>
    <w:rsid w:val="00782E38"/>
    <w:rsid w:val="00786D22"/>
    <w:rsid w:val="007E39DD"/>
    <w:rsid w:val="008145C1"/>
    <w:rsid w:val="00847037"/>
    <w:rsid w:val="0088642B"/>
    <w:rsid w:val="00897A75"/>
    <w:rsid w:val="008A7620"/>
    <w:rsid w:val="008B187B"/>
    <w:rsid w:val="008D5AAF"/>
    <w:rsid w:val="008D60B6"/>
    <w:rsid w:val="008E783A"/>
    <w:rsid w:val="008F3F30"/>
    <w:rsid w:val="00904A3A"/>
    <w:rsid w:val="00913B35"/>
    <w:rsid w:val="0092592D"/>
    <w:rsid w:val="00962E3A"/>
    <w:rsid w:val="009720BB"/>
    <w:rsid w:val="0098514C"/>
    <w:rsid w:val="009873F1"/>
    <w:rsid w:val="009A08E7"/>
    <w:rsid w:val="009B4678"/>
    <w:rsid w:val="009D6650"/>
    <w:rsid w:val="009E7EAB"/>
    <w:rsid w:val="00A11BA2"/>
    <w:rsid w:val="00A14F5D"/>
    <w:rsid w:val="00A40387"/>
    <w:rsid w:val="00A504AB"/>
    <w:rsid w:val="00A725A2"/>
    <w:rsid w:val="00A97DA8"/>
    <w:rsid w:val="00AA050C"/>
    <w:rsid w:val="00AA3CC1"/>
    <w:rsid w:val="00AC56E2"/>
    <w:rsid w:val="00AD0646"/>
    <w:rsid w:val="00B05BD6"/>
    <w:rsid w:val="00B05EC3"/>
    <w:rsid w:val="00B21B2C"/>
    <w:rsid w:val="00B2219E"/>
    <w:rsid w:val="00B3656C"/>
    <w:rsid w:val="00B518BA"/>
    <w:rsid w:val="00B55F15"/>
    <w:rsid w:val="00B6174E"/>
    <w:rsid w:val="00B82F52"/>
    <w:rsid w:val="00B879DB"/>
    <w:rsid w:val="00BD4A61"/>
    <w:rsid w:val="00BD7B76"/>
    <w:rsid w:val="00BE1F6F"/>
    <w:rsid w:val="00BE3343"/>
    <w:rsid w:val="00BF6877"/>
    <w:rsid w:val="00C30CAA"/>
    <w:rsid w:val="00C31684"/>
    <w:rsid w:val="00C3573D"/>
    <w:rsid w:val="00C47422"/>
    <w:rsid w:val="00C55DF9"/>
    <w:rsid w:val="00C622A3"/>
    <w:rsid w:val="00C6533C"/>
    <w:rsid w:val="00C80B92"/>
    <w:rsid w:val="00C85B2E"/>
    <w:rsid w:val="00C904E6"/>
    <w:rsid w:val="00CB3A8A"/>
    <w:rsid w:val="00CB6B1D"/>
    <w:rsid w:val="00CF5D84"/>
    <w:rsid w:val="00D009F6"/>
    <w:rsid w:val="00D030A0"/>
    <w:rsid w:val="00D107AF"/>
    <w:rsid w:val="00D162A2"/>
    <w:rsid w:val="00D8147E"/>
    <w:rsid w:val="00D878F0"/>
    <w:rsid w:val="00DA41F9"/>
    <w:rsid w:val="00DA5F3D"/>
    <w:rsid w:val="00DD38A3"/>
    <w:rsid w:val="00E1310B"/>
    <w:rsid w:val="00E14898"/>
    <w:rsid w:val="00E236F3"/>
    <w:rsid w:val="00E50CF7"/>
    <w:rsid w:val="00E736E3"/>
    <w:rsid w:val="00E74DDD"/>
    <w:rsid w:val="00EA3932"/>
    <w:rsid w:val="00EA397B"/>
    <w:rsid w:val="00EA5AAB"/>
    <w:rsid w:val="00EB606B"/>
    <w:rsid w:val="00EC077B"/>
    <w:rsid w:val="00ED4A9C"/>
    <w:rsid w:val="00ED7116"/>
    <w:rsid w:val="00EF598A"/>
    <w:rsid w:val="00F1469B"/>
    <w:rsid w:val="00F24948"/>
    <w:rsid w:val="00F2791E"/>
    <w:rsid w:val="00F327DA"/>
    <w:rsid w:val="00F36FFC"/>
    <w:rsid w:val="00F41C2A"/>
    <w:rsid w:val="00F425C3"/>
    <w:rsid w:val="00F61B30"/>
    <w:rsid w:val="00F8633D"/>
    <w:rsid w:val="00F9343D"/>
    <w:rsid w:val="00FA554F"/>
    <w:rsid w:val="00FD658C"/>
    <w:rsid w:val="00FD7F79"/>
    <w:rsid w:val="00FE00C9"/>
    <w:rsid w:val="03141B89"/>
    <w:rsid w:val="051450D5"/>
    <w:rsid w:val="071401E0"/>
    <w:rsid w:val="08515545"/>
    <w:rsid w:val="1B0E25A2"/>
    <w:rsid w:val="1DB74819"/>
    <w:rsid w:val="335B7A30"/>
    <w:rsid w:val="3A66366D"/>
    <w:rsid w:val="3C991DE6"/>
    <w:rsid w:val="3FE97FF1"/>
    <w:rsid w:val="41E4498A"/>
    <w:rsid w:val="544C633D"/>
    <w:rsid w:val="59B660C1"/>
    <w:rsid w:val="5B5A50F6"/>
    <w:rsid w:val="6F2276CB"/>
    <w:rsid w:val="70A04A75"/>
    <w:rsid w:val="748856D2"/>
    <w:rsid w:val="7E90533A"/>
    <w:rsid w:val="7F7FFAB0"/>
    <w:rsid w:val="7FB1998B"/>
    <w:rsid w:val="7FB76171"/>
    <w:rsid w:val="AE3D71BA"/>
    <w:rsid w:val="D77CF487"/>
    <w:rsid w:val="DFBD4BA0"/>
    <w:rsid w:val="E5DF510E"/>
    <w:rsid w:val="FBFA47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rPr>
  </w:style>
  <w:style w:type="paragraph" w:styleId="6">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oc 1"/>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9">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27"/>
    <w:semiHidden/>
    <w:unhideWhenUsed/>
    <w:qFormat/>
    <w:uiPriority w:val="99"/>
    <w:rPr>
      <w:b/>
      <w:bCs/>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页眉 字符"/>
    <w:basedOn w:val="14"/>
    <w:link w:val="7"/>
    <w:qFormat/>
    <w:uiPriority w:val="99"/>
    <w:rPr>
      <w:sz w:val="18"/>
      <w:szCs w:val="18"/>
    </w:rPr>
  </w:style>
  <w:style w:type="character" w:customStyle="1" w:styleId="19">
    <w:name w:val="页脚 字符"/>
    <w:basedOn w:val="14"/>
    <w:link w:val="6"/>
    <w:qFormat/>
    <w:uiPriority w:val="99"/>
    <w:rPr>
      <w:sz w:val="18"/>
      <w:szCs w:val="18"/>
    </w:rPr>
  </w:style>
  <w:style w:type="character" w:customStyle="1" w:styleId="20">
    <w:name w:val="标题 1 字符"/>
    <w:basedOn w:val="14"/>
    <w:link w:val="2"/>
    <w:qFormat/>
    <w:uiPriority w:val="9"/>
    <w:rPr>
      <w:b/>
      <w:bCs/>
      <w:kern w:val="44"/>
      <w:sz w:val="44"/>
      <w:szCs w:val="44"/>
    </w:rPr>
  </w:style>
  <w:style w:type="character" w:customStyle="1" w:styleId="21">
    <w:name w:val="标题 2 字符"/>
    <w:basedOn w:val="14"/>
    <w:link w:val="3"/>
    <w:semiHidden/>
    <w:qFormat/>
    <w:uiPriority w:val="9"/>
    <w:rPr>
      <w:rFonts w:asciiTheme="majorHAnsi" w:hAnsiTheme="majorHAnsi" w:eastAsiaTheme="majorEastAsia" w:cstheme="majorBidi"/>
      <w:b/>
      <w:bCs/>
      <w:sz w:val="32"/>
      <w:szCs w:val="32"/>
    </w:rPr>
  </w:style>
  <w:style w:type="table" w:customStyle="1" w:styleId="22">
    <w:name w:val="网格型1"/>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无间隔1"/>
    <w:link w:val="24"/>
    <w:qFormat/>
    <w:uiPriority w:val="1"/>
    <w:rPr>
      <w:rFonts w:asciiTheme="minorHAnsi" w:hAnsiTheme="minorHAnsi" w:eastAsiaTheme="minorEastAsia" w:cstheme="minorBidi"/>
      <w:sz w:val="22"/>
      <w:szCs w:val="22"/>
      <w:lang w:val="en-US" w:eastAsia="zh-CN" w:bidi="ar-SA"/>
    </w:rPr>
  </w:style>
  <w:style w:type="character" w:customStyle="1" w:styleId="24">
    <w:name w:val="无间隔 字符"/>
    <w:basedOn w:val="14"/>
    <w:link w:val="23"/>
    <w:qFormat/>
    <w:uiPriority w:val="1"/>
    <w:rPr>
      <w:sz w:val="22"/>
      <w:szCs w:val="22"/>
    </w:rPr>
  </w:style>
  <w:style w:type="paragraph" w:customStyle="1" w:styleId="2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6">
    <w:name w:val="批注文字 字符"/>
    <w:basedOn w:val="14"/>
    <w:link w:val="4"/>
    <w:semiHidden/>
    <w:qFormat/>
    <w:uiPriority w:val="99"/>
    <w:rPr>
      <w:rFonts w:ascii="Calibri" w:hAnsi="Calibri" w:eastAsia="宋体" w:cs="Times New Roman"/>
      <w:kern w:val="2"/>
      <w:sz w:val="21"/>
      <w:szCs w:val="22"/>
    </w:rPr>
  </w:style>
  <w:style w:type="character" w:customStyle="1" w:styleId="27">
    <w:name w:val="批注主题 字符"/>
    <w:basedOn w:val="26"/>
    <w:link w:val="11"/>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34</Pages>
  <Words>20171</Words>
  <Characters>20384</Characters>
  <Lines>162</Lines>
  <Paragraphs>45</Paragraphs>
  <TotalTime>20</TotalTime>
  <ScaleCrop>false</ScaleCrop>
  <LinksUpToDate>false</LinksUpToDate>
  <CharactersWithSpaces>20473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2021-09-05T00:34:00Z</dcterms:created>
  <dc:creator>Xiaoting LIU</dc:creator>
  <cp:lastModifiedBy>Icarus</cp:lastModifiedBy>
  <cp:lastPrinted>2021-09-13T16:29:00Z</cp:lastPrinted>
  <dcterms:modified xsi:type="dcterms:W3CDTF">2023-04-18T01:19:52Z</dcterms:modified>
  <dc:title>温州市医疗保障事业发展“十四五”规划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E1EB3D20B4B14D40A8258E2F32204244</vt:lpwstr>
  </property>
  <property fmtid="{D5CDD505-2E9C-101B-9397-08002B2CF9AE}" pid="4" name="woTemplateTypoMode" linkTarget="0">
    <vt:lpwstr>web</vt:lpwstr>
  </property>
  <property fmtid="{D5CDD505-2E9C-101B-9397-08002B2CF9AE}" pid="5" name="woTemplate" linkTarget="0">
    <vt:i4>1</vt:i4>
  </property>
</Properties>
</file>