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hAnsi="黑体" w:eastAsia="黑体" w:cs="黑体"/>
          <w:spacing w:val="15"/>
          <w:sz w:val="32"/>
          <w:szCs w:val="32"/>
        </w:rPr>
      </w:pPr>
    </w:p>
    <w:p>
      <w:pPr>
        <w:spacing w:line="560" w:lineRule="exact"/>
        <w:jc w:val="center"/>
        <w:rPr>
          <w:rFonts w:ascii="方正小标宋简体" w:hAnsi="方正小标宋简体" w:eastAsia="方正小标宋简体" w:cs="方正小标宋简体"/>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p>
    <w:p>
      <w:pPr>
        <w:spacing w:line="560" w:lineRule="exact"/>
        <w:jc w:val="center"/>
        <w:rPr>
          <w:rFonts w:ascii="方正小标宋简体" w:hAnsi="方正小标宋简体" w:eastAsia="方正小标宋简体" w:cs="方正小标宋简体"/>
          <w:bCs/>
          <w:spacing w:val="15"/>
          <w:sz w:val="44"/>
          <w:szCs w:val="44"/>
        </w:rPr>
      </w:pPr>
      <w:r>
        <w:rPr>
          <w:rFonts w:ascii="方正小标宋简体" w:hAnsi="方正小标宋简体" w:eastAsia="方正小标宋简体" w:cs="方正小标宋简体"/>
          <w:bCs/>
          <w:spacing w:val="15"/>
          <w:sz w:val="44"/>
          <w:szCs w:val="44"/>
        </w:rPr>
        <w:t>丽水市救助管理站</w:t>
      </w:r>
      <w:r>
        <w:rPr>
          <w:rFonts w:hint="eastAsia" w:ascii="方正小标宋简体" w:hAnsi="方正小标宋简体" w:eastAsia="方正小标宋简体" w:cs="方正小标宋简体"/>
          <w:bCs/>
          <w:spacing w:val="15"/>
          <w:sz w:val="44"/>
          <w:szCs w:val="44"/>
        </w:rPr>
        <w:t>2024年单位预算</w:t>
      </w:r>
    </w:p>
    <w:p>
      <w:pPr>
        <w:spacing w:line="560" w:lineRule="exact"/>
        <w:ind w:firstLine="590" w:firstLineChars="196"/>
        <w:rPr>
          <w:rStyle w:val="9"/>
          <w:color w:val="000000"/>
          <w:sz w:val="30"/>
          <w:szCs w:val="30"/>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p>
    <w:p>
      <w:pPr>
        <w:spacing w:line="520" w:lineRule="exact"/>
        <w:rPr>
          <w:rStyle w:val="9"/>
          <w:rFonts w:ascii="黑体" w:eastAsia="黑体"/>
          <w:b w:val="0"/>
          <w:color w:val="000000"/>
          <w:sz w:val="32"/>
          <w:szCs w:val="32"/>
        </w:rPr>
      </w:pPr>
    </w:p>
    <w:p>
      <w:pPr>
        <w:spacing w:line="520" w:lineRule="exact"/>
        <w:ind w:firstLine="627" w:firstLineChars="196"/>
        <w:jc w:val="center"/>
        <w:rPr>
          <w:rStyle w:val="9"/>
          <w:rFonts w:ascii="黑体" w:eastAsia="黑体"/>
          <w:b w:val="0"/>
          <w:color w:val="000000"/>
          <w:sz w:val="32"/>
          <w:szCs w:val="32"/>
        </w:rPr>
      </w:pPr>
      <w:r>
        <w:rPr>
          <w:rStyle w:val="9"/>
          <w:rFonts w:hint="eastAsia" w:ascii="黑体" w:eastAsia="黑体"/>
          <w:b w:val="0"/>
          <w:color w:val="000000"/>
          <w:sz w:val="32"/>
          <w:szCs w:val="32"/>
        </w:rPr>
        <w:t>目录</w:t>
      </w:r>
    </w:p>
    <w:p>
      <w:pPr>
        <w:spacing w:line="520" w:lineRule="exact"/>
        <w:rPr>
          <w:rFonts w:eastAsia="黑体"/>
          <w:sz w:val="32"/>
        </w:rPr>
      </w:pPr>
      <w:r>
        <w:rPr>
          <w:rFonts w:hint="eastAsia" w:ascii="黑体" w:eastAsia="黑体"/>
          <w:color w:val="000000"/>
          <w:sz w:val="32"/>
          <w:highlight w:val="white"/>
        </w:rPr>
        <w:t>一、单位</w:t>
      </w:r>
      <w:r>
        <w:rPr>
          <w:rStyle w:val="9"/>
          <w:rFonts w:hint="eastAsia" w:ascii="黑体" w:eastAsia="黑体"/>
          <w:b w:val="0"/>
          <w:color w:val="000000"/>
          <w:sz w:val="32"/>
          <w:szCs w:val="32"/>
        </w:rPr>
        <w:t>概况</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（一）主要职能</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（二）单位机构设置情况</w:t>
      </w:r>
    </w:p>
    <w:p>
      <w:pPr>
        <w:spacing w:line="520" w:lineRule="exact"/>
        <w:rPr>
          <w:rStyle w:val="9"/>
          <w:rFonts w:ascii="黑体" w:eastAsia="黑体"/>
          <w:b w:val="0"/>
          <w:color w:val="000000"/>
          <w:sz w:val="32"/>
          <w:szCs w:val="32"/>
        </w:rPr>
      </w:pPr>
      <w:r>
        <w:rPr>
          <w:rStyle w:val="9"/>
          <w:rFonts w:hint="eastAsia" w:ascii="黑体" w:eastAsia="黑体"/>
          <w:b w:val="0"/>
          <w:color w:val="000000"/>
          <w:sz w:val="32"/>
          <w:szCs w:val="32"/>
        </w:rPr>
        <w:t>二、2024年丽水市救助管理站单位预算安排情况说明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（一）关于丽水市救助管理站2024年收支预算情况的总体说明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（二）关于丽水市救助管理站2024年收入预算情况说明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（三）关于丽水市救助管理站2024年支出预算情况说明</w:t>
      </w:r>
      <w:r>
        <w:rPr>
          <w:rFonts w:hint="eastAsia" w:ascii="楷体_GB2312" w:hAnsi="楷体_GB2312" w:eastAsia="楷体_GB2312" w:cs="楷体_GB2312"/>
          <w:bCs/>
          <w:sz w:val="32"/>
          <w:szCs w:val="32"/>
        </w:rPr>
        <w:br w:type="textWrapping"/>
      </w:r>
      <w:r>
        <w:rPr>
          <w:rFonts w:hint="eastAsia" w:ascii="楷体_GB2312" w:hAnsi="楷体_GB2312" w:eastAsia="楷体_GB2312" w:cs="楷体_GB2312"/>
          <w:bCs/>
          <w:sz w:val="32"/>
          <w:szCs w:val="32"/>
        </w:rPr>
        <w:t>（四）关于丽水市救助管理站2024年财政拨款收支预算情况的总体说明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（五）关于丽水市救助管理站2024年一般公共预算拨款情况说明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（六）关于丽水市救助管理站2024年一般公共预算基本支出情况说明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（七）关于丽水市救助管理站2024年政府性基金预算支出情况说明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（八）关于丽水市救助管理站2024年国有资本经营预算支出情况说明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（九）关于丽水市救助管理站2024年一般公共预算“三公”经费预算情况说明</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（十）其他重要事项的情况说明</w:t>
      </w:r>
    </w:p>
    <w:p>
      <w:pPr>
        <w:pStyle w:val="14"/>
        <w:spacing w:line="520" w:lineRule="exact"/>
        <w:rPr>
          <w:rStyle w:val="9"/>
          <w:rFonts w:ascii="黑体" w:hAnsi="Calibri" w:eastAsia="黑体"/>
          <w:b w:val="0"/>
          <w:color w:val="000000"/>
          <w:kern w:val="2"/>
          <w:sz w:val="32"/>
          <w:szCs w:val="32"/>
        </w:rPr>
      </w:pPr>
      <w:r>
        <w:rPr>
          <w:rStyle w:val="9"/>
          <w:rFonts w:hint="eastAsia" w:ascii="黑体" w:hAnsi="Calibri" w:eastAsia="黑体"/>
          <w:b w:val="0"/>
          <w:color w:val="000000"/>
          <w:kern w:val="2"/>
          <w:sz w:val="32"/>
          <w:szCs w:val="32"/>
        </w:rPr>
        <w:t>三、名词解释</w:t>
      </w:r>
    </w:p>
    <w:p>
      <w:pPr>
        <w:spacing w:line="520" w:lineRule="exact"/>
        <w:rPr>
          <w:rStyle w:val="9"/>
          <w:rFonts w:ascii="黑体" w:eastAsia="黑体"/>
          <w:b w:val="0"/>
          <w:color w:val="000000"/>
          <w:sz w:val="32"/>
          <w:szCs w:val="32"/>
        </w:rPr>
      </w:pPr>
      <w:r>
        <w:rPr>
          <w:rStyle w:val="9"/>
          <w:rFonts w:hint="eastAsia" w:ascii="黑体" w:eastAsia="黑体"/>
          <w:b w:val="0"/>
          <w:color w:val="000000"/>
          <w:sz w:val="32"/>
          <w:szCs w:val="32"/>
        </w:rPr>
        <w:t>四、2024年丽水市救助管理站单位预算表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（一）2024年单位收支预算总表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（二）2024年单位收入预算总表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（三）2024年单位支出预算总表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（四）2024年单位财政拨款收支预算总表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（五）2024年单位一般公共预算支出表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（六）2024年单位一般公共预算基本支出表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（七）2024年单位一般公共预算“三公”经费支出表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（八）2024年单位政府性基金预算支出表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（九）2024年单位国有资本经营预算支出表</w:t>
      </w:r>
    </w:p>
    <w:p>
      <w:pPr>
        <w:autoSpaceDE w:val="0"/>
        <w:autoSpaceDN w:val="0"/>
        <w:adjustRightInd w:val="0"/>
        <w:ind w:left="420" w:leftChars="200"/>
        <w:jc w:val="left"/>
        <w:rPr>
          <w:rFonts w:ascii="楷体_GB2312" w:hAnsi="楷体_GB2312" w:eastAsia="楷体_GB2312" w:cs="楷体_GB2312"/>
          <w:bCs/>
          <w:sz w:val="32"/>
          <w:szCs w:val="32"/>
        </w:rPr>
      </w:pPr>
      <w:r>
        <w:rPr>
          <w:rFonts w:hint="eastAsia" w:ascii="楷体_GB2312" w:hAnsi="楷体_GB2312" w:eastAsia="楷体_GB2312" w:cs="楷体_GB2312"/>
          <w:bCs/>
          <w:sz w:val="32"/>
          <w:szCs w:val="32"/>
        </w:rPr>
        <w:t>（十）2024年单位项目支出预算表</w:t>
      </w:r>
    </w:p>
    <w:p>
      <w:pPr>
        <w:autoSpaceDE w:val="0"/>
        <w:autoSpaceDN w:val="0"/>
        <w:adjustRightInd w:val="0"/>
        <w:ind w:left="420" w:leftChars="200"/>
        <w:jc w:val="left"/>
        <w:rPr>
          <w:rStyle w:val="9"/>
          <w:rFonts w:ascii="楷体_GB2312" w:hAnsi="楷体_GB2312" w:eastAsia="楷体_GB2312" w:cs="楷体_GB2312"/>
          <w:b w:val="0"/>
          <w:sz w:val="32"/>
          <w:szCs w:val="32"/>
        </w:rPr>
      </w:pPr>
      <w:r>
        <w:rPr>
          <w:rFonts w:hint="eastAsia" w:ascii="楷体_GB2312" w:hAnsi="楷体_GB2312" w:eastAsia="楷体_GB2312" w:cs="楷体_GB2312"/>
          <w:bCs/>
          <w:sz w:val="32"/>
          <w:szCs w:val="32"/>
        </w:rPr>
        <w:t>（十一）2024年单位项目支出绩效表</w:t>
      </w:r>
    </w:p>
    <w:p>
      <w:pPr>
        <w:pStyle w:val="2"/>
        <w:rPr>
          <w:rStyle w:val="9"/>
          <w:rFonts w:hint="default" w:ascii="黑体" w:eastAsia="黑体"/>
          <w:b w:val="0"/>
          <w:sz w:val="32"/>
          <w:szCs w:val="32"/>
        </w:rPr>
      </w:pPr>
    </w:p>
    <w:p>
      <w:pPr>
        <w:pStyle w:val="2"/>
        <w:rPr>
          <w:rStyle w:val="9"/>
          <w:rFonts w:hint="default" w:ascii="黑体" w:eastAsia="黑体"/>
          <w:b w:val="0"/>
          <w:sz w:val="32"/>
          <w:szCs w:val="32"/>
        </w:rPr>
      </w:pPr>
    </w:p>
    <w:p>
      <w:pPr>
        <w:pStyle w:val="2"/>
        <w:rPr>
          <w:rStyle w:val="9"/>
          <w:rFonts w:hint="default" w:ascii="黑体" w:eastAsia="黑体"/>
          <w:b w:val="0"/>
          <w:sz w:val="32"/>
          <w:szCs w:val="32"/>
        </w:rPr>
      </w:pPr>
    </w:p>
    <w:p>
      <w:pPr>
        <w:pStyle w:val="2"/>
        <w:rPr>
          <w:rStyle w:val="9"/>
          <w:rFonts w:hint="default" w:ascii="黑体" w:eastAsia="黑体"/>
          <w:b w:val="0"/>
          <w:sz w:val="32"/>
          <w:szCs w:val="32"/>
        </w:rPr>
      </w:pPr>
    </w:p>
    <w:p>
      <w:pPr>
        <w:pStyle w:val="2"/>
        <w:rPr>
          <w:rStyle w:val="9"/>
          <w:rFonts w:hint="default" w:ascii="黑体" w:eastAsia="黑体"/>
          <w:b w:val="0"/>
          <w:sz w:val="32"/>
          <w:szCs w:val="32"/>
        </w:rPr>
      </w:pPr>
    </w:p>
    <w:p>
      <w:pPr>
        <w:pStyle w:val="2"/>
        <w:rPr>
          <w:rStyle w:val="9"/>
          <w:rFonts w:hint="default" w:ascii="黑体" w:eastAsia="黑体"/>
          <w:b w:val="0"/>
          <w:sz w:val="32"/>
          <w:szCs w:val="32"/>
        </w:rPr>
      </w:pPr>
    </w:p>
    <w:p>
      <w:pPr>
        <w:pStyle w:val="2"/>
        <w:rPr>
          <w:rStyle w:val="9"/>
          <w:rFonts w:hint="default" w:ascii="黑体" w:eastAsia="黑体"/>
          <w:b w:val="0"/>
          <w:sz w:val="32"/>
          <w:szCs w:val="32"/>
        </w:rPr>
      </w:pPr>
    </w:p>
    <w:p>
      <w:pPr>
        <w:pStyle w:val="2"/>
        <w:rPr>
          <w:rStyle w:val="9"/>
          <w:rFonts w:hint="default" w:ascii="黑体" w:eastAsia="黑体"/>
          <w:b w:val="0"/>
          <w:sz w:val="32"/>
          <w:szCs w:val="32"/>
        </w:rPr>
      </w:pPr>
    </w:p>
    <w:p>
      <w:pPr>
        <w:pStyle w:val="2"/>
        <w:rPr>
          <w:rStyle w:val="9"/>
          <w:rFonts w:hint="default" w:ascii="黑体" w:eastAsia="黑体"/>
          <w:b w:val="0"/>
          <w:sz w:val="32"/>
          <w:szCs w:val="32"/>
        </w:rPr>
      </w:pPr>
    </w:p>
    <w:p>
      <w:pPr>
        <w:pStyle w:val="2"/>
        <w:tabs>
          <w:tab w:val="left" w:pos="2608"/>
        </w:tabs>
        <w:rPr>
          <w:rStyle w:val="9"/>
          <w:rFonts w:hint="default" w:ascii="黑体" w:eastAsia="黑体"/>
          <w:b w:val="0"/>
          <w:sz w:val="32"/>
          <w:szCs w:val="32"/>
        </w:rPr>
      </w:pPr>
      <w:r>
        <w:rPr>
          <w:rStyle w:val="9"/>
          <w:rFonts w:ascii="黑体" w:eastAsia="黑体"/>
          <w:b w:val="0"/>
          <w:sz w:val="32"/>
          <w:szCs w:val="32"/>
        </w:rPr>
        <w:tab/>
      </w:r>
    </w:p>
    <w:p>
      <w:pPr>
        <w:spacing w:line="520" w:lineRule="exact"/>
        <w:ind w:firstLine="627" w:firstLineChars="196"/>
        <w:rPr>
          <w:rStyle w:val="9"/>
          <w:rFonts w:ascii="黑体" w:eastAsia="黑体"/>
          <w:b w:val="0"/>
          <w:color w:val="000000"/>
          <w:sz w:val="32"/>
          <w:szCs w:val="32"/>
        </w:rPr>
      </w:pPr>
      <w:r>
        <w:rPr>
          <w:rStyle w:val="9"/>
          <w:rFonts w:hint="eastAsia" w:ascii="黑体" w:eastAsia="黑体"/>
          <w:b w:val="0"/>
          <w:color w:val="000000"/>
          <w:sz w:val="32"/>
          <w:szCs w:val="32"/>
        </w:rPr>
        <w:t>一、单位概况</w:t>
      </w:r>
    </w:p>
    <w:p>
      <w:pPr>
        <w:spacing w:line="520" w:lineRule="exact"/>
        <w:ind w:firstLine="627" w:firstLineChars="196"/>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（一）主要职能</w:t>
      </w:r>
    </w:p>
    <w:p>
      <w:pPr>
        <w:spacing w:line="520" w:lineRule="exact"/>
        <w:ind w:firstLine="627" w:firstLineChars="196"/>
        <w:rPr>
          <w:rFonts w:ascii="仿宋_GB2312" w:eastAsia="仿宋_GB2312"/>
          <w:bCs/>
          <w:sz w:val="32"/>
          <w:szCs w:val="32"/>
        </w:rPr>
      </w:pPr>
      <w:r>
        <w:rPr>
          <w:rFonts w:hint="eastAsia" w:ascii="仿宋_GB2312" w:eastAsia="仿宋_GB2312"/>
          <w:bCs/>
          <w:sz w:val="32"/>
          <w:szCs w:val="32"/>
        </w:rPr>
        <w:t>1、宣传贯彻执行救助管理和未成年人救助保护的政策。</w:t>
      </w:r>
    </w:p>
    <w:p>
      <w:pPr>
        <w:spacing w:line="520" w:lineRule="exact"/>
        <w:ind w:firstLine="627" w:firstLineChars="196"/>
        <w:rPr>
          <w:rFonts w:ascii="仿宋_GB2312" w:eastAsia="仿宋_GB2312"/>
          <w:bCs/>
          <w:sz w:val="32"/>
          <w:szCs w:val="32"/>
        </w:rPr>
      </w:pPr>
      <w:r>
        <w:rPr>
          <w:rFonts w:hint="eastAsia" w:ascii="仿宋_GB2312" w:eastAsia="仿宋_GB2312"/>
          <w:bCs/>
          <w:sz w:val="32"/>
          <w:szCs w:val="32"/>
        </w:rPr>
        <w:t>2、负责对生活无着的流浪、乞讨人员实行救助和管理，</w:t>
      </w:r>
    </w:p>
    <w:p>
      <w:pPr>
        <w:spacing w:line="520" w:lineRule="exact"/>
        <w:ind w:firstLine="627" w:firstLineChars="196"/>
        <w:rPr>
          <w:rFonts w:ascii="仿宋_GB2312" w:eastAsia="仿宋_GB2312"/>
          <w:bCs/>
          <w:sz w:val="32"/>
          <w:szCs w:val="32"/>
        </w:rPr>
      </w:pPr>
      <w:r>
        <w:rPr>
          <w:rFonts w:hint="eastAsia" w:ascii="仿宋_GB2312" w:eastAsia="仿宋_GB2312"/>
          <w:bCs/>
          <w:sz w:val="32"/>
          <w:szCs w:val="32"/>
        </w:rPr>
        <w:t>保障其基本生活权益，并使其返回家庭或所在单位。</w:t>
      </w:r>
    </w:p>
    <w:p>
      <w:pPr>
        <w:spacing w:line="520" w:lineRule="exact"/>
        <w:ind w:firstLine="627" w:firstLineChars="196"/>
        <w:rPr>
          <w:rFonts w:ascii="仿宋_GB2312" w:eastAsia="仿宋_GB2312"/>
          <w:bCs/>
          <w:sz w:val="32"/>
          <w:szCs w:val="32"/>
        </w:rPr>
      </w:pPr>
      <w:r>
        <w:rPr>
          <w:rFonts w:hint="eastAsia" w:ascii="仿宋_GB2312" w:eastAsia="仿宋_GB2312"/>
          <w:bCs/>
          <w:sz w:val="32"/>
          <w:szCs w:val="32"/>
        </w:rPr>
        <w:t>3、负责对生活无着的流浪乞讨、遭受监护侵害、暂时无人监护等未成年人实施救助保护，承担临时监护责任。</w:t>
      </w:r>
    </w:p>
    <w:p>
      <w:pPr>
        <w:spacing w:line="520" w:lineRule="exact"/>
        <w:ind w:firstLine="627" w:firstLineChars="196"/>
        <w:rPr>
          <w:rFonts w:ascii="仿宋_GB2312" w:eastAsia="仿宋_GB2312"/>
          <w:bCs/>
          <w:sz w:val="32"/>
          <w:szCs w:val="32"/>
        </w:rPr>
      </w:pPr>
      <w:r>
        <w:rPr>
          <w:rFonts w:hint="eastAsia" w:ascii="仿宋_GB2312" w:eastAsia="仿宋_GB2312"/>
          <w:bCs/>
          <w:sz w:val="32"/>
          <w:szCs w:val="32"/>
        </w:rPr>
        <w:t>4、协助推进农村留守儿童和困境儿童关爱服务工作。</w:t>
      </w:r>
    </w:p>
    <w:p>
      <w:pPr>
        <w:spacing w:line="520" w:lineRule="exact"/>
        <w:ind w:firstLine="627" w:firstLineChars="196"/>
        <w:rPr>
          <w:rFonts w:ascii="仿宋_GB2312" w:eastAsia="仿宋_GB2312"/>
          <w:bCs/>
          <w:sz w:val="32"/>
          <w:szCs w:val="32"/>
        </w:rPr>
      </w:pPr>
      <w:r>
        <w:rPr>
          <w:rFonts w:hint="eastAsia" w:ascii="仿宋_GB2312" w:eastAsia="仿宋_GB2312"/>
          <w:bCs/>
          <w:sz w:val="32"/>
          <w:szCs w:val="32"/>
        </w:rPr>
        <w:t>5、负责协助司法部门打击拐卖儿童、对儿童实施家暴以及胁迫、诱骗或利用儿童乞讨等违法犯罪行为。</w:t>
      </w:r>
    </w:p>
    <w:p>
      <w:pPr>
        <w:spacing w:line="520" w:lineRule="exact"/>
        <w:ind w:firstLine="627" w:firstLineChars="196"/>
      </w:pPr>
      <w:r>
        <w:rPr>
          <w:rFonts w:hint="eastAsia" w:ascii="仿宋_GB2312" w:eastAsia="仿宋_GB2312"/>
          <w:bCs/>
          <w:sz w:val="32"/>
          <w:szCs w:val="32"/>
        </w:rPr>
        <w:t>6、完成市民政局交办的其他任务。</w:t>
      </w:r>
    </w:p>
    <w:p>
      <w:pPr>
        <w:spacing w:line="520" w:lineRule="exact"/>
        <w:ind w:firstLine="627" w:firstLineChars="196"/>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（二）单位机构设置情况</w:t>
      </w:r>
    </w:p>
    <w:p>
      <w:pPr>
        <w:spacing w:line="560" w:lineRule="exact"/>
        <w:ind w:firstLine="627" w:firstLineChars="196"/>
      </w:pPr>
      <w:r>
        <w:rPr>
          <w:rFonts w:hint="eastAsia" w:ascii="仿宋_GB2312" w:hAnsi="仿宋" w:eastAsia="仿宋_GB2312"/>
          <w:sz w:val="32"/>
          <w:szCs w:val="32"/>
        </w:rPr>
        <w:t>202</w:t>
      </w:r>
      <w:r>
        <w:rPr>
          <w:rFonts w:hint="eastAsia" w:ascii="仿宋_GB2312" w:hAnsi="仿宋" w:eastAsia="仿宋_GB2312"/>
          <w:sz w:val="32"/>
          <w:szCs w:val="32"/>
          <w:lang w:val="en-US" w:eastAsia="zh-CN"/>
        </w:rPr>
        <w:t>3</w:t>
      </w:r>
      <w:r>
        <w:rPr>
          <w:rFonts w:hint="eastAsia" w:ascii="仿宋_GB2312" w:hAnsi="仿宋" w:eastAsia="仿宋_GB2312"/>
          <w:sz w:val="32"/>
          <w:szCs w:val="32"/>
        </w:rPr>
        <w:t>年末机构数为1个，为全额拨款事业单位。内设科室2个，为业务科和办公室。</w:t>
      </w:r>
    </w:p>
    <w:p>
      <w:pPr>
        <w:spacing w:line="520" w:lineRule="exact"/>
        <w:ind w:left="639" w:leftChars="152" w:hanging="320" w:hangingChars="100"/>
        <w:rPr>
          <w:rStyle w:val="9"/>
          <w:rFonts w:hint="eastAsia" w:ascii="黑体" w:eastAsia="黑体"/>
          <w:b w:val="0"/>
          <w:color w:val="000000"/>
          <w:sz w:val="32"/>
          <w:szCs w:val="32"/>
        </w:rPr>
      </w:pPr>
      <w:r>
        <w:rPr>
          <w:rStyle w:val="9"/>
          <w:rFonts w:hint="eastAsia" w:ascii="黑体" w:eastAsia="黑体"/>
          <w:b w:val="0"/>
          <w:color w:val="000000"/>
          <w:sz w:val="32"/>
          <w:szCs w:val="32"/>
        </w:rPr>
        <w:t>二、2024年丽水市救助管理站单位预算安排情况说明</w:t>
      </w:r>
    </w:p>
    <w:p>
      <w:pPr>
        <w:spacing w:line="520" w:lineRule="exact"/>
        <w:ind w:firstLine="640" w:firstLineChars="200"/>
        <w:rPr>
          <w:rFonts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（一）关于丽水市救助管理站</w:t>
      </w:r>
      <w:r>
        <w:rPr>
          <w:rStyle w:val="9"/>
          <w:rFonts w:hint="eastAsia" w:ascii="楷体_GB2312" w:hAnsi="楷体_GB2312" w:eastAsia="楷体_GB2312" w:cs="楷体_GB2312"/>
          <w:b w:val="0"/>
          <w:bCs w:val="0"/>
          <w:color w:val="000000"/>
          <w:sz w:val="32"/>
          <w:szCs w:val="32"/>
        </w:rPr>
        <w:t>2024年收支预算情况的总体说明</w:t>
      </w:r>
    </w:p>
    <w:p>
      <w:pPr>
        <w:pStyle w:val="2"/>
        <w:ind w:firstLine="640" w:firstLineChars="200"/>
        <w:rPr>
          <w:rFonts w:hint="default" w:ascii="楷体_GB2312" w:hAnsi="楷体_GB2312" w:eastAsia="楷体_GB2312" w:cs="楷体_GB2312"/>
          <w:b/>
          <w:sz w:val="32"/>
          <w:szCs w:val="32"/>
        </w:rPr>
      </w:pPr>
      <w:r>
        <w:rPr>
          <w:rFonts w:hint="eastAsia" w:ascii="仿宋_GB2312" w:eastAsia="仿宋_GB2312"/>
          <w:bCs/>
          <w:color w:val="000000"/>
          <w:sz w:val="32"/>
          <w:szCs w:val="32"/>
        </w:rPr>
        <w:t>按照</w:t>
      </w:r>
      <w:r>
        <w:rPr>
          <w:rFonts w:hint="eastAsia" w:ascii="仿宋_GB2312" w:eastAsia="仿宋_GB2312"/>
          <w:bCs/>
          <w:sz w:val="32"/>
          <w:szCs w:val="32"/>
        </w:rPr>
        <w:t>综合预算的原则，丽水市救助管理站</w:t>
      </w:r>
      <w:r>
        <w:rPr>
          <w:rFonts w:hint="eastAsia" w:ascii="仿宋_GB2312" w:eastAsia="仿宋_GB2312"/>
          <w:color w:val="000000"/>
          <w:sz w:val="32"/>
          <w:szCs w:val="32"/>
        </w:rPr>
        <w:t>所有收入和支出均纳入部门预算管理。收入包括：一般公共预算拨款收入、政府性基金预算收入；</w:t>
      </w:r>
      <w:r>
        <w:rPr>
          <w:rFonts w:hAnsi="Times New Roman"/>
          <w:sz w:val="32"/>
          <w:szCs w:val="32"/>
        </w:rPr>
        <w:t>支出包括：社会保障和就业支出、卫生健康支出、其他支出。</w:t>
      </w:r>
      <w:r>
        <w:rPr>
          <w:sz w:val="32"/>
          <w:szCs w:val="32"/>
        </w:rPr>
        <w:fldChar w:fldCharType="begin"/>
      </w:r>
      <w:r>
        <w:rPr>
          <w:sz w:val="32"/>
          <w:szCs w:val="32"/>
        </w:rPr>
        <w:instrText xml:space="preserve">MERGEFIELD ${page855778723.ds388518707_V_RPT_BAS_AGENCY_INFO_NAME}</w:instrText>
      </w:r>
      <w:r>
        <w:rPr>
          <w:sz w:val="32"/>
          <w:szCs w:val="32"/>
        </w:rPr>
        <w:fldChar w:fldCharType="separate"/>
      </w:r>
      <w:r>
        <w:rPr>
          <w:sz w:val="32"/>
          <w:szCs w:val="32"/>
        </w:rPr>
        <w:t>丽水市救助管理站</w:t>
      </w:r>
      <w:r>
        <w:fldChar w:fldCharType="end"/>
      </w:r>
      <w:r>
        <w:rPr>
          <w:sz w:val="32"/>
          <w:szCs w:val="32"/>
        </w:rPr>
        <w:t>202</w:t>
      </w:r>
      <w:r>
        <w:rPr>
          <w:rFonts w:hint="eastAsia"/>
          <w:sz w:val="32"/>
          <w:szCs w:val="32"/>
          <w:lang w:val="en-US" w:eastAsia="zh-CN"/>
        </w:rPr>
        <w:t>4</w:t>
      </w:r>
      <w:r>
        <w:rPr>
          <w:sz w:val="32"/>
          <w:szCs w:val="32"/>
        </w:rPr>
        <w:t>年收支总预算</w:t>
      </w:r>
      <w:r>
        <w:rPr>
          <w:rFonts w:hint="eastAsia"/>
          <w:sz w:val="32"/>
          <w:szCs w:val="32"/>
          <w:lang w:val="en-US" w:eastAsia="zh-CN"/>
        </w:rPr>
        <w:t>628.93</w:t>
      </w:r>
      <w:r>
        <w:rPr>
          <w:sz w:val="32"/>
          <w:szCs w:val="32"/>
        </w:rPr>
        <w:t>万元。</w:t>
      </w:r>
    </w:p>
    <w:p>
      <w:pPr>
        <w:spacing w:line="520" w:lineRule="exact"/>
        <w:ind w:firstLine="642"/>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（二）关于丽水市救助管理站2024年收入预算情况说明</w:t>
      </w:r>
    </w:p>
    <w:p>
      <w:pPr>
        <w:spacing w:line="520" w:lineRule="exact"/>
        <w:ind w:firstLine="642"/>
        <w:rPr>
          <w:rFonts w:ascii="仿宋_GB2312" w:eastAsia="仿宋_GB2312"/>
          <w:color w:val="000000"/>
          <w:sz w:val="32"/>
          <w:szCs w:val="32"/>
          <w:highlight w:val="none"/>
        </w:rPr>
      </w:pPr>
      <w:r>
        <w:rPr>
          <w:rFonts w:hint="eastAsia" w:ascii="仿宋_GB2312" w:hAnsi="仿宋_GB2312" w:eastAsia="仿宋_GB2312" w:cs="仿宋_GB2312"/>
          <w:color w:val="000000"/>
          <w:sz w:val="32"/>
          <w:szCs w:val="32"/>
          <w:highlight w:val="none"/>
        </w:rPr>
        <w:t>丽水市救助管理站2024年收入预算628.93万元，比上年执行数增加</w:t>
      </w:r>
      <w:r>
        <w:rPr>
          <w:rFonts w:hint="eastAsia" w:ascii="仿宋_GB2312" w:hAnsi="仿宋_GB2312" w:eastAsia="仿宋_GB2312" w:cs="仿宋_GB2312"/>
          <w:color w:val="000000"/>
          <w:sz w:val="32"/>
          <w:szCs w:val="32"/>
          <w:highlight w:val="none"/>
          <w:lang w:val="en-US" w:eastAsia="zh-CN"/>
        </w:rPr>
        <w:t>136.47</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highlight w:val="none"/>
        </w:rPr>
        <w:t>增</w:t>
      </w:r>
      <w:r>
        <w:rPr>
          <w:rFonts w:hint="eastAsia" w:ascii="仿宋_GB2312" w:hAnsi="仿宋_GB2312" w:eastAsia="仿宋_GB2312" w:cs="仿宋_GB2312"/>
          <w:color w:val="000000"/>
          <w:sz w:val="32"/>
          <w:szCs w:val="32"/>
          <w:highlight w:val="none"/>
        </w:rPr>
        <w:t>长</w:t>
      </w:r>
      <w:r>
        <w:rPr>
          <w:rFonts w:hint="eastAsia" w:ascii="仿宋_GB2312" w:hAnsi="仿宋_GB2312" w:eastAsia="仿宋_GB2312" w:cs="仿宋_GB2312"/>
          <w:color w:val="000000"/>
          <w:sz w:val="32"/>
          <w:szCs w:val="32"/>
          <w:highlight w:val="none"/>
          <w:lang w:val="en-US" w:eastAsia="zh-CN"/>
        </w:rPr>
        <w:t>27.7</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szCs w:val="32"/>
          <w:highlight w:val="none"/>
        </w:rPr>
        <w:t>主要</w:t>
      </w:r>
      <w:r>
        <w:rPr>
          <w:rFonts w:hint="eastAsia" w:ascii="仿宋_GB2312" w:hAnsi="仿宋_GB2312" w:eastAsia="仿宋_GB2312" w:cs="仿宋_GB2312"/>
          <w:color w:val="000000"/>
          <w:sz w:val="32"/>
          <w:szCs w:val="32"/>
          <w:highlight w:val="none"/>
          <w:lang w:eastAsia="zh-CN"/>
        </w:rPr>
        <w:t>是增加救助站升级改造和车辆更新预算资金。</w:t>
      </w:r>
    </w:p>
    <w:p>
      <w:pPr>
        <w:spacing w:line="520" w:lineRule="exact"/>
        <w:ind w:firstLine="642"/>
        <w:rPr>
          <w:rFonts w:hint="eastAsia" w:ascii="仿宋_GB2312" w:eastAsia="仿宋_GB2312"/>
          <w:color w:val="000000"/>
          <w:sz w:val="32"/>
          <w:szCs w:val="32"/>
          <w:lang w:eastAsia="zh-CN"/>
        </w:rPr>
      </w:pPr>
      <w:r>
        <w:rPr>
          <w:rFonts w:hint="eastAsia" w:ascii="仿宋_GB2312" w:eastAsia="仿宋_GB2312"/>
          <w:color w:val="000000"/>
          <w:sz w:val="32"/>
          <w:szCs w:val="32"/>
        </w:rPr>
        <w:t>其中：一般公共预算拨款收入</w:t>
      </w:r>
      <w:r>
        <w:rPr>
          <w:rFonts w:ascii="仿宋_GB2312" w:eastAsia="仿宋_GB2312"/>
          <w:color w:val="000000"/>
          <w:sz w:val="32"/>
          <w:szCs w:val="32"/>
        </w:rPr>
        <w:t>418.93</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r>
        <w:rPr>
          <w:rFonts w:hint="eastAsia" w:ascii="仿宋_GB2312" w:eastAsia="仿宋_GB2312"/>
          <w:color w:val="000000"/>
          <w:sz w:val="32"/>
          <w:szCs w:val="32"/>
        </w:rPr>
        <w:t>占66.6%；政府性基金收入</w:t>
      </w:r>
      <w:r>
        <w:rPr>
          <w:rFonts w:ascii="仿宋_GB2312" w:eastAsia="仿宋_GB2312"/>
          <w:color w:val="000000"/>
          <w:sz w:val="32"/>
          <w:szCs w:val="32"/>
        </w:rPr>
        <w:t>210.00</w:t>
      </w:r>
      <w:r>
        <w:rPr>
          <w:rFonts w:hint="eastAsia" w:ascii="仿宋_GB2312" w:eastAsia="仿宋_GB2312"/>
          <w:color w:val="000000"/>
          <w:sz w:val="32"/>
          <w:szCs w:val="32"/>
        </w:rPr>
        <w:t>万元，占33.4%</w:t>
      </w:r>
      <w:r>
        <w:rPr>
          <w:rFonts w:hint="eastAsia" w:ascii="仿宋_GB2312" w:eastAsia="仿宋_GB2312"/>
          <w:color w:val="000000"/>
          <w:sz w:val="32"/>
          <w:szCs w:val="32"/>
          <w:lang w:eastAsia="zh-CN"/>
        </w:rPr>
        <w:t>。</w:t>
      </w:r>
    </w:p>
    <w:p>
      <w:pPr>
        <w:numPr>
          <w:ilvl w:val="0"/>
          <w:numId w:val="1"/>
        </w:numPr>
        <w:spacing w:line="520" w:lineRule="exact"/>
        <w:ind w:firstLine="642"/>
        <w:rPr>
          <w:rFonts w:hint="eastAsia"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关于丽水市救助管理站2024年支出预算情况说明</w:t>
      </w:r>
    </w:p>
    <w:p>
      <w:pPr>
        <w:numPr>
          <w:ilvl w:val="0"/>
          <w:numId w:val="0"/>
        </w:numPr>
        <w:spacing w:line="520" w:lineRule="exact"/>
        <w:ind w:firstLine="960" w:firstLineChars="300"/>
        <w:rPr>
          <w:rFonts w:ascii="仿宋_GB2312" w:eastAsia="仿宋_GB2312"/>
          <w:color w:val="000000"/>
          <w:sz w:val="32"/>
          <w:szCs w:val="32"/>
          <w:highlight w:val="none"/>
        </w:rPr>
      </w:pPr>
      <w:r>
        <w:rPr>
          <w:rFonts w:hint="eastAsia" w:ascii="仿宋_GB2312" w:hAnsi="仿宋_GB2312" w:eastAsia="仿宋_GB2312" w:cs="仿宋_GB2312"/>
          <w:color w:val="000000"/>
          <w:sz w:val="32"/>
          <w:szCs w:val="32"/>
          <w:highlight w:val="none"/>
        </w:rPr>
        <w:t>丽水市救助管理站2024年支出预算628.93万元，比上年执行数增加</w:t>
      </w:r>
      <w:r>
        <w:rPr>
          <w:rFonts w:hint="eastAsia" w:ascii="仿宋_GB2312" w:hAnsi="仿宋_GB2312" w:eastAsia="仿宋_GB2312" w:cs="仿宋_GB2312"/>
          <w:color w:val="000000"/>
          <w:sz w:val="32"/>
          <w:szCs w:val="32"/>
          <w:highlight w:val="none"/>
          <w:lang w:val="en-US" w:eastAsia="zh-CN"/>
        </w:rPr>
        <w:t>136.47</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highlight w:val="none"/>
        </w:rPr>
        <w:t>增长</w:t>
      </w:r>
      <w:r>
        <w:rPr>
          <w:rFonts w:hint="eastAsia" w:ascii="仿宋_GB2312" w:hAnsi="仿宋_GB2312" w:eastAsia="仿宋_GB2312" w:cs="仿宋_GB2312"/>
          <w:color w:val="000000"/>
          <w:sz w:val="32"/>
          <w:highlight w:val="none"/>
          <w:lang w:val="en-US" w:eastAsia="zh-CN"/>
        </w:rPr>
        <w:t>27.7</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szCs w:val="32"/>
          <w:highlight w:val="none"/>
        </w:rPr>
        <w:t>主要是</w:t>
      </w:r>
      <w:r>
        <w:rPr>
          <w:rFonts w:hint="eastAsia" w:ascii="仿宋_GB2312" w:hAnsi="仿宋_GB2312" w:eastAsia="仿宋_GB2312" w:cs="仿宋_GB2312"/>
          <w:color w:val="000000"/>
          <w:sz w:val="32"/>
          <w:szCs w:val="32"/>
          <w:highlight w:val="none"/>
          <w:lang w:eastAsia="zh-CN"/>
        </w:rPr>
        <w:t>增加救助站升级改造和车辆更新预算资金。</w:t>
      </w:r>
    </w:p>
    <w:p>
      <w:pPr>
        <w:spacing w:line="52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rPr>
        <w:t>1.按支出功能分类，包括社会保障和就业支出398.87万元、卫生健康支出20.06万元、其他支出210.00万元</w:t>
      </w:r>
      <w:r>
        <w:rPr>
          <w:rFonts w:hint="eastAsia" w:ascii="仿宋_GB2312" w:eastAsia="仿宋_GB2312"/>
          <w:color w:val="000000"/>
          <w:sz w:val="32"/>
          <w:szCs w:val="32"/>
          <w:lang w:eastAsia="zh-CN"/>
        </w:rPr>
        <w:t>。</w:t>
      </w:r>
    </w:p>
    <w:p>
      <w:pPr>
        <w:spacing w:line="520" w:lineRule="exact"/>
        <w:ind w:firstLine="642"/>
        <w:rPr>
          <w:rFonts w:hint="eastAsia" w:ascii="仿宋_GB2312" w:eastAsia="仿宋_GB2312"/>
          <w:color w:val="000000"/>
          <w:sz w:val="32"/>
          <w:szCs w:val="32"/>
          <w:lang w:eastAsia="zh-CN"/>
        </w:rPr>
      </w:pPr>
      <w:r>
        <w:rPr>
          <w:rFonts w:hint="eastAsia" w:ascii="仿宋_GB2312" w:eastAsia="仿宋_GB2312"/>
          <w:color w:val="000000"/>
          <w:sz w:val="32"/>
          <w:szCs w:val="32"/>
        </w:rPr>
        <w:t>2.按支出用途分类，包括人员支出326.13万元，占51.9%；日常公用支出34.80万元，占5.5%；项目支出268.00万元，占42.6%</w:t>
      </w:r>
      <w:r>
        <w:rPr>
          <w:rFonts w:hint="eastAsia" w:ascii="仿宋_GB2312" w:eastAsia="仿宋_GB2312"/>
          <w:color w:val="000000"/>
          <w:sz w:val="32"/>
          <w:szCs w:val="32"/>
          <w:lang w:eastAsia="zh-CN"/>
        </w:rPr>
        <w:t>。</w:t>
      </w:r>
    </w:p>
    <w:p>
      <w:pPr>
        <w:spacing w:line="520" w:lineRule="exact"/>
        <w:ind w:firstLine="627" w:firstLineChars="196"/>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（四）关于丽水市救助管理站2024年财政拨款收支预算情况的总体说明</w:t>
      </w:r>
    </w:p>
    <w:p>
      <w:pPr>
        <w:spacing w:line="520" w:lineRule="exact"/>
        <w:ind w:firstLine="640"/>
        <w:rPr>
          <w:rFonts w:hint="eastAsia" w:ascii="仿宋_GB2312" w:eastAsia="仿宋_GB2312"/>
          <w:color w:val="000000"/>
          <w:sz w:val="32"/>
          <w:szCs w:val="32"/>
          <w:lang w:eastAsia="zh-CN"/>
        </w:rPr>
      </w:pPr>
      <w:r>
        <w:rPr>
          <w:rFonts w:hint="eastAsia" w:ascii="仿宋_GB2312" w:eastAsia="仿宋_GB2312"/>
          <w:color w:val="000000"/>
          <w:sz w:val="32"/>
          <w:szCs w:val="32"/>
        </w:rPr>
        <w:t>丽水市救助管理站2024年财政拨款收支总预算628.93万元。收入包括：一般公共预算418.93万元、政府性基金210.00万元</w:t>
      </w:r>
      <w:r>
        <w:rPr>
          <w:rFonts w:hint="eastAsia" w:ascii="仿宋_GB2312" w:eastAsia="仿宋_GB2312"/>
          <w:color w:val="000000"/>
          <w:sz w:val="32"/>
          <w:szCs w:val="32"/>
          <w:lang w:eastAsia="zh-CN"/>
        </w:rPr>
        <w:t>。</w:t>
      </w:r>
      <w:r>
        <w:rPr>
          <w:rFonts w:hint="eastAsia" w:ascii="仿宋_GB2312" w:eastAsia="仿宋_GB2312"/>
          <w:color w:val="000000"/>
          <w:sz w:val="32"/>
          <w:szCs w:val="32"/>
        </w:rPr>
        <w:t>支出包括：社会保障和就业支出398.87万元、卫生健康支出20.06万元、其他支出210.00万元</w:t>
      </w:r>
      <w:r>
        <w:rPr>
          <w:rFonts w:hint="eastAsia" w:ascii="仿宋_GB2312" w:eastAsia="仿宋_GB2312"/>
          <w:color w:val="000000"/>
          <w:sz w:val="32"/>
          <w:szCs w:val="32"/>
          <w:lang w:eastAsia="zh-CN"/>
        </w:rPr>
        <w:t>。</w:t>
      </w:r>
    </w:p>
    <w:p>
      <w:pPr>
        <w:numPr>
          <w:ilvl w:val="0"/>
          <w:numId w:val="2"/>
        </w:numPr>
        <w:spacing w:line="520" w:lineRule="exact"/>
        <w:ind w:firstLine="640"/>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关于丽水市救助管理站2024年一般公共预算拨款情况说明</w:t>
      </w:r>
    </w:p>
    <w:p>
      <w:pPr>
        <w:spacing w:line="520" w:lineRule="exact"/>
        <w:ind w:firstLine="642"/>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1.一般公共预算拨款规模变化情况。</w:t>
      </w:r>
    </w:p>
    <w:p>
      <w:pPr>
        <w:spacing w:line="520" w:lineRule="exact"/>
        <w:ind w:firstLine="642"/>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丽水市救助管理站2024年一般公共预算拨款</w:t>
      </w:r>
      <w:r>
        <w:rPr>
          <w:rFonts w:hint="eastAsia" w:ascii="仿宋_GB2312" w:hAnsi="仿宋_GB2312" w:eastAsia="仿宋_GB2312" w:cs="仿宋_GB2312"/>
          <w:bCs/>
          <w:color w:val="000000"/>
          <w:sz w:val="32"/>
          <w:szCs w:val="32"/>
          <w:highlight w:val="none"/>
        </w:rPr>
        <w:t>418.93</w:t>
      </w:r>
      <w:r>
        <w:rPr>
          <w:rFonts w:hint="eastAsia" w:ascii="仿宋_GB2312" w:hAnsi="仿宋_GB2312" w:eastAsia="仿宋_GB2312" w:cs="仿宋_GB2312"/>
          <w:color w:val="000000"/>
          <w:sz w:val="32"/>
          <w:szCs w:val="32"/>
          <w:highlight w:val="none"/>
        </w:rPr>
        <w:t>万元，比上年执行数增加</w:t>
      </w:r>
      <w:r>
        <w:rPr>
          <w:rFonts w:hint="eastAsia" w:ascii="仿宋_GB2312" w:hAnsi="仿宋_GB2312" w:eastAsia="仿宋_GB2312" w:cs="仿宋_GB2312"/>
          <w:color w:val="000000"/>
          <w:sz w:val="32"/>
          <w:szCs w:val="32"/>
          <w:highlight w:val="none"/>
          <w:lang w:val="en-US" w:eastAsia="zh-CN"/>
        </w:rPr>
        <w:t>19.5</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highlight w:val="none"/>
        </w:rPr>
        <w:t>增长</w:t>
      </w:r>
      <w:r>
        <w:rPr>
          <w:rFonts w:hint="eastAsia" w:ascii="仿宋_GB2312" w:hAnsi="仿宋_GB2312" w:eastAsia="仿宋_GB2312" w:cs="仿宋_GB2312"/>
          <w:color w:val="000000"/>
          <w:sz w:val="32"/>
          <w:highlight w:val="none"/>
          <w:lang w:val="en-US" w:eastAsia="zh-CN"/>
        </w:rPr>
        <w:t>4.9</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szCs w:val="32"/>
          <w:highlight w:val="none"/>
        </w:rPr>
        <w:t>主要</w:t>
      </w:r>
      <w:r>
        <w:rPr>
          <w:rFonts w:hint="eastAsia" w:ascii="仿宋_GB2312" w:hAnsi="仿宋_GB2312" w:eastAsia="仿宋_GB2312" w:cs="仿宋_GB2312"/>
          <w:color w:val="000000"/>
          <w:sz w:val="32"/>
          <w:szCs w:val="32"/>
          <w:highlight w:val="none"/>
          <w:lang w:eastAsia="zh-CN"/>
        </w:rPr>
        <w:t>是增加车辆更新购置费</w:t>
      </w:r>
      <w:r>
        <w:rPr>
          <w:rFonts w:hint="eastAsia" w:ascii="仿宋_GB2312" w:hAnsi="仿宋_GB2312" w:eastAsia="仿宋_GB2312" w:cs="仿宋_GB2312"/>
          <w:color w:val="000000"/>
          <w:sz w:val="32"/>
          <w:szCs w:val="32"/>
          <w:highlight w:val="none"/>
        </w:rPr>
        <w:t>。</w:t>
      </w:r>
    </w:p>
    <w:p>
      <w:pPr>
        <w:spacing w:line="520" w:lineRule="exact"/>
        <w:ind w:firstLine="642"/>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2.一般公共预算拨款结构情况。</w:t>
      </w:r>
    </w:p>
    <w:p>
      <w:pPr>
        <w:spacing w:line="520" w:lineRule="exact"/>
        <w:ind w:firstLine="640" w:firstLineChars="200"/>
        <w:rPr>
          <w:rFonts w:hint="eastAsia" w:ascii="仿宋_GB2312" w:hAnsi="仿宋_GB2312" w:eastAsia="仿宋_GB2312" w:cs="仿宋_GB2312"/>
          <w:b/>
          <w:color w:val="000000"/>
          <w:sz w:val="32"/>
          <w:szCs w:val="32"/>
          <w:lang w:eastAsia="zh-CN"/>
        </w:rPr>
      </w:pPr>
      <w:r>
        <w:rPr>
          <w:rFonts w:hint="eastAsia" w:ascii="仿宋_GB2312" w:hAnsi="仿宋_GB2312" w:eastAsia="仿宋_GB2312" w:cs="仿宋_GB2312"/>
          <w:color w:val="000000"/>
          <w:sz w:val="32"/>
          <w:szCs w:val="32"/>
        </w:rPr>
        <w:t>社会保障和就业支出398.87万元，占95.2%；卫生健康支出20.06万元，占4.8%</w:t>
      </w:r>
      <w:r>
        <w:rPr>
          <w:rFonts w:hint="eastAsia" w:ascii="仿宋_GB2312" w:hAnsi="仿宋_GB2312" w:eastAsia="仿宋_GB2312" w:cs="仿宋_GB2312"/>
          <w:color w:val="000000"/>
          <w:sz w:val="32"/>
          <w:szCs w:val="32"/>
          <w:lang w:eastAsia="zh-CN"/>
        </w:rPr>
        <w:t>。</w:t>
      </w:r>
    </w:p>
    <w:p>
      <w:pPr>
        <w:spacing w:line="520" w:lineRule="exact"/>
        <w:ind w:firstLine="642"/>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3.一般公共预算拨款具体使用情况。</w:t>
      </w:r>
    </w:p>
    <w:p>
      <w:pPr>
        <w:spacing w:line="52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）社会保障和就业支出（类）行政事业单位养老支出（款）机关事业单位基本养老保险缴费支出（项）16.</w:t>
      </w:r>
      <w:r>
        <w:rPr>
          <w:rFonts w:hint="eastAsia" w:ascii="仿宋_GB2312" w:hAnsi="仿宋_GB2312" w:eastAsia="仿宋_GB2312" w:cs="仿宋_GB2312"/>
          <w:color w:val="000000"/>
          <w:sz w:val="32"/>
          <w:szCs w:val="32"/>
          <w:lang w:val="en-US" w:eastAsia="zh-CN"/>
        </w:rPr>
        <w:t>73</w:t>
      </w:r>
      <w:r>
        <w:rPr>
          <w:rFonts w:hint="eastAsia" w:ascii="仿宋_GB2312" w:hAnsi="仿宋_GB2312" w:eastAsia="仿宋_GB2312" w:cs="仿宋_GB2312"/>
          <w:color w:val="000000"/>
          <w:sz w:val="32"/>
          <w:szCs w:val="32"/>
        </w:rPr>
        <w:t>万元，主要用于单位缴纳的基本养老保险支出。</w:t>
      </w:r>
    </w:p>
    <w:p>
      <w:pPr>
        <w:spacing w:line="520" w:lineRule="exact"/>
        <w:ind w:firstLine="640"/>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）社会保障和就业支出（类）行政事业单位养老支出（款）机关事业单位职业年金缴费支出（项）8.</w:t>
      </w:r>
      <w:r>
        <w:rPr>
          <w:rFonts w:hint="eastAsia" w:ascii="仿宋_GB2312" w:hAnsi="仿宋_GB2312" w:eastAsia="仿宋_GB2312" w:cs="仿宋_GB2312"/>
          <w:color w:val="000000"/>
          <w:sz w:val="32"/>
          <w:szCs w:val="32"/>
          <w:lang w:val="en-US" w:eastAsia="zh-CN"/>
        </w:rPr>
        <w:t>37</w:t>
      </w:r>
      <w:r>
        <w:rPr>
          <w:rFonts w:hint="eastAsia" w:ascii="仿宋_GB2312" w:hAnsi="仿宋_GB2312" w:eastAsia="仿宋_GB2312" w:cs="仿宋_GB2312"/>
          <w:color w:val="000000"/>
          <w:sz w:val="32"/>
          <w:szCs w:val="32"/>
        </w:rPr>
        <w:t>万元，主要用于单位缴纳职业年金支出。</w:t>
      </w:r>
    </w:p>
    <w:p>
      <w:pPr>
        <w:spacing w:line="52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）社会保障和就业支出（类）临时救助（款）流浪乞讨人员救助支出（项）3</w:t>
      </w:r>
      <w:r>
        <w:rPr>
          <w:rFonts w:hint="eastAsia" w:ascii="仿宋_GB2312" w:hAnsi="仿宋_GB2312" w:eastAsia="仿宋_GB2312" w:cs="仿宋_GB2312"/>
          <w:color w:val="000000"/>
          <w:sz w:val="32"/>
          <w:szCs w:val="32"/>
          <w:lang w:val="en-US" w:eastAsia="zh-CN"/>
        </w:rPr>
        <w:t>71.26</w:t>
      </w:r>
      <w:r>
        <w:rPr>
          <w:rFonts w:hint="eastAsia" w:ascii="仿宋_GB2312" w:hAnsi="仿宋_GB2312" w:eastAsia="仿宋_GB2312" w:cs="仿宋_GB2312"/>
          <w:color w:val="000000"/>
          <w:sz w:val="32"/>
          <w:szCs w:val="32"/>
        </w:rPr>
        <w:t>万元，主要用于生活无着的流浪乞讨人员的救助和救助管理机构的运转支出。</w:t>
      </w:r>
    </w:p>
    <w:p>
      <w:pPr>
        <w:spacing w:line="520" w:lineRule="exact"/>
        <w:ind w:firstLine="640"/>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）社会保障和就业支出（类）其他社会保障和就业支出（款）其他社会保障和就业支出（项）2.</w:t>
      </w:r>
      <w:r>
        <w:rPr>
          <w:rFonts w:hint="eastAsia" w:ascii="仿宋_GB2312" w:hAnsi="仿宋_GB2312" w:eastAsia="仿宋_GB2312" w:cs="仿宋_GB2312"/>
          <w:color w:val="000000"/>
          <w:sz w:val="32"/>
          <w:szCs w:val="32"/>
          <w:lang w:val="en-US" w:eastAsia="zh-CN"/>
        </w:rPr>
        <w:t>51</w:t>
      </w:r>
      <w:r>
        <w:rPr>
          <w:rFonts w:hint="eastAsia" w:ascii="仿宋_GB2312" w:hAnsi="仿宋_GB2312" w:eastAsia="仿宋_GB2312" w:cs="仿宋_GB2312"/>
          <w:color w:val="000000"/>
          <w:sz w:val="32"/>
          <w:szCs w:val="32"/>
        </w:rPr>
        <w:t>万元，主要用于其他社会保障和主就业方面的支出。</w:t>
      </w:r>
    </w:p>
    <w:p>
      <w:pPr>
        <w:spacing w:line="52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）卫生健康支出（类）行政事业单位医疗（款）事业单位医疗（项）</w:t>
      </w:r>
      <w:r>
        <w:rPr>
          <w:rFonts w:hint="eastAsia" w:ascii="仿宋_GB2312" w:hAnsi="仿宋_GB2312" w:eastAsia="仿宋_GB2312" w:cs="仿宋_GB2312"/>
          <w:color w:val="000000"/>
          <w:sz w:val="32"/>
          <w:szCs w:val="32"/>
          <w:lang w:val="en-US" w:eastAsia="zh-CN"/>
        </w:rPr>
        <w:t>20.06</w:t>
      </w:r>
      <w:r>
        <w:rPr>
          <w:rFonts w:hint="eastAsia" w:ascii="仿宋_GB2312" w:hAnsi="仿宋_GB2312" w:eastAsia="仿宋_GB2312" w:cs="仿宋_GB2312"/>
          <w:color w:val="000000"/>
          <w:sz w:val="32"/>
          <w:szCs w:val="32"/>
        </w:rPr>
        <w:t>万元，主要用于事业单位基本医疗保险缴费经费。</w:t>
      </w:r>
    </w:p>
    <w:p>
      <w:pPr>
        <w:spacing w:line="520" w:lineRule="exact"/>
        <w:ind w:firstLine="640" w:firstLineChars="200"/>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（六）关于丽水市救助管理站2024年一般公共预算基本支出情况说明</w:t>
      </w:r>
    </w:p>
    <w:p>
      <w:pPr>
        <w:spacing w:line="520" w:lineRule="exact"/>
        <w:ind w:firstLine="642"/>
        <w:rPr>
          <w:rFonts w:ascii="仿宋_GB2312" w:eastAsia="仿宋_GB2312"/>
          <w:color w:val="000000"/>
          <w:sz w:val="32"/>
          <w:szCs w:val="32"/>
        </w:rPr>
      </w:pPr>
      <w:r>
        <w:rPr>
          <w:rFonts w:hint="eastAsia" w:ascii="仿宋_GB2312" w:eastAsia="仿宋_GB2312"/>
          <w:color w:val="000000"/>
          <w:sz w:val="32"/>
          <w:szCs w:val="32"/>
        </w:rPr>
        <w:t>丽水市救助管理站2024年一般公共预算基本支出360.93万元，其中：</w:t>
      </w:r>
    </w:p>
    <w:p>
      <w:pPr>
        <w:spacing w:line="520" w:lineRule="exact"/>
        <w:ind w:firstLine="642"/>
        <w:rPr>
          <w:rFonts w:ascii="仿宋_GB2312" w:eastAsia="仿宋_GB2312"/>
          <w:color w:val="000000"/>
          <w:sz w:val="32"/>
          <w:szCs w:val="32"/>
        </w:rPr>
      </w:pPr>
      <w:r>
        <w:rPr>
          <w:rFonts w:hint="eastAsia" w:ascii="仿宋_GB2312" w:eastAsia="仿宋_GB2312"/>
          <w:color w:val="000000"/>
          <w:sz w:val="32"/>
          <w:szCs w:val="32"/>
        </w:rPr>
        <w:t>人员经费326.13万元，主要包括：基本工资、奖金、绩效工资、机关事业单位基本养老保险缴费、职业年金缴费、职工基本医疗保险缴费、公务员医疗补助缴费、其他社会保障缴费、住房公积金、其他工资福利支出、退休费、奖励金；</w:t>
      </w:r>
    </w:p>
    <w:p>
      <w:pPr>
        <w:spacing w:line="520" w:lineRule="exact"/>
        <w:ind w:firstLine="642"/>
        <w:rPr>
          <w:rFonts w:ascii="仿宋_GB2312" w:eastAsia="仿宋_GB2312"/>
          <w:color w:val="000000"/>
          <w:sz w:val="32"/>
          <w:szCs w:val="32"/>
        </w:rPr>
      </w:pPr>
      <w:r>
        <w:rPr>
          <w:rFonts w:hint="eastAsia" w:ascii="仿宋_GB2312" w:eastAsia="仿宋_GB2312"/>
          <w:color w:val="000000"/>
          <w:sz w:val="32"/>
          <w:szCs w:val="32"/>
        </w:rPr>
        <w:t>公用经费34.80万元，主要包括：办公费、水费、电费、邮电费、物业管理费、差旅费、公务接待费、工会经费、福利费、公务用车运行维护费、其他交通费用、其他商品和服务支出。</w:t>
      </w:r>
    </w:p>
    <w:p>
      <w:pPr>
        <w:spacing w:line="520" w:lineRule="exact"/>
        <w:ind w:firstLine="642"/>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（七）关于丽水市救助管理站2024年政府性基金预算支出情况说明</w:t>
      </w:r>
    </w:p>
    <w:p>
      <w:pPr>
        <w:spacing w:line="520" w:lineRule="exact"/>
        <w:ind w:firstLine="642"/>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1.政府性基金预算拨款规模变化情况。</w:t>
      </w:r>
    </w:p>
    <w:p>
      <w:pPr>
        <w:spacing w:line="520" w:lineRule="exact"/>
        <w:ind w:firstLine="642"/>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丽水市救助管理站2024年政府性基金预算拨款210.00万元，比2023年执行数增加</w:t>
      </w:r>
      <w:r>
        <w:rPr>
          <w:rFonts w:hint="eastAsia" w:ascii="仿宋_GB2312" w:hAnsi="仿宋_GB2312" w:eastAsia="仿宋_GB2312" w:cs="仿宋_GB2312"/>
          <w:color w:val="000000"/>
          <w:sz w:val="32"/>
          <w:szCs w:val="32"/>
          <w:highlight w:val="none"/>
          <w:lang w:val="en-US" w:eastAsia="zh-CN"/>
        </w:rPr>
        <w:t>116.97</w:t>
      </w:r>
      <w:r>
        <w:rPr>
          <w:rFonts w:hint="eastAsia" w:ascii="仿宋_GB2312" w:hAnsi="仿宋_GB2312" w:eastAsia="仿宋_GB2312" w:cs="仿宋_GB2312"/>
          <w:color w:val="000000"/>
          <w:sz w:val="32"/>
          <w:szCs w:val="32"/>
          <w:highlight w:val="none"/>
        </w:rPr>
        <w:t>万元，</w:t>
      </w:r>
      <w:r>
        <w:rPr>
          <w:rFonts w:hint="eastAsia" w:ascii="仿宋_GB2312" w:hAnsi="仿宋_GB2312" w:eastAsia="仿宋_GB2312" w:cs="仿宋_GB2312"/>
          <w:color w:val="000000"/>
          <w:sz w:val="32"/>
          <w:highlight w:val="none"/>
        </w:rPr>
        <w:t>增长</w:t>
      </w:r>
      <w:r>
        <w:rPr>
          <w:rFonts w:hint="eastAsia" w:ascii="仿宋_GB2312" w:hAnsi="仿宋_GB2312" w:eastAsia="仿宋_GB2312" w:cs="仿宋_GB2312"/>
          <w:color w:val="000000"/>
          <w:sz w:val="32"/>
          <w:highlight w:val="none"/>
          <w:lang w:val="en-US" w:eastAsia="zh-CN"/>
        </w:rPr>
        <w:t>125.7</w:t>
      </w:r>
      <w:r>
        <w:rPr>
          <w:rFonts w:hint="eastAsia" w:ascii="仿宋_GB2312" w:hAnsi="仿宋_GB2312" w:eastAsia="仿宋_GB2312" w:cs="仿宋_GB2312"/>
          <w:color w:val="000000"/>
          <w:sz w:val="32"/>
          <w:highlight w:val="none"/>
        </w:rPr>
        <w:t>%，</w:t>
      </w:r>
      <w:r>
        <w:rPr>
          <w:rFonts w:hint="eastAsia" w:ascii="仿宋_GB2312" w:hAnsi="仿宋_GB2312" w:eastAsia="仿宋_GB2312" w:cs="仿宋_GB2312"/>
          <w:color w:val="000000"/>
          <w:sz w:val="32"/>
          <w:szCs w:val="32"/>
          <w:highlight w:val="none"/>
        </w:rPr>
        <w:t>主要是</w:t>
      </w:r>
      <w:r>
        <w:rPr>
          <w:rFonts w:hint="eastAsia" w:ascii="仿宋_GB2312" w:hAnsi="仿宋_GB2312" w:eastAsia="仿宋_GB2312" w:cs="仿宋_GB2312"/>
          <w:color w:val="000000"/>
          <w:sz w:val="32"/>
          <w:szCs w:val="32"/>
          <w:highlight w:val="none"/>
          <w:lang w:eastAsia="zh-CN"/>
        </w:rPr>
        <w:t>增加救助站升级改造预算资金</w:t>
      </w:r>
      <w:r>
        <w:rPr>
          <w:rFonts w:hint="eastAsia" w:ascii="仿宋_GB2312" w:hAnsi="仿宋_GB2312" w:eastAsia="仿宋_GB2312" w:cs="仿宋_GB2312"/>
          <w:color w:val="000000"/>
          <w:sz w:val="32"/>
          <w:szCs w:val="32"/>
          <w:highlight w:val="none"/>
        </w:rPr>
        <w:t>。</w:t>
      </w:r>
    </w:p>
    <w:p>
      <w:pPr>
        <w:spacing w:line="520" w:lineRule="exact"/>
        <w:ind w:firstLine="642"/>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2.政府性基金预算拨款结构情况。</w:t>
      </w:r>
    </w:p>
    <w:p>
      <w:pPr>
        <w:spacing w:line="52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其他支出210.00万元，占100.0%</w:t>
      </w:r>
      <w:r>
        <w:rPr>
          <w:rFonts w:hint="eastAsia" w:ascii="仿宋_GB2312" w:hAnsi="仿宋_GB2312" w:eastAsia="仿宋_GB2312" w:cs="仿宋_GB2312"/>
          <w:color w:val="000000"/>
          <w:sz w:val="32"/>
          <w:szCs w:val="32"/>
          <w:lang w:eastAsia="zh-CN"/>
        </w:rPr>
        <w:t>。</w:t>
      </w:r>
    </w:p>
    <w:p>
      <w:pPr>
        <w:spacing w:line="520" w:lineRule="exact"/>
        <w:ind w:firstLine="643" w:firstLineChars="200"/>
        <w:rPr>
          <w:rFonts w:ascii="仿宋_GB2312" w:hAnsi="仿宋_GB2312" w:eastAsia="仿宋_GB2312" w:cs="仿宋_GB2312"/>
          <w:b/>
          <w:color w:val="000000"/>
          <w:sz w:val="32"/>
          <w:szCs w:val="32"/>
        </w:rPr>
      </w:pPr>
      <w:r>
        <w:rPr>
          <w:rFonts w:hint="eastAsia" w:ascii="仿宋_GB2312" w:hAnsi="仿宋_GB2312" w:eastAsia="仿宋_GB2312" w:cs="仿宋_GB2312"/>
          <w:b/>
          <w:color w:val="000000"/>
          <w:sz w:val="32"/>
          <w:szCs w:val="32"/>
        </w:rPr>
        <w:t>3.政府性基金预算拨款具体使用情况。</w:t>
      </w:r>
    </w:p>
    <w:p>
      <w:pPr>
        <w:spacing w:line="520" w:lineRule="exact"/>
        <w:ind w:firstLine="64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（1）其他支出（类）彩票公益金安排的支出（款）用于社会福利的彩票公益金支出（项）</w:t>
      </w:r>
      <w:r>
        <w:rPr>
          <w:rFonts w:hint="eastAsia" w:ascii="仿宋_GB2312" w:hAnsi="仿宋_GB2312" w:eastAsia="仿宋_GB2312" w:cs="仿宋_GB2312"/>
          <w:color w:val="000000"/>
          <w:sz w:val="32"/>
          <w:szCs w:val="32"/>
          <w:lang w:val="en-US" w:eastAsia="zh-CN"/>
        </w:rPr>
        <w:t>210</w:t>
      </w:r>
      <w:r>
        <w:rPr>
          <w:rFonts w:hint="eastAsia" w:ascii="仿宋_GB2312" w:hAnsi="仿宋_GB2312" w:eastAsia="仿宋_GB2312" w:cs="仿宋_GB2312"/>
          <w:color w:val="000000"/>
          <w:sz w:val="32"/>
          <w:szCs w:val="32"/>
        </w:rPr>
        <w:t>万元，主要用于生活无着的流浪乞讨人员救助和区域中心</w:t>
      </w:r>
      <w:r>
        <w:rPr>
          <w:rFonts w:hint="eastAsia" w:ascii="仿宋_GB2312" w:hAnsi="仿宋_GB2312" w:eastAsia="仿宋_GB2312" w:cs="仿宋_GB2312"/>
          <w:color w:val="000000"/>
          <w:sz w:val="32"/>
          <w:szCs w:val="32"/>
          <w:lang w:eastAsia="zh-CN"/>
        </w:rPr>
        <w:t>化</w:t>
      </w:r>
      <w:r>
        <w:rPr>
          <w:rFonts w:hint="eastAsia" w:ascii="仿宋_GB2312" w:hAnsi="仿宋_GB2312" w:eastAsia="仿宋_GB2312" w:cs="仿宋_GB2312"/>
          <w:color w:val="000000"/>
          <w:sz w:val="32"/>
          <w:szCs w:val="32"/>
        </w:rPr>
        <w:t>升级改造。</w:t>
      </w:r>
    </w:p>
    <w:p>
      <w:pPr>
        <w:spacing w:line="520" w:lineRule="exact"/>
        <w:ind w:firstLine="627" w:firstLineChars="196"/>
        <w:rPr>
          <w:rFonts w:ascii="楷体_GB2312" w:hAnsi="楷体_GB2312" w:eastAsia="楷体_GB2312" w:cs="楷体_GB2312"/>
          <w:bCs/>
          <w:color w:val="000000"/>
          <w:sz w:val="32"/>
          <w:szCs w:val="32"/>
          <w:highlight w:val="none"/>
        </w:rPr>
      </w:pPr>
      <w:r>
        <w:rPr>
          <w:rFonts w:hint="eastAsia" w:ascii="楷体_GB2312" w:hAnsi="楷体_GB2312" w:eastAsia="楷体_GB2312" w:cs="楷体_GB2312"/>
          <w:bCs/>
          <w:color w:val="000000"/>
          <w:sz w:val="32"/>
          <w:szCs w:val="32"/>
          <w:highlight w:val="none"/>
        </w:rPr>
        <w:t>（八）关于</w:t>
      </w:r>
      <w:r>
        <w:rPr>
          <w:rFonts w:ascii="楷体_GB2312" w:hAnsi="楷体_GB2312" w:eastAsia="楷体_GB2312" w:cs="楷体_GB2312"/>
          <w:bCs/>
          <w:color w:val="000000"/>
          <w:sz w:val="32"/>
          <w:szCs w:val="32"/>
          <w:highlight w:val="none"/>
        </w:rPr>
        <w:t>丽水市救助管理站2024</w:t>
      </w:r>
      <w:r>
        <w:rPr>
          <w:rFonts w:hint="eastAsia" w:ascii="楷体_GB2312" w:hAnsi="楷体_GB2312" w:eastAsia="楷体_GB2312" w:cs="楷体_GB2312"/>
          <w:bCs/>
          <w:color w:val="000000"/>
          <w:sz w:val="32"/>
          <w:szCs w:val="32"/>
          <w:highlight w:val="none"/>
        </w:rPr>
        <w:t>年国有资本经营预算支出情况说明</w:t>
      </w:r>
    </w:p>
    <w:p>
      <w:pPr>
        <w:ind w:firstLine="640" w:firstLineChars="200"/>
        <w:rPr>
          <w:rFonts w:hint="eastAsia" w:eastAsia="仿宋_GB2312"/>
          <w:highlight w:val="none"/>
          <w:lang w:eastAsia="zh-CN"/>
        </w:rPr>
      </w:pPr>
      <w:r>
        <w:rPr>
          <w:rFonts w:hint="eastAsia" w:ascii="仿宋_GB2312" w:hAnsi="仿宋_GB2312" w:eastAsia="仿宋_GB2312" w:cs="仿宋_GB2312"/>
          <w:color w:val="000000"/>
          <w:sz w:val="32"/>
          <w:szCs w:val="32"/>
          <w:highlight w:val="none"/>
        </w:rPr>
        <w:t>丽水市救助管理站2024年没有使用国有资本经营预算拨款安排的支出</w:t>
      </w:r>
      <w:r>
        <w:rPr>
          <w:rFonts w:hint="eastAsia" w:ascii="仿宋_GB2312" w:hAnsi="仿宋_GB2312" w:eastAsia="仿宋_GB2312" w:cs="仿宋_GB2312"/>
          <w:color w:val="000000"/>
          <w:sz w:val="32"/>
          <w:szCs w:val="32"/>
          <w:highlight w:val="none"/>
          <w:lang w:eastAsia="zh-CN"/>
        </w:rPr>
        <w:t>。</w:t>
      </w:r>
    </w:p>
    <w:p>
      <w:pPr>
        <w:spacing w:line="520" w:lineRule="exact"/>
        <w:ind w:firstLine="627" w:firstLineChars="196"/>
        <w:rPr>
          <w:rFonts w:ascii="楷体_GB2312" w:hAnsi="楷体_GB2312" w:eastAsia="楷体_GB2312" w:cs="楷体_GB2312"/>
          <w:bCs/>
          <w:color w:val="000000"/>
          <w:sz w:val="32"/>
          <w:szCs w:val="32"/>
        </w:rPr>
      </w:pPr>
      <w:r>
        <w:rPr>
          <w:rFonts w:hint="eastAsia" w:ascii="楷体_GB2312" w:hAnsi="楷体_GB2312" w:eastAsia="楷体_GB2312" w:cs="楷体_GB2312"/>
          <w:bCs/>
          <w:color w:val="000000"/>
          <w:sz w:val="32"/>
          <w:szCs w:val="32"/>
        </w:rPr>
        <w:t>（九）关于丽水市救助管理站2024年</w:t>
      </w:r>
      <w:r>
        <w:rPr>
          <w:rFonts w:hint="eastAsia" w:ascii="楷体_GB2312" w:hAnsi="楷体_GB2312" w:eastAsia="楷体_GB2312" w:cs="楷体_GB2312"/>
          <w:bCs/>
          <w:sz w:val="32"/>
          <w:szCs w:val="32"/>
        </w:rPr>
        <w:t>一般公共预算</w:t>
      </w:r>
      <w:r>
        <w:rPr>
          <w:rFonts w:hint="eastAsia" w:ascii="楷体_GB2312" w:hAnsi="楷体_GB2312" w:eastAsia="楷体_GB2312" w:cs="楷体_GB2312"/>
          <w:bCs/>
          <w:color w:val="000000"/>
          <w:sz w:val="32"/>
          <w:szCs w:val="32"/>
        </w:rPr>
        <w:t>“三公”经费预算情况说明</w:t>
      </w:r>
    </w:p>
    <w:p>
      <w:pPr>
        <w:spacing w:line="520" w:lineRule="exact"/>
        <w:ind w:firstLine="640" w:firstLineChars="200"/>
        <w:rPr>
          <w:rFonts w:ascii="仿宋_GB2312" w:hAnsi="仿宋_GB2312" w:eastAsia="仿宋_GB2312"/>
          <w:sz w:val="32"/>
        </w:rPr>
      </w:pPr>
      <w:r>
        <w:rPr>
          <w:rFonts w:hint="eastAsia" w:ascii="仿宋_GB2312" w:hAnsi="仿宋_GB2312" w:eastAsia="仿宋_GB2312"/>
          <w:sz w:val="32"/>
        </w:rPr>
        <w:t>丽水市救助管理站2024年“三公”经费预算数为4.54万元，</w:t>
      </w:r>
      <w:r>
        <w:rPr>
          <w:rFonts w:hint="eastAsia" w:ascii="仿宋_GB2312" w:hAnsi="仿宋_GB2312" w:eastAsia="仿宋_GB2312"/>
          <w:sz w:val="32"/>
          <w:shd w:val="clear" w:color="auto" w:fill="FFFFFF"/>
        </w:rPr>
        <w:t>比上年预算数增加</w:t>
      </w:r>
      <w:r>
        <w:rPr>
          <w:rFonts w:hint="eastAsia" w:ascii="仿宋_GB2312" w:hAnsi="仿宋_GB2312" w:eastAsia="仿宋_GB2312"/>
          <w:sz w:val="32"/>
          <w:shd w:val="clear" w:color="auto" w:fill="FFFFFF"/>
          <w:lang w:val="en-US" w:eastAsia="zh-CN"/>
        </w:rPr>
        <w:t>0.05</w:t>
      </w:r>
      <w:r>
        <w:rPr>
          <w:rFonts w:hint="eastAsia" w:ascii="仿宋_GB2312" w:hAnsi="仿宋_GB2312" w:eastAsia="仿宋_GB2312"/>
          <w:sz w:val="32"/>
          <w:shd w:val="clear" w:color="auto" w:fill="FFFFFF"/>
        </w:rPr>
        <w:t>万元，增长</w:t>
      </w:r>
      <w:r>
        <w:rPr>
          <w:rFonts w:hint="eastAsia" w:ascii="仿宋_GB2312" w:hAnsi="仿宋_GB2312" w:eastAsia="仿宋_GB2312"/>
          <w:sz w:val="32"/>
          <w:shd w:val="clear" w:color="auto" w:fill="FFFFFF"/>
          <w:lang w:val="en-US" w:eastAsia="zh-CN"/>
        </w:rPr>
        <w:t>1.1</w:t>
      </w:r>
      <w:r>
        <w:rPr>
          <w:rFonts w:hint="eastAsia" w:ascii="仿宋_GB2312" w:hAnsi="仿宋_GB2312" w:eastAsia="仿宋_GB2312"/>
          <w:sz w:val="32"/>
          <w:shd w:val="clear" w:color="auto" w:fill="FFFFFF"/>
        </w:rPr>
        <w:t>%</w:t>
      </w:r>
      <w:r>
        <w:rPr>
          <w:rFonts w:hint="eastAsia" w:ascii="仿宋_GB2312" w:hAnsi="仿宋_GB2312" w:eastAsia="仿宋_GB2312"/>
          <w:sz w:val="32"/>
        </w:rPr>
        <w:t>，具体如下：</w:t>
      </w:r>
    </w:p>
    <w:p>
      <w:pPr>
        <w:spacing w:line="52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1.因公出国（境）费用：</w:t>
      </w:r>
      <w:r>
        <w:rPr>
          <w:rFonts w:hint="eastAsia" w:ascii="仿宋_GB2312" w:hAnsi="仿宋_GB2312" w:eastAsia="仿宋_GB2312" w:cs="仿宋_GB2312"/>
          <w:sz w:val="32"/>
          <w:szCs w:val="32"/>
        </w:rPr>
        <w:t>根据因公出国计划和实际工作需要，2024年安排因公出国（境）费用预算0.00万元，</w:t>
      </w:r>
      <w:r>
        <w:rPr>
          <w:rFonts w:hint="eastAsia" w:ascii="仿宋_GB2312" w:hAnsi="仿宋_GB2312" w:eastAsia="仿宋_GB2312" w:cs="仿宋_GB2312"/>
          <w:sz w:val="32"/>
          <w:szCs w:val="32"/>
          <w:highlight w:val="none"/>
          <w:lang w:val="en-US" w:eastAsia="zh-CN"/>
        </w:rPr>
        <w:t>与上年预算数持平。</w:t>
      </w:r>
      <w:r>
        <w:rPr>
          <w:rFonts w:hint="eastAsia" w:ascii="仿宋_GB2312" w:hAnsi="仿宋" w:eastAsia="仿宋_GB2312"/>
          <w:sz w:val="32"/>
          <w:szCs w:val="32"/>
          <w:highlight w:val="none"/>
        </w:rPr>
        <w:t>主要原因是：</w:t>
      </w:r>
      <w:r>
        <w:rPr>
          <w:rFonts w:hint="eastAsia" w:ascii="仿宋_GB2312" w:hAnsi="仿宋" w:eastAsia="仿宋_GB2312"/>
          <w:sz w:val="32"/>
          <w:szCs w:val="32"/>
          <w:highlight w:val="none"/>
          <w:lang w:eastAsia="zh-CN"/>
        </w:rPr>
        <w:t>2024年</w:t>
      </w:r>
      <w:r>
        <w:rPr>
          <w:rFonts w:hint="eastAsia" w:ascii="仿宋_GB2312" w:hAnsi="仿宋" w:eastAsia="仿宋_GB2312"/>
          <w:sz w:val="32"/>
          <w:szCs w:val="32"/>
          <w:highlight w:val="none"/>
        </w:rPr>
        <w:t>因公出国（境）预算由财政统留管理，未编列到年初部门预算中。</w:t>
      </w:r>
      <w:r>
        <w:rPr>
          <w:rFonts w:hint="eastAsia" w:ascii="仿宋_GB2312" w:hAnsi="仿宋" w:eastAsia="仿宋_GB2312"/>
          <w:sz w:val="32"/>
          <w:szCs w:val="32"/>
          <w:highlight w:val="none"/>
          <w:lang w:eastAsia="zh-CN"/>
        </w:rPr>
        <w:t>根据市外办安排的因公出国计划和实际工作需要，</w:t>
      </w:r>
      <w:r>
        <w:rPr>
          <w:rFonts w:hint="eastAsia" w:ascii="仿宋_GB2312" w:hAnsi="仿宋" w:eastAsia="仿宋_GB2312"/>
          <w:sz w:val="32"/>
          <w:szCs w:val="32"/>
          <w:highlight w:val="none"/>
        </w:rPr>
        <w:t>经批准同意因公出国（境）的，所需</w:t>
      </w:r>
      <w:r>
        <w:rPr>
          <w:rFonts w:hint="eastAsia" w:ascii="仿宋_GB2312" w:hAnsi="仿宋" w:eastAsia="仿宋_GB2312"/>
          <w:sz w:val="32"/>
          <w:szCs w:val="32"/>
          <w:highlight w:val="none"/>
          <w:lang w:eastAsia="zh-CN"/>
        </w:rPr>
        <w:t>指标</w:t>
      </w:r>
      <w:r>
        <w:rPr>
          <w:rFonts w:hint="eastAsia" w:ascii="仿宋_GB2312" w:hAnsi="仿宋" w:eastAsia="仿宋_GB2312"/>
          <w:sz w:val="32"/>
          <w:szCs w:val="32"/>
          <w:highlight w:val="none"/>
        </w:rPr>
        <w:t>由财</w:t>
      </w:r>
      <w:r>
        <w:rPr>
          <w:rFonts w:hint="eastAsia" w:ascii="仿宋_GB2312" w:hAnsi="仿宋" w:eastAsia="仿宋_GB2312"/>
          <w:sz w:val="32"/>
          <w:szCs w:val="32"/>
          <w:highlight w:val="none"/>
          <w:lang w:eastAsia="zh-CN"/>
        </w:rPr>
        <w:t>政按实追加。</w:t>
      </w:r>
      <w:r>
        <w:rPr>
          <w:rFonts w:hint="eastAsia" w:ascii="仿宋_GB2312" w:hAnsi="仿宋_GB2312" w:eastAsia="仿宋_GB2312" w:cs="仿宋_GB2312"/>
          <w:sz w:val="32"/>
          <w:szCs w:val="32"/>
        </w:rPr>
        <w:t>因公出国（境）费用主要用于机关及下属预算单位人员等公务出国（境）的国际旅费、国外城市间交通费、住宿费、伙食费、培训费、公杂费等支出。</w:t>
      </w:r>
    </w:p>
    <w:p>
      <w:pPr>
        <w:pStyle w:val="14"/>
        <w:spacing w:line="520" w:lineRule="exact"/>
        <w:ind w:firstLine="640" w:firstLineChars="200"/>
        <w:rPr>
          <w:rFonts w:ascii="仿宋_GB2312" w:eastAsia="仿宋_GB2312"/>
          <w:b/>
          <w:bCs/>
          <w:sz w:val="32"/>
          <w:szCs w:val="32"/>
        </w:rPr>
      </w:pPr>
      <w:r>
        <w:rPr>
          <w:rFonts w:hint="eastAsia" w:ascii="仿宋_GB2312" w:hAnsi="仿宋_GB2312" w:eastAsia="仿宋_GB2312" w:cs="仿宋_GB2312"/>
          <w:sz w:val="32"/>
          <w:szCs w:val="32"/>
        </w:rPr>
        <w:t>2.公务接待费：2024年安排公务接待费预算1.43万元，比上年预算数</w:t>
      </w:r>
      <w:r>
        <w:rPr>
          <w:rFonts w:hint="eastAsia" w:ascii="仿宋_GB2312" w:hAnsi="仿宋_GB2312" w:eastAsia="仿宋_GB2312"/>
          <w:sz w:val="32"/>
          <w:shd w:val="clear" w:color="auto" w:fill="FFFFFF"/>
        </w:rPr>
        <w:t>减少</w:t>
      </w:r>
      <w:r>
        <w:rPr>
          <w:rFonts w:hint="eastAsia" w:ascii="仿宋_GB2312" w:hAnsi="仿宋_GB2312" w:eastAsia="仿宋_GB2312"/>
          <w:sz w:val="32"/>
          <w:shd w:val="clear" w:color="auto" w:fill="FFFFFF"/>
          <w:lang w:val="en-US" w:eastAsia="zh-CN"/>
        </w:rPr>
        <w:t>0.07</w:t>
      </w:r>
      <w:r>
        <w:rPr>
          <w:rFonts w:hint="eastAsia" w:ascii="仿宋_GB2312" w:hAnsi="仿宋_GB2312" w:eastAsia="仿宋_GB2312"/>
          <w:sz w:val="32"/>
          <w:shd w:val="clear" w:color="auto" w:fill="FFFFFF"/>
        </w:rPr>
        <w:t>万元，</w:t>
      </w:r>
      <w:r>
        <w:rPr>
          <w:rFonts w:hint="eastAsia" w:ascii="仿宋_GB2312" w:hAnsi="仿宋_GB2312" w:eastAsia="仿宋_GB2312" w:cs="仿宋_GB2312"/>
          <w:sz w:val="32"/>
          <w:szCs w:val="32"/>
        </w:rPr>
        <w:t>下降</w:t>
      </w:r>
      <w:r>
        <w:rPr>
          <w:rFonts w:hint="eastAsia" w:ascii="仿宋_GB2312" w:hAnsi="仿宋_GB2312" w:eastAsia="仿宋_GB2312" w:cs="仿宋_GB2312"/>
          <w:sz w:val="32"/>
          <w:szCs w:val="32"/>
          <w:lang w:val="en-US" w:eastAsia="zh-CN"/>
        </w:rPr>
        <w:t>4.6</w:t>
      </w:r>
      <w:r>
        <w:rPr>
          <w:rFonts w:hint="eastAsia" w:ascii="仿宋_GB2312" w:hAnsi="仿宋_GB2312" w:eastAsia="仿宋_GB2312" w:cs="仿宋_GB2312"/>
          <w:sz w:val="32"/>
          <w:szCs w:val="32"/>
        </w:rPr>
        <w:t>%。主要用于接待救助人员护送接领来站业务等支出。减少的主要原因是</w:t>
      </w:r>
      <w:r>
        <w:rPr>
          <w:rFonts w:hint="eastAsia" w:ascii="仿宋_GB2312" w:eastAsia="仿宋_GB2312"/>
          <w:sz w:val="32"/>
          <w:szCs w:val="32"/>
        </w:rPr>
        <w:t>厉行节约，减少费用支出。</w:t>
      </w:r>
    </w:p>
    <w:p>
      <w:pPr>
        <w:pStyle w:val="14"/>
        <w:spacing w:line="520" w:lineRule="exact"/>
        <w:ind w:firstLine="640" w:firstLineChars="200"/>
        <w:rPr>
          <w:rFonts w:hint="eastAsia" w:ascii="仿宋_GB2312" w:eastAsia="仿宋_GB2312"/>
          <w:b/>
          <w:bCs/>
          <w:sz w:val="32"/>
          <w:szCs w:val="32"/>
          <w:highlight w:val="none"/>
          <w:lang w:eastAsia="zh-CN"/>
        </w:rPr>
      </w:pPr>
      <w:r>
        <w:rPr>
          <w:rFonts w:hint="eastAsia" w:ascii="仿宋_GB2312" w:eastAsia="仿宋_GB2312"/>
          <w:sz w:val="32"/>
          <w:szCs w:val="32"/>
        </w:rPr>
        <w:t>3.公务用车购置及运行维护费：2024年安排公务用车购置及运行维护费预算3.12万元，比上年预算数</w:t>
      </w:r>
      <w:r>
        <w:rPr>
          <w:rFonts w:hint="eastAsia" w:ascii="仿宋_GB2312" w:hAnsi="仿宋_GB2312" w:eastAsia="仿宋_GB2312"/>
          <w:sz w:val="32"/>
          <w:shd w:val="clear" w:color="auto" w:fill="FFFFFF"/>
        </w:rPr>
        <w:t>增加</w:t>
      </w:r>
      <w:r>
        <w:rPr>
          <w:rFonts w:hint="eastAsia" w:ascii="仿宋_GB2312" w:hAnsi="仿宋_GB2312" w:eastAsia="仿宋_GB2312"/>
          <w:sz w:val="32"/>
          <w:shd w:val="clear" w:color="auto" w:fill="FFFFFF"/>
          <w:lang w:val="en-US" w:eastAsia="zh-CN"/>
        </w:rPr>
        <w:t>0.13</w:t>
      </w:r>
      <w:r>
        <w:rPr>
          <w:rFonts w:hint="eastAsia" w:ascii="仿宋_GB2312" w:hAnsi="仿宋_GB2312" w:eastAsia="仿宋_GB2312"/>
          <w:sz w:val="32"/>
          <w:shd w:val="clear" w:color="auto" w:fill="FFFFFF"/>
        </w:rPr>
        <w:t>万元，</w:t>
      </w:r>
      <w:r>
        <w:rPr>
          <w:rFonts w:hint="eastAsia" w:ascii="仿宋_GB2312" w:eastAsia="仿宋_GB2312"/>
          <w:sz w:val="32"/>
          <w:szCs w:val="32"/>
        </w:rPr>
        <w:t>增长</w:t>
      </w:r>
      <w:r>
        <w:rPr>
          <w:rFonts w:hint="eastAsia" w:ascii="仿宋_GB2312" w:eastAsia="仿宋_GB2312"/>
          <w:sz w:val="32"/>
          <w:szCs w:val="32"/>
          <w:lang w:val="en-US" w:eastAsia="zh-CN"/>
        </w:rPr>
        <w:t>4.3</w:t>
      </w:r>
      <w:r>
        <w:rPr>
          <w:rFonts w:hint="eastAsia" w:ascii="仿宋_GB2312" w:eastAsia="仿宋_GB2312"/>
          <w:sz w:val="32"/>
          <w:szCs w:val="32"/>
        </w:rPr>
        <w:t>%。</w:t>
      </w:r>
      <w:r>
        <w:rPr>
          <w:rFonts w:hint="eastAsia" w:ascii="仿宋_GB2312" w:eastAsia="仿宋_GB2312"/>
          <w:sz w:val="32"/>
          <w:szCs w:val="32"/>
          <w:highlight w:val="none"/>
        </w:rPr>
        <w:t>其中，公务用车购置支出0.00万元（含购置税等附加费用），主要用于经批准购置的</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rPr>
        <w:t>辆公务用车，</w:t>
      </w:r>
      <w:r>
        <w:rPr>
          <w:rFonts w:hint="eastAsia" w:ascii="仿宋_GB2312" w:eastAsia="仿宋_GB2312"/>
          <w:sz w:val="32"/>
          <w:szCs w:val="32"/>
          <w:highlight w:val="none"/>
          <w:lang w:eastAsia="zh-CN"/>
        </w:rPr>
        <w:t>与</w:t>
      </w:r>
      <w:r>
        <w:rPr>
          <w:rFonts w:hint="eastAsia" w:ascii="仿宋_GB2312" w:eastAsia="仿宋_GB2312"/>
          <w:sz w:val="32"/>
          <w:szCs w:val="32"/>
          <w:highlight w:val="none"/>
        </w:rPr>
        <w:t>上年预算数</w:t>
      </w:r>
      <w:r>
        <w:rPr>
          <w:rFonts w:hint="eastAsia" w:ascii="仿宋_GB2312" w:eastAsia="仿宋_GB2312"/>
          <w:sz w:val="32"/>
          <w:szCs w:val="32"/>
          <w:highlight w:val="none"/>
          <w:lang w:eastAsia="zh-CN"/>
        </w:rPr>
        <w:t>持平。</w:t>
      </w:r>
      <w:r>
        <w:rPr>
          <w:rFonts w:hint="eastAsia" w:ascii="仿宋_GB2312" w:eastAsia="仿宋_GB2312"/>
          <w:sz w:val="32"/>
          <w:szCs w:val="32"/>
          <w:highlight w:val="none"/>
        </w:rPr>
        <w:t>公务用车运行维护费支出3.12万元，主要用于公务用车燃料费、维修费、过桥过路费、保险费等支出。比上年预算数增加</w:t>
      </w:r>
      <w:r>
        <w:rPr>
          <w:rFonts w:hint="eastAsia" w:ascii="仿宋_GB2312" w:eastAsia="仿宋_GB2312"/>
          <w:sz w:val="32"/>
          <w:szCs w:val="32"/>
          <w:highlight w:val="none"/>
          <w:lang w:val="en-US" w:eastAsia="zh-CN"/>
        </w:rPr>
        <w:t>0.13</w:t>
      </w:r>
      <w:r>
        <w:rPr>
          <w:rFonts w:hint="eastAsia" w:ascii="仿宋_GB2312" w:eastAsia="仿宋_GB2312"/>
          <w:sz w:val="32"/>
          <w:szCs w:val="32"/>
          <w:highlight w:val="none"/>
        </w:rPr>
        <w:t>万元，增长</w:t>
      </w:r>
      <w:r>
        <w:rPr>
          <w:rFonts w:hint="eastAsia" w:ascii="仿宋_GB2312" w:eastAsia="仿宋_GB2312"/>
          <w:sz w:val="32"/>
          <w:szCs w:val="32"/>
          <w:highlight w:val="none"/>
          <w:lang w:val="en-US" w:eastAsia="zh-CN"/>
        </w:rPr>
        <w:t>4.3</w:t>
      </w:r>
      <w:r>
        <w:rPr>
          <w:rFonts w:hint="eastAsia" w:ascii="仿宋_GB2312" w:eastAsia="仿宋_GB2312"/>
          <w:sz w:val="32"/>
          <w:szCs w:val="32"/>
          <w:highlight w:val="none"/>
        </w:rPr>
        <w:t>%，主要原因</w:t>
      </w:r>
      <w:r>
        <w:rPr>
          <w:rFonts w:hint="eastAsia" w:ascii="仿宋_GB2312" w:eastAsia="仿宋_GB2312"/>
          <w:sz w:val="32"/>
          <w:szCs w:val="32"/>
          <w:highlight w:val="none"/>
          <w:lang w:eastAsia="zh-CN"/>
        </w:rPr>
        <w:t>是车辆老化，维修费用增加。</w:t>
      </w:r>
    </w:p>
    <w:p>
      <w:pPr>
        <w:spacing w:line="520" w:lineRule="exact"/>
        <w:ind w:firstLine="627" w:firstLineChars="196"/>
        <w:rPr>
          <w:rFonts w:ascii="楷体_GB2312" w:hAnsi="楷体_GB2312" w:eastAsia="楷体_GB2312" w:cs="楷体_GB2312"/>
          <w:bCs/>
          <w:sz w:val="32"/>
          <w:szCs w:val="32"/>
          <w:highlight w:val="none"/>
        </w:rPr>
      </w:pPr>
      <w:r>
        <w:rPr>
          <w:rFonts w:hint="eastAsia" w:ascii="楷体_GB2312" w:hAnsi="楷体_GB2312" w:eastAsia="楷体_GB2312" w:cs="楷体_GB2312"/>
          <w:bCs/>
          <w:sz w:val="32"/>
          <w:szCs w:val="32"/>
          <w:highlight w:val="none"/>
        </w:rPr>
        <w:t>（十）其他重要事项的情况说明</w:t>
      </w:r>
    </w:p>
    <w:p>
      <w:pPr>
        <w:pStyle w:val="14"/>
        <w:numPr>
          <w:ilvl w:val="0"/>
          <w:numId w:val="0"/>
        </w:numPr>
        <w:spacing w:line="520" w:lineRule="exact"/>
        <w:ind w:firstLine="643" w:firstLineChars="200"/>
        <w:rPr>
          <w:rFonts w:ascii="仿宋_GB2312" w:eastAsia="仿宋_GB2312"/>
          <w:b/>
          <w:bCs/>
          <w:sz w:val="32"/>
          <w:szCs w:val="32"/>
          <w:highlight w:val="none"/>
        </w:rPr>
      </w:pPr>
      <w:r>
        <w:rPr>
          <w:rFonts w:hint="eastAsia" w:ascii="仿宋_GB2312" w:eastAsia="仿宋_GB2312"/>
          <w:b/>
          <w:bCs/>
          <w:sz w:val="32"/>
          <w:szCs w:val="32"/>
          <w:highlight w:val="none"/>
          <w:lang w:val="en-US" w:eastAsia="zh-CN"/>
        </w:rPr>
        <w:t>1.</w:t>
      </w:r>
      <w:r>
        <w:rPr>
          <w:rFonts w:hint="eastAsia" w:ascii="仿宋_GB2312" w:eastAsia="仿宋_GB2312"/>
          <w:b/>
          <w:bCs/>
          <w:sz w:val="32"/>
          <w:szCs w:val="32"/>
          <w:highlight w:val="none"/>
        </w:rPr>
        <w:t>政府采购情况。</w:t>
      </w:r>
    </w:p>
    <w:p>
      <w:pPr>
        <w:pStyle w:val="14"/>
        <w:spacing w:line="520" w:lineRule="exact"/>
        <w:ind w:firstLine="640" w:firstLineChars="200"/>
        <w:rPr>
          <w:rFonts w:ascii="仿宋_GB2312" w:eastAsia="仿宋_GB2312"/>
          <w:sz w:val="32"/>
          <w:szCs w:val="32"/>
          <w:highlight w:val="none"/>
        </w:rPr>
      </w:pPr>
      <w:r>
        <w:rPr>
          <w:rFonts w:hint="eastAsia" w:ascii="仿宋_GB2312" w:eastAsia="仿宋_GB2312"/>
          <w:sz w:val="32"/>
          <w:szCs w:val="32"/>
          <w:highlight w:val="none"/>
        </w:rPr>
        <w:t>2024年丽水市救助管理站</w:t>
      </w:r>
      <w:r>
        <w:rPr>
          <w:rFonts w:hint="eastAsia" w:ascii="仿宋_GB2312" w:eastAsia="仿宋_GB2312"/>
          <w:color w:val="000000"/>
          <w:sz w:val="32"/>
          <w:szCs w:val="32"/>
          <w:highlight w:val="none"/>
        </w:rPr>
        <w:t>政府采购预算总额</w:t>
      </w:r>
      <w:r>
        <w:rPr>
          <w:rFonts w:ascii="仿宋_GB2312" w:eastAsia="仿宋_GB2312"/>
          <w:color w:val="000000"/>
          <w:sz w:val="32"/>
          <w:szCs w:val="32"/>
          <w:highlight w:val="none"/>
        </w:rPr>
        <w:t>52.88</w:t>
      </w:r>
      <w:r>
        <w:rPr>
          <w:rFonts w:hint="eastAsia" w:ascii="仿宋_GB2312" w:eastAsia="仿宋_GB2312"/>
          <w:color w:val="000000"/>
          <w:sz w:val="32"/>
          <w:szCs w:val="32"/>
          <w:highlight w:val="none"/>
        </w:rPr>
        <w:t>万元，其中：政府采购货物预算20.00万元、政府采购工程预算0.00万元、政府采购服务预算</w:t>
      </w:r>
      <w:r>
        <w:rPr>
          <w:rFonts w:ascii="仿宋_GB2312" w:eastAsia="仿宋_GB2312"/>
          <w:color w:val="000000"/>
          <w:sz w:val="32"/>
          <w:szCs w:val="32"/>
          <w:highlight w:val="none"/>
        </w:rPr>
        <w:t>32.88</w:t>
      </w:r>
      <w:r>
        <w:rPr>
          <w:rFonts w:hint="eastAsia" w:ascii="仿宋_GB2312" w:eastAsia="仿宋_GB2312"/>
          <w:color w:val="000000"/>
          <w:sz w:val="32"/>
          <w:szCs w:val="32"/>
          <w:highlight w:val="none"/>
        </w:rPr>
        <w:t>万元。</w:t>
      </w:r>
    </w:p>
    <w:p>
      <w:pPr>
        <w:pStyle w:val="14"/>
        <w:spacing w:line="520" w:lineRule="exact"/>
        <w:ind w:firstLine="642"/>
        <w:rPr>
          <w:rFonts w:ascii="仿宋_GB2312" w:eastAsia="仿宋_GB2312"/>
          <w:color w:val="auto"/>
          <w:sz w:val="32"/>
          <w:szCs w:val="32"/>
          <w:highlight w:val="none"/>
        </w:rPr>
      </w:pPr>
      <w:r>
        <w:rPr>
          <w:rFonts w:hint="eastAsia" w:ascii="仿宋_GB2312" w:eastAsia="仿宋_GB2312"/>
          <w:b/>
          <w:bCs/>
          <w:color w:val="auto"/>
          <w:sz w:val="32"/>
          <w:szCs w:val="32"/>
          <w:highlight w:val="none"/>
          <w:lang w:val="en-US" w:eastAsia="zh-CN"/>
        </w:rPr>
        <w:t>2</w:t>
      </w:r>
      <w:r>
        <w:rPr>
          <w:rFonts w:hint="eastAsia" w:ascii="仿宋_GB2312" w:eastAsia="仿宋_GB2312"/>
          <w:b/>
          <w:bCs/>
          <w:color w:val="auto"/>
          <w:sz w:val="32"/>
          <w:szCs w:val="32"/>
          <w:highlight w:val="none"/>
        </w:rPr>
        <w:t>.国有资产占有使用情况。</w:t>
      </w:r>
    </w:p>
    <w:p>
      <w:pPr>
        <w:spacing w:line="52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pacing w:val="6"/>
          <w:sz w:val="32"/>
          <w:szCs w:val="32"/>
        </w:rPr>
        <w:t>截至2023年12月31日，所属各预算单位共有车辆</w:t>
      </w:r>
      <w:r>
        <w:rPr>
          <w:rFonts w:hint="eastAsia" w:ascii="仿宋_GB2312" w:hAnsi="仿宋_GB2312" w:eastAsia="仿宋_GB2312" w:cs="仿宋_GB2312"/>
          <w:color w:val="auto"/>
          <w:spacing w:val="6"/>
          <w:sz w:val="32"/>
          <w:szCs w:val="32"/>
          <w:lang w:val="en-US" w:eastAsia="zh-CN"/>
        </w:rPr>
        <w:t>3</w:t>
      </w:r>
      <w:r>
        <w:rPr>
          <w:rFonts w:hint="eastAsia" w:ascii="仿宋_GB2312" w:hAnsi="仿宋_GB2312" w:eastAsia="仿宋_GB2312" w:cs="仿宋_GB2312"/>
          <w:color w:val="auto"/>
          <w:sz w:val="32"/>
          <w:szCs w:val="32"/>
        </w:rPr>
        <w:t>辆，其中，应急保障用车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辆、老干部服务用车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辆、执法执勤用车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辆、特种专业技术用车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辆、行政执法专用车</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辆。其他用车3辆（浙KA7190、浙K06137、电动车巡逻1辆）</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单位价值50万元以上通用设备</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台（套），单位价值100万元以上专用设备</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台（套）。</w:t>
      </w:r>
    </w:p>
    <w:p>
      <w:pPr>
        <w:spacing w:line="520" w:lineRule="exact"/>
        <w:ind w:firstLine="640" w:firstLineChars="200"/>
        <w:rPr>
          <w:rFonts w:ascii="仿宋_GB2312" w:hAnsi="仿宋_GB2312" w:eastAsia="仿宋_GB2312" w:cs="仿宋_GB2312"/>
          <w:color w:val="auto"/>
          <w:sz w:val="32"/>
          <w:szCs w:val="32"/>
        </w:rPr>
      </w:pPr>
      <w:r>
        <w:rPr>
          <w:rFonts w:ascii="仿宋_GB2312" w:hAnsi="仿宋_GB2312" w:eastAsia="仿宋_GB2312" w:cs="仿宋_GB2312"/>
          <w:color w:val="auto"/>
          <w:sz w:val="32"/>
          <w:szCs w:val="32"/>
        </w:rPr>
        <w:t>2024年部门预算安排购置车辆</w:t>
      </w:r>
      <w:r>
        <w:rPr>
          <w:rFonts w:hint="eastAsia" w:ascii="仿宋_GB2312" w:hAnsi="仿宋_GB2312" w:eastAsia="仿宋_GB2312" w:cs="仿宋_GB2312"/>
          <w:color w:val="auto"/>
          <w:sz w:val="32"/>
          <w:szCs w:val="32"/>
          <w:lang w:val="en-US" w:eastAsia="zh-CN"/>
        </w:rPr>
        <w:t>1</w:t>
      </w:r>
      <w:r>
        <w:rPr>
          <w:rFonts w:ascii="仿宋_GB2312" w:hAnsi="仿宋_GB2312" w:eastAsia="仿宋_GB2312" w:cs="仿宋_GB2312"/>
          <w:color w:val="auto"/>
          <w:sz w:val="32"/>
          <w:szCs w:val="32"/>
        </w:rPr>
        <w:t>辆，</w:t>
      </w:r>
      <w:r>
        <w:rPr>
          <w:rFonts w:hint="eastAsia" w:ascii="仿宋_GB2312" w:hAnsi="仿宋_GB2312" w:eastAsia="仿宋_GB2312" w:cs="仿宋_GB2312"/>
          <w:color w:val="auto"/>
          <w:sz w:val="32"/>
          <w:szCs w:val="32"/>
          <w:lang w:eastAsia="zh-CN"/>
        </w:rPr>
        <w:t>其中：特种专业技术用车</w:t>
      </w:r>
      <w:r>
        <w:rPr>
          <w:rFonts w:hint="eastAsia" w:ascii="仿宋_GB2312" w:hAnsi="仿宋_GB2312" w:eastAsia="仿宋_GB2312" w:cs="仿宋_GB2312"/>
          <w:color w:val="auto"/>
          <w:sz w:val="32"/>
          <w:szCs w:val="32"/>
          <w:lang w:val="en-US" w:eastAsia="zh-CN"/>
        </w:rPr>
        <w:t>1辆，</w:t>
      </w:r>
      <w:r>
        <w:rPr>
          <w:rFonts w:ascii="仿宋_GB2312" w:hAnsi="仿宋_GB2312" w:eastAsia="仿宋_GB2312" w:cs="仿宋_GB2312"/>
          <w:color w:val="auto"/>
          <w:sz w:val="32"/>
          <w:szCs w:val="32"/>
        </w:rPr>
        <w:t>未安排购置单位价值50万元以上通用设备及单位价值100万元以上专用设备</w:t>
      </w:r>
      <w:r>
        <w:rPr>
          <w:rFonts w:hint="eastAsia" w:ascii="仿宋_GB2312" w:hAnsi="仿宋_GB2312" w:eastAsia="仿宋_GB2312" w:cs="仿宋_GB2312"/>
          <w:color w:val="auto"/>
          <w:sz w:val="32"/>
          <w:szCs w:val="32"/>
        </w:rPr>
        <w:t>。</w:t>
      </w:r>
    </w:p>
    <w:p>
      <w:pPr>
        <w:pStyle w:val="14"/>
        <w:spacing w:line="520" w:lineRule="exact"/>
        <w:ind w:firstLine="643" w:firstLineChars="200"/>
        <w:rPr>
          <w:rFonts w:ascii="仿宋_GB2312" w:eastAsia="仿宋_GB2312"/>
          <w:b/>
          <w:bCs/>
          <w:sz w:val="32"/>
          <w:szCs w:val="32"/>
        </w:rPr>
      </w:pPr>
      <w:r>
        <w:rPr>
          <w:rFonts w:hint="eastAsia" w:ascii="仿宋_GB2312" w:eastAsia="仿宋_GB2312"/>
          <w:b/>
          <w:bCs/>
          <w:sz w:val="32"/>
          <w:szCs w:val="32"/>
          <w:lang w:val="en-US" w:eastAsia="zh-CN"/>
        </w:rPr>
        <w:t>3</w:t>
      </w:r>
      <w:r>
        <w:rPr>
          <w:rFonts w:hint="eastAsia" w:ascii="仿宋_GB2312" w:eastAsia="仿宋_GB2312"/>
          <w:b/>
          <w:bCs/>
          <w:sz w:val="32"/>
          <w:szCs w:val="32"/>
        </w:rPr>
        <w:t>.预算绩效情况说明。</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2024年丽水市救助管理站其他运转类项目和特定目标类项目均实行绩效目标管理，共计1个一级项目</w:t>
      </w:r>
      <w:bookmarkStart w:id="0" w:name="_GoBack"/>
      <w:bookmarkEnd w:id="0"/>
      <w:r>
        <w:rPr>
          <w:rFonts w:ascii="仿宋_GB2312" w:hAnsi="仿宋_GB2312" w:eastAsia="仿宋_GB2312" w:cs="仿宋_GB2312"/>
          <w:sz w:val="32"/>
          <w:szCs w:val="32"/>
        </w:rPr>
        <w:t>，涉及当年资金268.00万元。同时，将按照相关制度规定开展绩效自评。一级项目绩效目标表，详见“</w:t>
      </w:r>
      <w:r>
        <w:rPr>
          <w:rFonts w:hint="eastAsia" w:ascii="仿宋_GB2312" w:hAnsi="仿宋_GB2312" w:eastAsia="仿宋_GB2312" w:cs="仿宋_GB2312"/>
          <w:sz w:val="32"/>
          <w:szCs w:val="32"/>
        </w:rPr>
        <w:t>单位</w:t>
      </w:r>
      <w:r>
        <w:rPr>
          <w:rFonts w:ascii="仿宋_GB2312" w:hAnsi="仿宋_GB2312" w:eastAsia="仿宋_GB2312" w:cs="仿宋_GB2312"/>
          <w:sz w:val="32"/>
          <w:szCs w:val="32"/>
        </w:rPr>
        <w:t>项目支出绩效表”</w:t>
      </w:r>
      <w:r>
        <w:rPr>
          <w:rFonts w:hint="eastAsia" w:ascii="仿宋_GB2312" w:hAnsi="仿宋_GB2312" w:eastAsia="仿宋_GB2312" w:cs="仿宋_GB2312"/>
          <w:sz w:val="32"/>
          <w:szCs w:val="32"/>
        </w:rPr>
        <w:t>。</w:t>
      </w:r>
    </w:p>
    <w:p>
      <w:pPr>
        <w:pStyle w:val="14"/>
        <w:spacing w:line="520" w:lineRule="exact"/>
        <w:ind w:firstLine="640" w:firstLineChars="200"/>
        <w:rPr>
          <w:rFonts w:ascii="黑体" w:hAnsi="黑体" w:eastAsia="黑体" w:cs="黑体"/>
          <w:bCs/>
          <w:kern w:val="2"/>
          <w:sz w:val="32"/>
          <w:szCs w:val="32"/>
        </w:rPr>
      </w:pPr>
      <w:r>
        <w:rPr>
          <w:rFonts w:hint="eastAsia" w:ascii="黑体" w:hAnsi="黑体" w:eastAsia="黑体" w:cs="黑体"/>
          <w:bCs/>
          <w:kern w:val="2"/>
          <w:sz w:val="32"/>
          <w:szCs w:val="32"/>
        </w:rPr>
        <w:t>三、名词解释</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1.财政拨款收入：本级财政部门当年拨付的财政预算资金，包括一般公共预算财政拨款</w:t>
      </w:r>
      <w:r>
        <w:rPr>
          <w:rFonts w:hint="eastAsia" w:ascii="仿宋_GB2312" w:eastAsia="仿宋_GB2312"/>
          <w:color w:val="000000"/>
          <w:sz w:val="32"/>
          <w:szCs w:val="32"/>
        </w:rPr>
        <w:t>、</w:t>
      </w:r>
      <w:r>
        <w:rPr>
          <w:rFonts w:hint="eastAsia" w:ascii="仿宋_GB2312" w:hAnsi="仿宋_GB2312" w:eastAsia="仿宋_GB2312" w:cs="仿宋_GB2312"/>
          <w:sz w:val="32"/>
          <w:szCs w:val="32"/>
        </w:rPr>
        <w:t>政府性基金预算和国有资本经营预算财政拨款。</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.基本支出：是预算单位为保障其正常运转，完成日常工作任务所发生的支出，包括人员支出和日常公用支出。</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.项目支出：是预算单位为完成其特定的行政工作任务或事业发展目标所发生的支出。</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三公”经费：纳入财政预决算管理的“三公”经费，是指部门用一般公共预算财政拨款安排的因公出国（境）费、公务用车购置及运行费和公务接待费。其中，因公出国（境）费反映单位公务出国（境）的国际旅费、国外城市间交通费、住宿费、伙食费、培训费、公杂费等支出，不含教学科研人员学术交流；公务用车购置及运行费反映单位公务用车车辆购置支出（含车辆购置税）及燃料费、维修费、过桥过路费、保险费、安全奖励费用等支出；公务接待费反映单位按规定开支的各类公务接待（含外宾接待）支出。</w:t>
      </w:r>
    </w:p>
    <w:p>
      <w:pPr>
        <w:spacing w:line="56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lang w:val="en-US" w:eastAsia="zh-CN"/>
        </w:rPr>
        <w:t>5</w:t>
      </w:r>
      <w:r>
        <w:rPr>
          <w:rFonts w:hint="eastAsia" w:ascii="仿宋_GB2312" w:hAnsi="宋体" w:eastAsia="仿宋_GB2312" w:cs="宋体"/>
          <w:b/>
          <w:bCs/>
          <w:color w:val="000000"/>
          <w:kern w:val="0"/>
          <w:sz w:val="32"/>
          <w:szCs w:val="32"/>
        </w:rPr>
        <w:t>．</w:t>
      </w:r>
      <w:r>
        <w:rPr>
          <w:rFonts w:hint="eastAsia" w:ascii="仿宋_GB2312" w:hAnsi="宋体" w:eastAsia="仿宋_GB2312" w:cs="宋体"/>
          <w:color w:val="000000"/>
          <w:kern w:val="0"/>
          <w:sz w:val="32"/>
          <w:szCs w:val="32"/>
        </w:rPr>
        <w:t>社会保障和就业支出（类）-行政事业单位养老支出（款）-机关事业单位基本养老保险缴费支出（项）：指反映机关事业单位实施养老保险制度由单位实施缴纳的基本养老保险费支出。</w:t>
      </w:r>
    </w:p>
    <w:p>
      <w:pPr>
        <w:spacing w:line="56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lang w:val="en-US" w:eastAsia="zh-CN"/>
        </w:rPr>
        <w:t>6</w:t>
      </w:r>
      <w:r>
        <w:rPr>
          <w:rFonts w:hint="eastAsia" w:ascii="仿宋_GB2312" w:hAnsi="宋体" w:eastAsia="仿宋_GB2312" w:cs="宋体"/>
          <w:b/>
          <w:bCs/>
          <w:color w:val="000000"/>
          <w:kern w:val="0"/>
          <w:sz w:val="32"/>
          <w:szCs w:val="32"/>
        </w:rPr>
        <w:t>．</w:t>
      </w:r>
      <w:r>
        <w:rPr>
          <w:rFonts w:hint="eastAsia" w:ascii="仿宋_GB2312" w:hAnsi="宋体" w:eastAsia="仿宋_GB2312" w:cs="宋体"/>
          <w:color w:val="000000"/>
          <w:kern w:val="0"/>
          <w:sz w:val="32"/>
          <w:szCs w:val="32"/>
        </w:rPr>
        <w:t>社会保障和就业支出（类）-行政事业单位养老支出（款）-机关事业单位职业年金缴费支出（项）：指反映机关事业单位实施养老保险制度由单位实施缴纳的职业年金支出。</w:t>
      </w:r>
    </w:p>
    <w:p>
      <w:pPr>
        <w:spacing w:line="56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lang w:val="en-US" w:eastAsia="zh-CN"/>
        </w:rPr>
        <w:t>7</w:t>
      </w:r>
      <w:r>
        <w:rPr>
          <w:rFonts w:hint="eastAsia" w:ascii="仿宋_GB2312" w:hAnsi="宋体" w:eastAsia="仿宋_GB2312" w:cs="宋体"/>
          <w:b/>
          <w:bCs/>
          <w:color w:val="000000"/>
          <w:kern w:val="0"/>
          <w:sz w:val="32"/>
          <w:szCs w:val="32"/>
        </w:rPr>
        <w:t>．</w:t>
      </w:r>
      <w:r>
        <w:rPr>
          <w:rFonts w:hint="eastAsia" w:ascii="仿宋_GB2312" w:hAnsi="宋体" w:eastAsia="仿宋_GB2312" w:cs="宋体"/>
          <w:color w:val="000000"/>
          <w:kern w:val="0"/>
          <w:sz w:val="32"/>
          <w:szCs w:val="32"/>
        </w:rPr>
        <w:t>社会保障和就业支出（类）-临时救助（款）-流浪乞讨人员救助支出（项）：指用于生活无着流浪乞讨人员的救助支出和救助管理机构的运转支出。</w:t>
      </w:r>
    </w:p>
    <w:p>
      <w:pPr>
        <w:pStyle w:val="2"/>
        <w:ind w:firstLine="643" w:firstLineChars="200"/>
        <w:rPr>
          <w:rFonts w:hint="default"/>
        </w:rPr>
      </w:pPr>
      <w:r>
        <w:rPr>
          <w:rFonts w:hint="eastAsia" w:hAnsi="宋体" w:cs="宋体"/>
          <w:b/>
          <w:bCs/>
          <w:sz w:val="32"/>
          <w:szCs w:val="32"/>
          <w:lang w:val="en-US" w:eastAsia="zh-CN"/>
        </w:rPr>
        <w:t>8</w:t>
      </w:r>
      <w:r>
        <w:rPr>
          <w:rFonts w:hAnsi="宋体" w:cs="宋体"/>
          <w:b/>
          <w:bCs/>
          <w:sz w:val="32"/>
          <w:szCs w:val="32"/>
        </w:rPr>
        <w:t>．</w:t>
      </w:r>
      <w:r>
        <w:rPr>
          <w:rFonts w:hAnsi="宋体" w:cs="宋体"/>
          <w:sz w:val="32"/>
          <w:szCs w:val="32"/>
        </w:rPr>
        <w:t>社会保障和就业支出（类）-其他社会保障和就业支出（款）-其他社会保障和就业支出（项）：指反映除上述项目以外其他用于社会保障和就业方面的支出。</w:t>
      </w:r>
    </w:p>
    <w:p>
      <w:pPr>
        <w:spacing w:line="560" w:lineRule="exact"/>
        <w:ind w:firstLine="643" w:firstLineChars="200"/>
        <w:rPr>
          <w:rFonts w:hint="eastAsia"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lang w:val="en-US" w:eastAsia="zh-CN"/>
        </w:rPr>
        <w:t>9</w:t>
      </w:r>
      <w:r>
        <w:rPr>
          <w:rFonts w:hint="eastAsia" w:ascii="仿宋_GB2312" w:hAnsi="宋体" w:eastAsia="仿宋_GB2312" w:cs="宋体"/>
          <w:b/>
          <w:bCs/>
          <w:color w:val="000000"/>
          <w:kern w:val="0"/>
          <w:sz w:val="32"/>
          <w:szCs w:val="32"/>
        </w:rPr>
        <w:t>．</w:t>
      </w:r>
      <w:r>
        <w:rPr>
          <w:rFonts w:hint="eastAsia" w:ascii="仿宋_GB2312" w:hAnsi="宋体" w:eastAsia="仿宋_GB2312" w:cs="宋体"/>
          <w:color w:val="000000"/>
          <w:kern w:val="0"/>
          <w:sz w:val="32"/>
          <w:szCs w:val="32"/>
        </w:rPr>
        <w:t>卫生健康支出（类）-行政事业单位医疗（款）-事业单位医疗（项）：指反映财政部门安排的事业单位基本医疗保险缴费经费，未参加医疗保险的行政单位的公费医疗经费，按国家规定标准享受离休人员待遇的医疗经费。</w:t>
      </w:r>
    </w:p>
    <w:p>
      <w:pPr>
        <w:spacing w:line="560" w:lineRule="exact"/>
        <w:ind w:firstLine="643" w:firstLineChars="200"/>
        <w:rPr>
          <w:rFonts w:hint="eastAsia"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1</w:t>
      </w:r>
      <w:r>
        <w:rPr>
          <w:rFonts w:hint="eastAsia" w:ascii="仿宋_GB2312" w:hAnsi="宋体" w:eastAsia="仿宋_GB2312" w:cs="宋体"/>
          <w:b/>
          <w:bCs/>
          <w:color w:val="000000"/>
          <w:kern w:val="0"/>
          <w:sz w:val="32"/>
          <w:szCs w:val="32"/>
          <w:lang w:val="en-US" w:eastAsia="zh-CN"/>
        </w:rPr>
        <w:t>0</w:t>
      </w:r>
      <w:r>
        <w:rPr>
          <w:rFonts w:hint="eastAsia" w:ascii="仿宋_GB2312" w:hAnsi="宋体" w:eastAsia="仿宋_GB2312" w:cs="宋体"/>
          <w:b/>
          <w:bCs/>
          <w:color w:val="000000"/>
          <w:kern w:val="0"/>
          <w:sz w:val="32"/>
          <w:szCs w:val="32"/>
        </w:rPr>
        <w:t>．</w:t>
      </w:r>
      <w:r>
        <w:rPr>
          <w:rFonts w:hint="eastAsia" w:ascii="仿宋_GB2312" w:hAnsi="宋体" w:eastAsia="仿宋_GB2312" w:cs="宋体"/>
          <w:color w:val="000000"/>
          <w:kern w:val="0"/>
          <w:sz w:val="32"/>
          <w:szCs w:val="32"/>
        </w:rPr>
        <w:t>社会保障和就业支出（类）</w:t>
      </w:r>
      <w:r>
        <w:rPr>
          <w:rFonts w:hint="eastAsia" w:ascii="仿宋_GB2312" w:hAnsi="宋体" w:eastAsia="仿宋_GB2312" w:cs="宋体"/>
          <w:b/>
          <w:bCs/>
          <w:color w:val="000000"/>
          <w:kern w:val="0"/>
          <w:sz w:val="32"/>
          <w:szCs w:val="32"/>
        </w:rPr>
        <w:t>-</w:t>
      </w:r>
      <w:r>
        <w:rPr>
          <w:rFonts w:hint="eastAsia" w:ascii="仿宋_GB2312" w:hAnsi="仿宋_GB2312" w:eastAsia="仿宋_GB2312" w:cs="仿宋_GB2312"/>
          <w:color w:val="000000"/>
          <w:sz w:val="32"/>
          <w:szCs w:val="32"/>
        </w:rPr>
        <w:t>民政管理事务（款）-其他民政管理事务支出（项）：反映民政部门接待来访、法制建设、政策宣传方面的支出，经及开展社会救助、社会福利、养老服务、社会事务、信息化建设等方面的支出。</w:t>
      </w:r>
    </w:p>
    <w:p>
      <w:pPr>
        <w:spacing w:line="560" w:lineRule="exact"/>
        <w:ind w:firstLine="643" w:firstLineChars="200"/>
        <w:rPr>
          <w:rFonts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1</w:t>
      </w:r>
      <w:r>
        <w:rPr>
          <w:rFonts w:hint="eastAsia" w:ascii="仿宋_GB2312" w:hAnsi="宋体" w:eastAsia="仿宋_GB2312" w:cs="宋体"/>
          <w:b/>
          <w:bCs/>
          <w:color w:val="000000"/>
          <w:kern w:val="0"/>
          <w:sz w:val="32"/>
          <w:szCs w:val="32"/>
          <w:lang w:val="en-US" w:eastAsia="zh-CN"/>
        </w:rPr>
        <w:t>1</w:t>
      </w:r>
      <w:r>
        <w:rPr>
          <w:rFonts w:hint="eastAsia" w:ascii="仿宋_GB2312" w:hAnsi="宋体" w:eastAsia="仿宋_GB2312" w:cs="宋体"/>
          <w:b/>
          <w:bCs/>
          <w:color w:val="000000"/>
          <w:kern w:val="0"/>
          <w:sz w:val="32"/>
          <w:szCs w:val="32"/>
        </w:rPr>
        <w:t>．</w:t>
      </w:r>
      <w:r>
        <w:rPr>
          <w:rFonts w:hint="eastAsia" w:ascii="仿宋_GB2312" w:hAnsi="宋体" w:eastAsia="仿宋_GB2312" w:cs="宋体"/>
          <w:color w:val="000000"/>
          <w:kern w:val="0"/>
          <w:sz w:val="32"/>
          <w:szCs w:val="32"/>
        </w:rPr>
        <w:t>其他支出（类）-彩票公益金安排的支出（款）-用于社会福利的彩票公益金支出（项）：指用于社会福利和社会救助的彩票公益金支出。</w:t>
      </w: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6B9F52"/>
    <w:multiLevelType w:val="singleLevel"/>
    <w:tmpl w:val="F06B9F52"/>
    <w:lvl w:ilvl="0" w:tentative="0">
      <w:start w:val="3"/>
      <w:numFmt w:val="chineseCounting"/>
      <w:suff w:val="nothing"/>
      <w:lvlText w:val="（%1）"/>
      <w:lvlJc w:val="left"/>
      <w:rPr>
        <w:rFonts w:hint="eastAsia"/>
      </w:rPr>
    </w:lvl>
  </w:abstractNum>
  <w:abstractNum w:abstractNumId="1">
    <w:nsid w:val="5895A99C"/>
    <w:multiLevelType w:val="singleLevel"/>
    <w:tmpl w:val="5895A99C"/>
    <w:lvl w:ilvl="0" w:tentative="0">
      <w:start w:val="5"/>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DM0NTQ3NThjYWM0ZmE1ZjcyMzM1YjFhNTQ5NzZmY2QifQ=="/>
  </w:docVars>
  <w:rsids>
    <w:rsidRoot w:val="0018453C"/>
    <w:rsid w:val="00037FBA"/>
    <w:rsid w:val="00084C3B"/>
    <w:rsid w:val="000F6704"/>
    <w:rsid w:val="0014553D"/>
    <w:rsid w:val="00151805"/>
    <w:rsid w:val="0018453C"/>
    <w:rsid w:val="001C6D6F"/>
    <w:rsid w:val="001D7273"/>
    <w:rsid w:val="001F186B"/>
    <w:rsid w:val="0025199F"/>
    <w:rsid w:val="00262BFB"/>
    <w:rsid w:val="002E190E"/>
    <w:rsid w:val="00312421"/>
    <w:rsid w:val="0034320B"/>
    <w:rsid w:val="0035041B"/>
    <w:rsid w:val="00352D79"/>
    <w:rsid w:val="003533AA"/>
    <w:rsid w:val="00372A55"/>
    <w:rsid w:val="003A54FF"/>
    <w:rsid w:val="003E68CE"/>
    <w:rsid w:val="004C1A7E"/>
    <w:rsid w:val="004E07B6"/>
    <w:rsid w:val="004F65D0"/>
    <w:rsid w:val="004F6D96"/>
    <w:rsid w:val="0054517F"/>
    <w:rsid w:val="0055355B"/>
    <w:rsid w:val="00576237"/>
    <w:rsid w:val="005B1AB5"/>
    <w:rsid w:val="005D0D77"/>
    <w:rsid w:val="005E0A27"/>
    <w:rsid w:val="005E47B3"/>
    <w:rsid w:val="005E7D52"/>
    <w:rsid w:val="00655F61"/>
    <w:rsid w:val="006B2E4F"/>
    <w:rsid w:val="006C39E2"/>
    <w:rsid w:val="006D5442"/>
    <w:rsid w:val="006D7FE3"/>
    <w:rsid w:val="006E085B"/>
    <w:rsid w:val="006F455E"/>
    <w:rsid w:val="007072D9"/>
    <w:rsid w:val="00731A0A"/>
    <w:rsid w:val="0073245A"/>
    <w:rsid w:val="00755A48"/>
    <w:rsid w:val="007715EF"/>
    <w:rsid w:val="007A0C65"/>
    <w:rsid w:val="007B431F"/>
    <w:rsid w:val="007D24B2"/>
    <w:rsid w:val="007E4CC3"/>
    <w:rsid w:val="00801E01"/>
    <w:rsid w:val="00823268"/>
    <w:rsid w:val="00834DDF"/>
    <w:rsid w:val="00850DC9"/>
    <w:rsid w:val="0089440C"/>
    <w:rsid w:val="00937AE8"/>
    <w:rsid w:val="009415A1"/>
    <w:rsid w:val="009427F2"/>
    <w:rsid w:val="009A7459"/>
    <w:rsid w:val="009B71E7"/>
    <w:rsid w:val="00A76362"/>
    <w:rsid w:val="00A86842"/>
    <w:rsid w:val="00AB2741"/>
    <w:rsid w:val="00B109C2"/>
    <w:rsid w:val="00B85FDA"/>
    <w:rsid w:val="00BA6311"/>
    <w:rsid w:val="00C35F38"/>
    <w:rsid w:val="00C35FDD"/>
    <w:rsid w:val="00C47BB8"/>
    <w:rsid w:val="00C50353"/>
    <w:rsid w:val="00C52D1F"/>
    <w:rsid w:val="00CC1B9F"/>
    <w:rsid w:val="00CE3F52"/>
    <w:rsid w:val="00D7617F"/>
    <w:rsid w:val="00D81B35"/>
    <w:rsid w:val="00DA4451"/>
    <w:rsid w:val="00DA6F5B"/>
    <w:rsid w:val="00DA7F84"/>
    <w:rsid w:val="00DF037C"/>
    <w:rsid w:val="00E16F71"/>
    <w:rsid w:val="00E20FB4"/>
    <w:rsid w:val="00E40834"/>
    <w:rsid w:val="00E429D8"/>
    <w:rsid w:val="00E44C58"/>
    <w:rsid w:val="00E61E40"/>
    <w:rsid w:val="00E925CD"/>
    <w:rsid w:val="00E95C9E"/>
    <w:rsid w:val="00ED0384"/>
    <w:rsid w:val="00EF16FF"/>
    <w:rsid w:val="00F23B56"/>
    <w:rsid w:val="00F56A05"/>
    <w:rsid w:val="00F7116F"/>
    <w:rsid w:val="012B59F8"/>
    <w:rsid w:val="01405C62"/>
    <w:rsid w:val="01B60A7A"/>
    <w:rsid w:val="01F263DB"/>
    <w:rsid w:val="01F648EB"/>
    <w:rsid w:val="024C6702"/>
    <w:rsid w:val="026505B4"/>
    <w:rsid w:val="02804924"/>
    <w:rsid w:val="028630A1"/>
    <w:rsid w:val="02FD4879"/>
    <w:rsid w:val="030B4515"/>
    <w:rsid w:val="038C7FF1"/>
    <w:rsid w:val="03AA3E3B"/>
    <w:rsid w:val="03E67D5E"/>
    <w:rsid w:val="03EA5C50"/>
    <w:rsid w:val="04600135"/>
    <w:rsid w:val="05054F3D"/>
    <w:rsid w:val="05F46152"/>
    <w:rsid w:val="05F835B0"/>
    <w:rsid w:val="06113422"/>
    <w:rsid w:val="06202053"/>
    <w:rsid w:val="063B27DE"/>
    <w:rsid w:val="065E25EC"/>
    <w:rsid w:val="06835E42"/>
    <w:rsid w:val="07487AC1"/>
    <w:rsid w:val="07623DA7"/>
    <w:rsid w:val="081119C7"/>
    <w:rsid w:val="08DE4DFD"/>
    <w:rsid w:val="0A1D1E06"/>
    <w:rsid w:val="0A4C7CCD"/>
    <w:rsid w:val="0B486D9D"/>
    <w:rsid w:val="0B4F52A1"/>
    <w:rsid w:val="0B652DFD"/>
    <w:rsid w:val="0B654246"/>
    <w:rsid w:val="0BD448F3"/>
    <w:rsid w:val="0C3F6EE2"/>
    <w:rsid w:val="0C7B7749"/>
    <w:rsid w:val="0CE2397A"/>
    <w:rsid w:val="0CEE5818"/>
    <w:rsid w:val="0DDF3EA9"/>
    <w:rsid w:val="0E8F4521"/>
    <w:rsid w:val="0F0A0BC6"/>
    <w:rsid w:val="0F216C64"/>
    <w:rsid w:val="0F3E23E2"/>
    <w:rsid w:val="0F5C4EB1"/>
    <w:rsid w:val="0F760C96"/>
    <w:rsid w:val="0F8B51E9"/>
    <w:rsid w:val="106B2554"/>
    <w:rsid w:val="1085571C"/>
    <w:rsid w:val="10E9721A"/>
    <w:rsid w:val="110566BC"/>
    <w:rsid w:val="12970A77"/>
    <w:rsid w:val="12D300E7"/>
    <w:rsid w:val="136B79EF"/>
    <w:rsid w:val="13811EEE"/>
    <w:rsid w:val="13FF3975"/>
    <w:rsid w:val="140D3B2D"/>
    <w:rsid w:val="14861683"/>
    <w:rsid w:val="14887B46"/>
    <w:rsid w:val="14EF3497"/>
    <w:rsid w:val="153C45B3"/>
    <w:rsid w:val="156C2728"/>
    <w:rsid w:val="157947AC"/>
    <w:rsid w:val="15DB09EF"/>
    <w:rsid w:val="1650535C"/>
    <w:rsid w:val="16B75B8F"/>
    <w:rsid w:val="16FE1938"/>
    <w:rsid w:val="170C3948"/>
    <w:rsid w:val="17E5196C"/>
    <w:rsid w:val="17EC7FC1"/>
    <w:rsid w:val="17F81734"/>
    <w:rsid w:val="180061CB"/>
    <w:rsid w:val="18154C5A"/>
    <w:rsid w:val="18AE7C99"/>
    <w:rsid w:val="18EF3804"/>
    <w:rsid w:val="192A3207"/>
    <w:rsid w:val="195C3A7E"/>
    <w:rsid w:val="1A2375F0"/>
    <w:rsid w:val="1A9D6217"/>
    <w:rsid w:val="1AC0275A"/>
    <w:rsid w:val="1AE05EE7"/>
    <w:rsid w:val="1AE500E3"/>
    <w:rsid w:val="1B1D1342"/>
    <w:rsid w:val="1B2A6629"/>
    <w:rsid w:val="1BBC2184"/>
    <w:rsid w:val="1C103D2D"/>
    <w:rsid w:val="1C1965EC"/>
    <w:rsid w:val="1C6F3367"/>
    <w:rsid w:val="1C7701B9"/>
    <w:rsid w:val="1CEA3F89"/>
    <w:rsid w:val="1CF73295"/>
    <w:rsid w:val="1D451326"/>
    <w:rsid w:val="1D5F4748"/>
    <w:rsid w:val="1D99665F"/>
    <w:rsid w:val="1E621D9B"/>
    <w:rsid w:val="1E9448CB"/>
    <w:rsid w:val="1E945AB3"/>
    <w:rsid w:val="1EFB5835"/>
    <w:rsid w:val="1F8A1433"/>
    <w:rsid w:val="1FD94E57"/>
    <w:rsid w:val="205247F6"/>
    <w:rsid w:val="206501BF"/>
    <w:rsid w:val="20C21B5F"/>
    <w:rsid w:val="20D8491F"/>
    <w:rsid w:val="21613635"/>
    <w:rsid w:val="2163103A"/>
    <w:rsid w:val="217D79B3"/>
    <w:rsid w:val="219B3B12"/>
    <w:rsid w:val="21F8300E"/>
    <w:rsid w:val="22D4227E"/>
    <w:rsid w:val="22FA27EC"/>
    <w:rsid w:val="230477A4"/>
    <w:rsid w:val="234550B7"/>
    <w:rsid w:val="2384696C"/>
    <w:rsid w:val="23B968AE"/>
    <w:rsid w:val="24073D5B"/>
    <w:rsid w:val="240772FF"/>
    <w:rsid w:val="24183DF0"/>
    <w:rsid w:val="247778DD"/>
    <w:rsid w:val="247A77A8"/>
    <w:rsid w:val="24D6630F"/>
    <w:rsid w:val="24F84929"/>
    <w:rsid w:val="252A0A7B"/>
    <w:rsid w:val="257B506C"/>
    <w:rsid w:val="25AF42DB"/>
    <w:rsid w:val="25B348BA"/>
    <w:rsid w:val="25DE1005"/>
    <w:rsid w:val="25FD2566"/>
    <w:rsid w:val="26816946"/>
    <w:rsid w:val="269B2361"/>
    <w:rsid w:val="26DB7398"/>
    <w:rsid w:val="27033FBD"/>
    <w:rsid w:val="2705728B"/>
    <w:rsid w:val="27417BF8"/>
    <w:rsid w:val="27693B45"/>
    <w:rsid w:val="27882F8C"/>
    <w:rsid w:val="278E628D"/>
    <w:rsid w:val="279F537D"/>
    <w:rsid w:val="283A129B"/>
    <w:rsid w:val="28FE78EF"/>
    <w:rsid w:val="29672817"/>
    <w:rsid w:val="298B4B63"/>
    <w:rsid w:val="298F1421"/>
    <w:rsid w:val="29954B63"/>
    <w:rsid w:val="29995DFC"/>
    <w:rsid w:val="29A41943"/>
    <w:rsid w:val="29AA7275"/>
    <w:rsid w:val="29B831E7"/>
    <w:rsid w:val="29DF16A7"/>
    <w:rsid w:val="29F74F67"/>
    <w:rsid w:val="2A484907"/>
    <w:rsid w:val="2A58726A"/>
    <w:rsid w:val="2B755902"/>
    <w:rsid w:val="2BA81833"/>
    <w:rsid w:val="2BAC3F70"/>
    <w:rsid w:val="2BB02AB9"/>
    <w:rsid w:val="2C56166B"/>
    <w:rsid w:val="2C772798"/>
    <w:rsid w:val="2CCD473A"/>
    <w:rsid w:val="2CE33635"/>
    <w:rsid w:val="2D391980"/>
    <w:rsid w:val="2D7C6F9A"/>
    <w:rsid w:val="2ED263DE"/>
    <w:rsid w:val="2F312BD6"/>
    <w:rsid w:val="2F4F315F"/>
    <w:rsid w:val="2F5260FE"/>
    <w:rsid w:val="2F78760A"/>
    <w:rsid w:val="2FC260AC"/>
    <w:rsid w:val="2FEA5603"/>
    <w:rsid w:val="2FED2953"/>
    <w:rsid w:val="30780EC9"/>
    <w:rsid w:val="31651329"/>
    <w:rsid w:val="31C46552"/>
    <w:rsid w:val="31EC7268"/>
    <w:rsid w:val="32691E0F"/>
    <w:rsid w:val="33722AF4"/>
    <w:rsid w:val="339F6CDD"/>
    <w:rsid w:val="344952F9"/>
    <w:rsid w:val="34F20284"/>
    <w:rsid w:val="3619346A"/>
    <w:rsid w:val="366152C5"/>
    <w:rsid w:val="367E0853"/>
    <w:rsid w:val="37DD34EA"/>
    <w:rsid w:val="3859649B"/>
    <w:rsid w:val="386D2696"/>
    <w:rsid w:val="38CA384A"/>
    <w:rsid w:val="39227B1B"/>
    <w:rsid w:val="39406911"/>
    <w:rsid w:val="39622637"/>
    <w:rsid w:val="39850296"/>
    <w:rsid w:val="39C26750"/>
    <w:rsid w:val="3A7F1D43"/>
    <w:rsid w:val="3A8D223E"/>
    <w:rsid w:val="3B291386"/>
    <w:rsid w:val="3B563038"/>
    <w:rsid w:val="3B7A306D"/>
    <w:rsid w:val="3B80307E"/>
    <w:rsid w:val="3BCA7BD7"/>
    <w:rsid w:val="3C0A60C7"/>
    <w:rsid w:val="3C6C37E2"/>
    <w:rsid w:val="3C7D1C3F"/>
    <w:rsid w:val="3CEA3E5A"/>
    <w:rsid w:val="3CFD6A0C"/>
    <w:rsid w:val="3DDA1E4D"/>
    <w:rsid w:val="3DF315C3"/>
    <w:rsid w:val="3E18678B"/>
    <w:rsid w:val="400943B7"/>
    <w:rsid w:val="40143523"/>
    <w:rsid w:val="406B2735"/>
    <w:rsid w:val="4171469C"/>
    <w:rsid w:val="42C454C8"/>
    <w:rsid w:val="431C3344"/>
    <w:rsid w:val="43482ADF"/>
    <w:rsid w:val="434906F1"/>
    <w:rsid w:val="43497E11"/>
    <w:rsid w:val="438C52D1"/>
    <w:rsid w:val="43AF1DC7"/>
    <w:rsid w:val="442360D8"/>
    <w:rsid w:val="447E249D"/>
    <w:rsid w:val="450B3104"/>
    <w:rsid w:val="45326086"/>
    <w:rsid w:val="45374F70"/>
    <w:rsid w:val="45A32D85"/>
    <w:rsid w:val="45E922E2"/>
    <w:rsid w:val="4603149E"/>
    <w:rsid w:val="46181B9F"/>
    <w:rsid w:val="46207231"/>
    <w:rsid w:val="46B73DB3"/>
    <w:rsid w:val="46B85A12"/>
    <w:rsid w:val="46C20ABF"/>
    <w:rsid w:val="471C5409"/>
    <w:rsid w:val="475E76EE"/>
    <w:rsid w:val="47775577"/>
    <w:rsid w:val="47B54AE2"/>
    <w:rsid w:val="47DB1596"/>
    <w:rsid w:val="484652C3"/>
    <w:rsid w:val="489E735B"/>
    <w:rsid w:val="48EF215B"/>
    <w:rsid w:val="49547ADE"/>
    <w:rsid w:val="499358EA"/>
    <w:rsid w:val="49A70025"/>
    <w:rsid w:val="4A800BE6"/>
    <w:rsid w:val="4A9518DB"/>
    <w:rsid w:val="4AB935E6"/>
    <w:rsid w:val="4B1F601E"/>
    <w:rsid w:val="4B65339C"/>
    <w:rsid w:val="4BE2220E"/>
    <w:rsid w:val="4CBF2857"/>
    <w:rsid w:val="4CF82AE4"/>
    <w:rsid w:val="4D097364"/>
    <w:rsid w:val="4D667BB3"/>
    <w:rsid w:val="4D7808AB"/>
    <w:rsid w:val="4DC87963"/>
    <w:rsid w:val="4E0626FD"/>
    <w:rsid w:val="4EA45B39"/>
    <w:rsid w:val="4EED2017"/>
    <w:rsid w:val="4F2E2211"/>
    <w:rsid w:val="4F4E78CD"/>
    <w:rsid w:val="4FA62E1E"/>
    <w:rsid w:val="4FAC0AB2"/>
    <w:rsid w:val="4FC809F8"/>
    <w:rsid w:val="4FE85961"/>
    <w:rsid w:val="4FF0236A"/>
    <w:rsid w:val="50072C4D"/>
    <w:rsid w:val="50341189"/>
    <w:rsid w:val="50837233"/>
    <w:rsid w:val="509C604E"/>
    <w:rsid w:val="514C5668"/>
    <w:rsid w:val="51513799"/>
    <w:rsid w:val="518C29B6"/>
    <w:rsid w:val="52170DB7"/>
    <w:rsid w:val="523D285F"/>
    <w:rsid w:val="52AA23A8"/>
    <w:rsid w:val="52B7187A"/>
    <w:rsid w:val="52BF3A93"/>
    <w:rsid w:val="53A5465B"/>
    <w:rsid w:val="53B6028C"/>
    <w:rsid w:val="54392B16"/>
    <w:rsid w:val="54442E65"/>
    <w:rsid w:val="545B2AA1"/>
    <w:rsid w:val="54765715"/>
    <w:rsid w:val="549B5701"/>
    <w:rsid w:val="54A9277D"/>
    <w:rsid w:val="55182E77"/>
    <w:rsid w:val="553F16B7"/>
    <w:rsid w:val="558856A9"/>
    <w:rsid w:val="55CA2A9E"/>
    <w:rsid w:val="55CA3B80"/>
    <w:rsid w:val="55E50F1B"/>
    <w:rsid w:val="565F6886"/>
    <w:rsid w:val="56BC237C"/>
    <w:rsid w:val="56CD4B4D"/>
    <w:rsid w:val="575C7815"/>
    <w:rsid w:val="5798381B"/>
    <w:rsid w:val="57D4447A"/>
    <w:rsid w:val="57F759F2"/>
    <w:rsid w:val="585447AE"/>
    <w:rsid w:val="58AF736D"/>
    <w:rsid w:val="58EC4DE1"/>
    <w:rsid w:val="596B72CE"/>
    <w:rsid w:val="59B3494A"/>
    <w:rsid w:val="59EB1B1F"/>
    <w:rsid w:val="59EC6E24"/>
    <w:rsid w:val="5A0B2520"/>
    <w:rsid w:val="5A186813"/>
    <w:rsid w:val="5A3B2376"/>
    <w:rsid w:val="5A40591F"/>
    <w:rsid w:val="5A6F0692"/>
    <w:rsid w:val="5A8D72A3"/>
    <w:rsid w:val="5ABF2E42"/>
    <w:rsid w:val="5B586398"/>
    <w:rsid w:val="5B916903"/>
    <w:rsid w:val="5BEF472E"/>
    <w:rsid w:val="5C932202"/>
    <w:rsid w:val="5CC87E6F"/>
    <w:rsid w:val="5CD918EA"/>
    <w:rsid w:val="5D247D3D"/>
    <w:rsid w:val="5DAE1AC9"/>
    <w:rsid w:val="5E153AF5"/>
    <w:rsid w:val="5F0E1E7F"/>
    <w:rsid w:val="5F112305"/>
    <w:rsid w:val="5F2767B3"/>
    <w:rsid w:val="5FE31F70"/>
    <w:rsid w:val="60045498"/>
    <w:rsid w:val="608368E3"/>
    <w:rsid w:val="608F5287"/>
    <w:rsid w:val="60A02DA8"/>
    <w:rsid w:val="60FE1D3A"/>
    <w:rsid w:val="614C1844"/>
    <w:rsid w:val="617A6C2D"/>
    <w:rsid w:val="618968F0"/>
    <w:rsid w:val="619E6355"/>
    <w:rsid w:val="61BD64DA"/>
    <w:rsid w:val="6215384D"/>
    <w:rsid w:val="627460EE"/>
    <w:rsid w:val="62967011"/>
    <w:rsid w:val="62AC06BC"/>
    <w:rsid w:val="62C60314"/>
    <w:rsid w:val="633B4987"/>
    <w:rsid w:val="63525D55"/>
    <w:rsid w:val="63F321C7"/>
    <w:rsid w:val="64C20A08"/>
    <w:rsid w:val="64F06443"/>
    <w:rsid w:val="65737FB9"/>
    <w:rsid w:val="65DF5ECF"/>
    <w:rsid w:val="661644AB"/>
    <w:rsid w:val="661D7FD4"/>
    <w:rsid w:val="665A45AE"/>
    <w:rsid w:val="66A662C4"/>
    <w:rsid w:val="66AF4903"/>
    <w:rsid w:val="66DE2D4E"/>
    <w:rsid w:val="67222B8A"/>
    <w:rsid w:val="679D182D"/>
    <w:rsid w:val="67BB6396"/>
    <w:rsid w:val="682F08AB"/>
    <w:rsid w:val="68794E30"/>
    <w:rsid w:val="687B5327"/>
    <w:rsid w:val="688621C1"/>
    <w:rsid w:val="68C15BDE"/>
    <w:rsid w:val="69366867"/>
    <w:rsid w:val="6AD23ACD"/>
    <w:rsid w:val="6AE706B2"/>
    <w:rsid w:val="6B103823"/>
    <w:rsid w:val="6B315A81"/>
    <w:rsid w:val="6C3F4637"/>
    <w:rsid w:val="6C9D07C7"/>
    <w:rsid w:val="6CB426A8"/>
    <w:rsid w:val="6D3835CD"/>
    <w:rsid w:val="6D714D8F"/>
    <w:rsid w:val="6D9B59D3"/>
    <w:rsid w:val="6DDF18A8"/>
    <w:rsid w:val="6E7742D5"/>
    <w:rsid w:val="6E947A29"/>
    <w:rsid w:val="6EFB1E55"/>
    <w:rsid w:val="701E0D35"/>
    <w:rsid w:val="708C2BAE"/>
    <w:rsid w:val="717A54B6"/>
    <w:rsid w:val="71E47115"/>
    <w:rsid w:val="72124418"/>
    <w:rsid w:val="72BF52A3"/>
    <w:rsid w:val="73520170"/>
    <w:rsid w:val="73667ADF"/>
    <w:rsid w:val="73B32D5B"/>
    <w:rsid w:val="73EA654F"/>
    <w:rsid w:val="73EC4177"/>
    <w:rsid w:val="74906E74"/>
    <w:rsid w:val="74D2633E"/>
    <w:rsid w:val="75127B2A"/>
    <w:rsid w:val="756B70AB"/>
    <w:rsid w:val="762D45E7"/>
    <w:rsid w:val="76432C97"/>
    <w:rsid w:val="76472E5B"/>
    <w:rsid w:val="76622032"/>
    <w:rsid w:val="76DA2B8D"/>
    <w:rsid w:val="773F1B2E"/>
    <w:rsid w:val="776141C0"/>
    <w:rsid w:val="77E71EE7"/>
    <w:rsid w:val="78403651"/>
    <w:rsid w:val="784051C1"/>
    <w:rsid w:val="789E16E5"/>
    <w:rsid w:val="78DB40C6"/>
    <w:rsid w:val="7954401D"/>
    <w:rsid w:val="79547EF1"/>
    <w:rsid w:val="79A24C96"/>
    <w:rsid w:val="7A2575BC"/>
    <w:rsid w:val="7AC02D1F"/>
    <w:rsid w:val="7AC064D7"/>
    <w:rsid w:val="7AD55FA4"/>
    <w:rsid w:val="7AE80A7B"/>
    <w:rsid w:val="7AE861A8"/>
    <w:rsid w:val="7B452E9A"/>
    <w:rsid w:val="7B5E14E4"/>
    <w:rsid w:val="7B712155"/>
    <w:rsid w:val="7B741965"/>
    <w:rsid w:val="7BBF78B4"/>
    <w:rsid w:val="7BFE30BC"/>
    <w:rsid w:val="7C0A7BF1"/>
    <w:rsid w:val="7CD24C07"/>
    <w:rsid w:val="7CDD0037"/>
    <w:rsid w:val="7D276B1C"/>
    <w:rsid w:val="7D2C5AF6"/>
    <w:rsid w:val="7D8F4D87"/>
    <w:rsid w:val="7DBB66FE"/>
    <w:rsid w:val="7DBE27C1"/>
    <w:rsid w:val="7DCA5F0F"/>
    <w:rsid w:val="7E1F736F"/>
    <w:rsid w:val="7E300305"/>
    <w:rsid w:val="7E7D74C3"/>
    <w:rsid w:val="7F346A78"/>
    <w:rsid w:val="7FA57776"/>
    <w:rsid w:val="7FC2506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Document Map"/>
    <w:basedOn w:val="1"/>
    <w:semiHidden/>
    <w:qFormat/>
    <w:uiPriority w:val="0"/>
    <w:pPr>
      <w:shd w:val="clear" w:color="auto" w:fill="000080"/>
    </w:p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bCs/>
    </w:rPr>
  </w:style>
  <w:style w:type="paragraph" w:customStyle="1" w:styleId="10">
    <w:name w:val="Char"/>
    <w:basedOn w:val="1"/>
    <w:qFormat/>
    <w:uiPriority w:val="0"/>
    <w:rPr>
      <w:rFonts w:ascii="宋体" w:hAnsi="宋体" w:cs="Courier New"/>
      <w:sz w:val="32"/>
      <w:szCs w:val="32"/>
    </w:rPr>
  </w:style>
  <w:style w:type="character" w:customStyle="1" w:styleId="11">
    <w:name w:val="页眉 Char"/>
    <w:link w:val="5"/>
    <w:qFormat/>
    <w:uiPriority w:val="0"/>
    <w:rPr>
      <w:kern w:val="2"/>
      <w:sz w:val="18"/>
      <w:szCs w:val="18"/>
    </w:rPr>
  </w:style>
  <w:style w:type="character" w:customStyle="1" w:styleId="12">
    <w:name w:val="页脚 Char"/>
    <w:link w:val="4"/>
    <w:qFormat/>
    <w:uiPriority w:val="0"/>
    <w:rPr>
      <w:kern w:val="2"/>
      <w:sz w:val="18"/>
      <w:szCs w:val="18"/>
    </w:rPr>
  </w:style>
  <w:style w:type="paragraph" w:customStyle="1" w:styleId="13">
    <w:name w:val="[Normal]"/>
    <w:qFormat/>
    <w:uiPriority w:val="0"/>
    <w:rPr>
      <w:rFonts w:ascii="宋体" w:hAnsi="宋体" w:eastAsia="宋体" w:cs="Times New Roman"/>
      <w:sz w:val="24"/>
      <w:lang w:val="zh-CN" w:eastAsia="zh-CN" w:bidi="ar-SA"/>
    </w:rPr>
  </w:style>
  <w:style w:type="paragraph" w:customStyle="1" w:styleId="14">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xc</Company>
  <Pages>19</Pages>
  <Words>9617</Words>
  <Characters>17507</Characters>
  <Lines>145</Lines>
  <Paragraphs>54</Paragraphs>
  <TotalTime>0</TotalTime>
  <ScaleCrop>false</ScaleCrop>
  <LinksUpToDate>false</LinksUpToDate>
  <CharactersWithSpaces>27070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2020-01-06T08:45:00Z</dcterms:created>
  <dc:creator>dsx</dc:creator>
  <cp:lastModifiedBy>叶水花</cp:lastModifiedBy>
  <dcterms:modified xsi:type="dcterms:W3CDTF">2024-04-03T06:05:58Z</dcterms:modified>
  <dc:title>关于2019年部门预算的批复</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EDOID">
    <vt:r8>5838458</vt:r8>
  </property>
  <property fmtid="{D5CDD505-2E9C-101B-9397-08002B2CF9AE}" pid="4" name="ICV">
    <vt:lpwstr>E7E435903E954F16B3A6550F30CE4D1E</vt:lpwstr>
  </property>
</Properties>
</file>