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丽水</w:t>
      </w:r>
      <w:r>
        <w:rPr>
          <w:rFonts w:hint="eastAsia" w:ascii="仿宋_GB2312" w:hAnsi="仿宋_GB2312" w:eastAsia="仿宋_GB2312" w:cs="仿宋_GB2312"/>
          <w:b/>
          <w:bCs/>
          <w:sz w:val="36"/>
          <w:szCs w:val="36"/>
          <w:lang w:eastAsia="zh-CN"/>
        </w:rPr>
        <w:t>市高质量绿色发展</w:t>
      </w:r>
      <w:r>
        <w:rPr>
          <w:rFonts w:hint="eastAsia" w:ascii="仿宋_GB2312" w:hAnsi="仿宋_GB2312" w:eastAsia="仿宋_GB2312" w:cs="仿宋_GB2312"/>
          <w:b/>
          <w:bCs/>
          <w:sz w:val="36"/>
          <w:szCs w:val="36"/>
        </w:rPr>
        <w:t>产业基金20</w:t>
      </w:r>
      <w:r>
        <w:rPr>
          <w:rFonts w:hint="eastAsia" w:ascii="仿宋_GB2312" w:hAnsi="仿宋_GB2312" w:eastAsia="仿宋_GB2312" w:cs="仿宋_GB2312"/>
          <w:b/>
          <w:bCs/>
          <w:sz w:val="36"/>
          <w:szCs w:val="36"/>
          <w:lang w:val="en-US" w:eastAsia="zh-CN"/>
        </w:rPr>
        <w:t>22</w:t>
      </w:r>
      <w:r>
        <w:rPr>
          <w:rFonts w:hint="eastAsia" w:ascii="仿宋_GB2312" w:hAnsi="仿宋_GB2312" w:eastAsia="仿宋_GB2312" w:cs="仿宋_GB2312"/>
          <w:b/>
          <w:bCs/>
          <w:sz w:val="36"/>
          <w:szCs w:val="36"/>
        </w:rPr>
        <w:t>年</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宋体" w:eastAsia="仿宋_GB2312" w:cs="宋体"/>
          <w:color w:val="474747"/>
          <w:kern w:val="0"/>
          <w:sz w:val="44"/>
          <w:szCs w:val="44"/>
        </w:rPr>
      </w:pPr>
      <w:r>
        <w:rPr>
          <w:rFonts w:hint="eastAsia" w:ascii="仿宋_GB2312" w:hAnsi="仿宋_GB2312" w:eastAsia="仿宋_GB2312" w:cs="仿宋_GB2312"/>
          <w:b/>
          <w:bCs/>
          <w:sz w:val="36"/>
          <w:szCs w:val="36"/>
        </w:rPr>
        <w:t>第</w:t>
      </w:r>
      <w:r>
        <w:rPr>
          <w:rFonts w:hint="eastAsia" w:ascii="仿宋_GB2312" w:hAnsi="仿宋_GB2312" w:eastAsia="仿宋_GB2312" w:cs="仿宋_GB2312"/>
          <w:b/>
          <w:bCs/>
          <w:sz w:val="36"/>
          <w:szCs w:val="36"/>
          <w:lang w:eastAsia="zh-CN"/>
        </w:rPr>
        <w:t>二</w:t>
      </w:r>
      <w:r>
        <w:rPr>
          <w:rFonts w:hint="eastAsia" w:ascii="仿宋_GB2312" w:hAnsi="仿宋_GB2312" w:eastAsia="仿宋_GB2312" w:cs="仿宋_GB2312"/>
          <w:b/>
          <w:bCs/>
          <w:sz w:val="36"/>
          <w:szCs w:val="36"/>
        </w:rPr>
        <w:t>批拟投资项目公示</w:t>
      </w:r>
      <w:r>
        <w:rPr>
          <w:rFonts w:ascii="仿宋_GB2312" w:hAnsi="宋体" w:eastAsia="仿宋_GB2312" w:cs="宋体"/>
          <w:color w:val="474747"/>
          <w:kern w:val="0"/>
          <w:sz w:val="44"/>
          <w:szCs w:val="44"/>
        </w:rPr>
        <w:t> </w:t>
      </w:r>
    </w:p>
    <w:p>
      <w:pPr>
        <w:widowControl/>
        <w:shd w:val="clear" w:color="auto" w:fill="FFFFFF"/>
        <w:spacing w:line="375" w:lineRule="atLeast"/>
        <w:ind w:firstLine="720" w:firstLineChars="200"/>
        <w:jc w:val="left"/>
        <w:rPr>
          <w:rFonts w:hint="eastAsia" w:ascii="仿宋_GB2312" w:hAnsi="宋体" w:eastAsia="仿宋_GB2312" w:cs="宋体"/>
          <w:color w:val="474747"/>
          <w:kern w:val="0"/>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根据《丽水</w:t>
      </w:r>
      <w:r>
        <w:rPr>
          <w:rFonts w:hint="eastAsia" w:ascii="仿宋_GB2312" w:hAnsi="仿宋_GB2312" w:eastAsia="仿宋_GB2312" w:cs="仿宋_GB2312"/>
          <w:sz w:val="32"/>
          <w:szCs w:val="32"/>
          <w:lang w:eastAsia="zh-CN"/>
        </w:rPr>
        <w:t>市高质量绿色发展</w:t>
      </w:r>
      <w:r>
        <w:rPr>
          <w:rFonts w:hint="eastAsia" w:ascii="仿宋_GB2312" w:hAnsi="仿宋_GB2312" w:eastAsia="仿宋_GB2312" w:cs="仿宋_GB2312"/>
          <w:sz w:val="32"/>
          <w:szCs w:val="32"/>
        </w:rPr>
        <w:t>产业基</w:t>
      </w:r>
      <w:r>
        <w:rPr>
          <w:rFonts w:hint="eastAsia" w:ascii="仿宋_GB2312" w:hAnsi="仿宋_GB2312" w:eastAsia="仿宋_GB2312" w:cs="仿宋_GB2312"/>
          <w:sz w:val="32"/>
          <w:szCs w:val="32"/>
          <w:lang w:eastAsia="zh-CN"/>
        </w:rPr>
        <w:t>金管理办法》（</w:t>
      </w:r>
      <w:bookmarkStart w:id="0" w:name="fwzh"/>
      <w:r>
        <w:rPr>
          <w:rFonts w:hint="eastAsia" w:ascii="仿宋_GB2312" w:hAnsi="仿宋_GB2312" w:eastAsia="仿宋_GB2312" w:cs="仿宋_GB2312"/>
          <w:sz w:val="32"/>
          <w:szCs w:val="32"/>
          <w:lang w:eastAsia="zh-CN"/>
        </w:rPr>
        <w:t>丽财企〔2020〕207号</w:t>
      </w:r>
      <w:bookmarkEnd w:id="0"/>
      <w:r>
        <w:rPr>
          <w:rFonts w:hint="eastAsia" w:ascii="仿宋_GB2312" w:hAnsi="仿宋_GB2312" w:eastAsia="仿宋_GB2312" w:cs="仿宋_GB2312"/>
          <w:sz w:val="32"/>
          <w:szCs w:val="32"/>
          <w:lang w:eastAsia="zh-CN"/>
        </w:rPr>
        <w:t>）等相关文件规定，丽水市高质量绿色发展产业基金投资决策会议审议通过丽水市高质量绿色发展产业基金</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年第二批拟投资项目，现将拟投资项目予以公示。公示期间：20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default" w:ascii="仿宋_GB2312" w:hAnsi="仿宋_GB2312" w:eastAsia="仿宋_GB2312" w:cs="仿宋_GB2312"/>
          <w:sz w:val="32"/>
          <w:szCs w:val="32"/>
          <w:lang w:eastAsia="zh-CN"/>
          <w:woUserID w:val="1"/>
        </w:rPr>
        <w:t>27</w:t>
      </w:r>
      <w:r>
        <w:rPr>
          <w:rFonts w:hint="eastAsia" w:ascii="仿宋_GB2312" w:hAnsi="仿宋_GB2312" w:eastAsia="仿宋_GB2312" w:cs="仿宋_GB2312"/>
          <w:sz w:val="32"/>
          <w:szCs w:val="32"/>
          <w:lang w:eastAsia="zh-CN"/>
        </w:rPr>
        <w:t>日-20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woUserID w:val="1"/>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月</w:t>
      </w:r>
      <w:r>
        <w:rPr>
          <w:rFonts w:hint="default" w:ascii="仿宋_GB2312" w:hAnsi="仿宋_GB2312" w:eastAsia="仿宋_GB2312" w:cs="仿宋_GB2312"/>
          <w:sz w:val="32"/>
          <w:szCs w:val="32"/>
          <w:lang w:eastAsia="zh-CN"/>
          <w:woUserID w:val="1"/>
        </w:rPr>
        <w:t>5</w:t>
      </w:r>
      <w:r>
        <w:rPr>
          <w:rFonts w:hint="eastAsia" w:ascii="仿宋_GB2312" w:hAnsi="仿宋_GB2312" w:eastAsia="仿宋_GB2312" w:cs="仿宋_GB2312"/>
          <w:sz w:val="32"/>
          <w:szCs w:val="32"/>
          <w:lang w:eastAsia="zh-CN"/>
        </w:rPr>
        <w:t>日。社会公众可通过邮寄、电子邮件的方式向我局反映意见和建议。（地址：丽水市北苑路190号丽水市财政局；邮编：323000。电话：266</w:t>
      </w:r>
      <w:r>
        <w:rPr>
          <w:rFonts w:hint="eastAsia" w:ascii="仿宋_GB2312" w:hAnsi="仿宋_GB2312" w:eastAsia="仿宋_GB2312" w:cs="仿宋_GB2312"/>
          <w:sz w:val="32"/>
          <w:szCs w:val="32"/>
          <w:lang w:val="en-US" w:eastAsia="zh-CN"/>
        </w:rPr>
        <w:t>9386</w:t>
      </w:r>
      <w:r>
        <w:rPr>
          <w:rFonts w:hint="eastAsia" w:ascii="仿宋_GB2312" w:hAnsi="仿宋_GB2312" w:eastAsia="仿宋_GB2312" w:cs="仿宋_GB2312"/>
          <w:sz w:val="32"/>
          <w:szCs w:val="32"/>
          <w:lang w:eastAsia="zh-CN"/>
        </w:rPr>
        <w:t>；电子邮箱：</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"mailto:249851875@qq.com"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val="en-US" w:eastAsia="zh-CN"/>
        </w:rPr>
        <w:t>353784797</w:t>
      </w:r>
      <w:r>
        <w:rPr>
          <w:rFonts w:hint="eastAsia" w:ascii="仿宋_GB2312" w:hAnsi="仿宋_GB2312" w:eastAsia="仿宋_GB2312" w:cs="仿宋_GB2312"/>
          <w:sz w:val="32"/>
          <w:szCs w:val="32"/>
          <w:lang w:eastAsia="zh-CN"/>
        </w:rPr>
        <w:t>@qq.com</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附件：丽水</w:t>
      </w:r>
      <w:r>
        <w:rPr>
          <w:rFonts w:hint="eastAsia" w:ascii="仿宋_GB2312" w:hAnsi="仿宋_GB2312" w:eastAsia="仿宋_GB2312" w:cs="仿宋_GB2312"/>
          <w:sz w:val="32"/>
          <w:szCs w:val="32"/>
          <w:lang w:eastAsia="zh-CN"/>
        </w:rPr>
        <w:t>市高质量绿色发展</w:t>
      </w:r>
      <w:r>
        <w:rPr>
          <w:rFonts w:hint="eastAsia" w:ascii="仿宋_GB2312" w:hAnsi="仿宋_GB2312" w:eastAsia="仿宋_GB2312" w:cs="仿宋_GB2312"/>
          <w:sz w:val="32"/>
          <w:szCs w:val="32"/>
        </w:rPr>
        <w:t>产业基金20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批</w:t>
      </w:r>
      <w:r>
        <w:rPr>
          <w:rFonts w:hint="eastAsia" w:ascii="仿宋_GB2312" w:hAnsi="仿宋_GB2312" w:eastAsia="仿宋_GB2312" w:cs="仿宋_GB2312"/>
          <w:sz w:val="32"/>
          <w:szCs w:val="32"/>
          <w:lang w:eastAsia="zh-CN"/>
        </w:rPr>
        <w:t>拟</w:t>
      </w:r>
      <w:r>
        <w:rPr>
          <w:rFonts w:hint="eastAsia" w:ascii="仿宋_GB2312" w:hAnsi="仿宋_GB2312" w:eastAsia="仿宋_GB2312" w:cs="仿宋_GB2312"/>
          <w:sz w:val="32"/>
          <w:szCs w:val="32"/>
        </w:rPr>
        <w:t>投资项目简介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丽水市财政局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woUserID w:val="1"/>
        </w:rPr>
        <w:t>26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6"/>
          <w:szCs w:val="36"/>
        </w:rPr>
      </w:pPr>
      <w:r>
        <w:rPr>
          <w:rFonts w:hint="eastAsia" w:ascii="仿宋_GB2312" w:hAnsi="仿宋_GB2312" w:eastAsia="仿宋_GB2312" w:cs="仿宋_GB2312"/>
          <w:b/>
          <w:bCs/>
          <w:sz w:val="36"/>
          <w:szCs w:val="36"/>
          <w:lang w:eastAsia="zh-CN"/>
        </w:rPr>
        <w:t>丽水市高质量绿色发展产业基金20</w:t>
      </w:r>
      <w:r>
        <w:rPr>
          <w:rFonts w:hint="eastAsia" w:ascii="仿宋_GB2312" w:hAnsi="仿宋_GB2312" w:eastAsia="仿宋_GB2312" w:cs="仿宋_GB2312"/>
          <w:b/>
          <w:bCs/>
          <w:sz w:val="36"/>
          <w:szCs w:val="36"/>
          <w:lang w:val="en-US" w:eastAsia="zh-CN"/>
        </w:rPr>
        <w:t>22</w:t>
      </w:r>
      <w:r>
        <w:rPr>
          <w:rFonts w:hint="eastAsia" w:ascii="仿宋_GB2312" w:hAnsi="仿宋_GB2312" w:eastAsia="仿宋_GB2312" w:cs="仿宋_GB2312"/>
          <w:b/>
          <w:bCs/>
          <w:sz w:val="36"/>
          <w:szCs w:val="36"/>
          <w:lang w:eastAsia="zh-CN"/>
        </w:rPr>
        <w:t>年第二批拟投资项目（中信医疗基金）</w:t>
      </w:r>
      <w:r>
        <w:rPr>
          <w:rFonts w:hint="eastAsia" w:ascii="仿宋_GB2312" w:hAnsi="仿宋_GB2312" w:eastAsia="仿宋_GB2312" w:cs="仿宋_GB2312"/>
          <w:b/>
          <w:bCs/>
          <w:sz w:val="36"/>
          <w:szCs w:val="36"/>
        </w:rPr>
        <w:t>简介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highlight w:val="none"/>
          <w:lang w:val="en-US" w:eastAsia="zh-CN" w:bidi="ar-SA"/>
        </w:rPr>
        <w:t>中信医疗丽水双招双引壹号股权投资基金（有限合伙）</w:t>
      </w:r>
      <w:r>
        <w:rPr>
          <w:rFonts w:hint="eastAsia" w:ascii="仿宋_GB2312" w:hAnsi="仿宋_GB2312" w:eastAsia="仿宋_GB2312" w:cs="仿宋_GB2312"/>
          <w:sz w:val="32"/>
          <w:szCs w:val="32"/>
          <w:lang w:val="en-US" w:eastAsia="zh-CN"/>
        </w:rPr>
        <w:t>（暂定名，</w:t>
      </w:r>
      <w:r>
        <w:rPr>
          <w:rFonts w:hint="eastAsia" w:ascii="仿宋_GB2312" w:hAnsi="仿宋_GB2312" w:eastAsia="仿宋_GB2312" w:cs="仿宋_GB2312"/>
          <w:color w:val="auto"/>
          <w:sz w:val="32"/>
          <w:szCs w:val="32"/>
        </w:rPr>
        <w:t>实际以工商注册为准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下称“基金”</w:t>
      </w:r>
      <w:r>
        <w:rPr>
          <w:rFonts w:hint="eastAsia" w:ascii="仿宋_GB2312" w:hAnsi="仿宋_GB2312" w:eastAsia="仿宋_GB2312" w:cs="仿宋_GB2312"/>
          <w:sz w:val="32"/>
          <w:szCs w:val="32"/>
          <w:lang w:val="en-US" w:eastAsia="zh-CN"/>
        </w:rPr>
        <w:t>）总认缴规模10亿元，政府方和社会资本出资比例约8:2，其中丽水市高质量绿色发展产业基金</w:t>
      </w:r>
      <w:r>
        <w:rPr>
          <w:rFonts w:hint="default" w:ascii="仿宋_GB2312" w:hAnsi="仿宋_GB2312" w:eastAsia="仿宋_GB2312" w:cs="仿宋_GB2312"/>
          <w:sz w:val="32"/>
          <w:szCs w:val="32"/>
          <w:lang w:eastAsia="zh-CN"/>
          <w:woUserID w:val="1"/>
        </w:rPr>
        <w:t>及各县市区国资平台</w:t>
      </w:r>
      <w:r>
        <w:rPr>
          <w:rFonts w:hint="eastAsia" w:ascii="仿宋_GB2312" w:hAnsi="仿宋_GB2312" w:eastAsia="仿宋_GB2312" w:cs="仿宋_GB2312"/>
          <w:sz w:val="32"/>
          <w:szCs w:val="32"/>
          <w:lang w:val="en-US" w:eastAsia="zh-CN"/>
        </w:rPr>
        <w:t>总认缴规模</w:t>
      </w:r>
      <w:r>
        <w:rPr>
          <w:rFonts w:hint="default" w:ascii="仿宋_GB2312" w:hAnsi="仿宋_GB2312" w:eastAsia="仿宋_GB2312" w:cs="仿宋_GB2312"/>
          <w:sz w:val="32"/>
          <w:szCs w:val="32"/>
          <w:lang w:eastAsia="zh-CN"/>
          <w:woUserID w:val="1"/>
        </w:rPr>
        <w:t>7</w:t>
      </w:r>
      <w:r>
        <w:rPr>
          <w:rFonts w:hint="eastAsia" w:ascii="仿宋_GB2312" w:hAnsi="仿宋_GB2312" w:eastAsia="仿宋_GB2312" w:cs="仿宋_GB2312"/>
          <w:sz w:val="32"/>
          <w:szCs w:val="32"/>
          <w:lang w:val="en-US" w:eastAsia="zh-CN"/>
        </w:rPr>
        <w:t>亿元。基金</w:t>
      </w:r>
      <w:r>
        <w:rPr>
          <w:rFonts w:hint="eastAsia" w:ascii="仿宋_GB2312" w:hAnsi="仿宋_GB2312" w:eastAsia="仿宋_GB2312" w:cs="仿宋_GB2312"/>
          <w:color w:val="auto"/>
          <w:kern w:val="2"/>
          <w:sz w:val="32"/>
          <w:szCs w:val="32"/>
          <w:highlight w:val="none"/>
          <w:lang w:val="en-US" w:eastAsia="zh-CN" w:bidi="ar-SA"/>
        </w:rPr>
        <w:t>投资期3年，退出期2年，在全体合伙人一致同意的情况下，可延长2年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kern w:val="2"/>
          <w:sz w:val="32"/>
          <w:szCs w:val="32"/>
          <w:highlight w:val="none"/>
          <w:lang w:val="en-US" w:eastAsia="zh-CN" w:bidi="ar-SA"/>
        </w:rPr>
        <w:t>基金投资于丽水地区引进的招商引资项目，重点投资于医疗器械、药物制剂、人工智能医疗、医药研发服务外包（CRO）</w:t>
      </w:r>
      <w:r>
        <w:rPr>
          <w:rFonts w:hint="default" w:ascii="仿宋_GB2312" w:hAnsi="仿宋_GB2312" w:eastAsia="仿宋_GB2312" w:cs="仿宋_GB2312"/>
          <w:color w:val="auto"/>
          <w:kern w:val="2"/>
          <w:sz w:val="32"/>
          <w:szCs w:val="32"/>
          <w:highlight w:val="none"/>
          <w:lang w:eastAsia="zh-CN" w:bidi="ar-SA"/>
          <w:woUserID w:val="2"/>
        </w:rPr>
        <w:t>、中医药健康</w:t>
      </w:r>
      <w:bookmarkStart w:id="1" w:name="_GoBack"/>
      <w:bookmarkEnd w:id="1"/>
      <w:r>
        <w:rPr>
          <w:rFonts w:hint="eastAsia" w:ascii="仿宋_GB2312" w:hAnsi="仿宋_GB2312" w:eastAsia="仿宋_GB2312" w:cs="仿宋_GB2312"/>
          <w:color w:val="auto"/>
          <w:kern w:val="2"/>
          <w:sz w:val="32"/>
          <w:szCs w:val="32"/>
          <w:highlight w:val="none"/>
          <w:lang w:val="en-US" w:eastAsia="zh-CN" w:bidi="ar-SA"/>
        </w:rPr>
        <w:t>等生物医药领域。</w:t>
      </w:r>
      <w:r>
        <w:rPr>
          <w:rFonts w:hint="eastAsia" w:ascii="仿宋_GB2312" w:hAnsi="仿宋_GB2312" w:eastAsia="仿宋_GB2312" w:cs="仿宋_GB2312"/>
          <w:sz w:val="32"/>
          <w:szCs w:val="32"/>
          <w:lang w:val="en-US" w:eastAsia="zh-CN"/>
        </w:rPr>
        <w:t>基金管理人为</w:t>
      </w:r>
      <w:r>
        <w:rPr>
          <w:rFonts w:hint="eastAsia" w:ascii="仿宋_GB2312" w:hAnsi="仿宋_GB2312" w:eastAsia="仿宋_GB2312" w:cs="仿宋_GB2312"/>
          <w:color w:val="auto"/>
          <w:kern w:val="2"/>
          <w:sz w:val="32"/>
          <w:szCs w:val="32"/>
          <w:highlight w:val="none"/>
          <w:lang w:val="en-US" w:eastAsia="zh-CN" w:bidi="ar-SA"/>
        </w:rPr>
        <w:t>中信医疗健康股权投资私募基金管理（北京）有限公司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b/>
          <w:bCs/>
          <w:sz w:val="36"/>
          <w:szCs w:val="36"/>
          <w:lang w:eastAsia="zh-CN"/>
        </w:rPr>
        <w:t>丽水市高质量绿色发展产业基金20</w:t>
      </w:r>
      <w:r>
        <w:rPr>
          <w:rFonts w:hint="eastAsia" w:ascii="仿宋_GB2312" w:hAnsi="仿宋_GB2312" w:eastAsia="仿宋_GB2312" w:cs="仿宋_GB2312"/>
          <w:b/>
          <w:bCs/>
          <w:sz w:val="36"/>
          <w:szCs w:val="36"/>
          <w:lang w:val="en-US" w:eastAsia="zh-CN"/>
        </w:rPr>
        <w:t>22</w:t>
      </w:r>
      <w:r>
        <w:rPr>
          <w:rFonts w:hint="eastAsia" w:ascii="仿宋_GB2312" w:hAnsi="仿宋_GB2312" w:eastAsia="仿宋_GB2312" w:cs="仿宋_GB2312"/>
          <w:b/>
          <w:bCs/>
          <w:sz w:val="36"/>
          <w:szCs w:val="36"/>
          <w:lang w:eastAsia="zh-CN"/>
        </w:rPr>
        <w:t>年第二批拟投资项目（共同富裕基金）简介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浙江富浙创富股权投资合伙企业</w:t>
      </w:r>
      <w:r>
        <w:rPr>
          <w:rFonts w:hint="eastAsia" w:ascii="仿宋_GB2312" w:hAnsi="仿宋_GB2312" w:eastAsia="仿宋_GB2312" w:cs="仿宋_GB2312"/>
          <w:color w:val="auto"/>
          <w:kern w:val="2"/>
          <w:sz w:val="32"/>
          <w:szCs w:val="32"/>
          <w:highlight w:val="none"/>
          <w:lang w:val="en-US" w:eastAsia="zh-CN" w:bidi="ar-SA"/>
        </w:rPr>
        <w:t>（有限合伙）</w:t>
      </w:r>
      <w:r>
        <w:rPr>
          <w:rFonts w:hint="eastAsia" w:ascii="仿宋_GB2312" w:hAnsi="仿宋_GB2312" w:eastAsia="仿宋_GB2312" w:cs="仿宋_GB2312"/>
          <w:sz w:val="32"/>
          <w:szCs w:val="32"/>
          <w:lang w:val="en-US" w:eastAsia="zh-CN"/>
        </w:rPr>
        <w:t>（暂定名，</w:t>
      </w:r>
      <w:r>
        <w:rPr>
          <w:rFonts w:hint="eastAsia" w:ascii="仿宋_GB2312" w:hAnsi="仿宋_GB2312" w:eastAsia="仿宋_GB2312" w:cs="仿宋_GB2312"/>
          <w:color w:val="auto"/>
          <w:sz w:val="32"/>
          <w:szCs w:val="32"/>
        </w:rPr>
        <w:t>实际以工商注册为准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下称“基金”</w:t>
      </w:r>
      <w:r>
        <w:rPr>
          <w:rFonts w:hint="eastAsia" w:ascii="仿宋_GB2312" w:hAnsi="仿宋_GB2312" w:eastAsia="仿宋_GB2312" w:cs="仿宋_GB2312"/>
          <w:sz w:val="32"/>
          <w:szCs w:val="32"/>
          <w:lang w:val="en-US" w:eastAsia="zh-CN"/>
        </w:rPr>
        <w:t>）总认缴规模</w:t>
      </w:r>
      <w:r>
        <w:rPr>
          <w:rFonts w:hint="eastAsia" w:ascii="仿宋_GB2312" w:hAnsi="仿宋_GB2312" w:eastAsia="仿宋_GB2312" w:cs="仿宋_GB2312"/>
          <w:color w:val="auto"/>
          <w:sz w:val="32"/>
          <w:szCs w:val="32"/>
        </w:rPr>
        <w:t>不低于30亿元</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val="en-US" w:eastAsia="zh-CN"/>
        </w:rPr>
        <w:t>政府方和社会资本出资比例约4:6，其中丽水市高质量绿色发展产业基金总认缴规模5亿元。</w:t>
      </w:r>
      <w:r>
        <w:rPr>
          <w:rFonts w:hint="eastAsia" w:ascii="仿宋_GB2312" w:hAnsi="仿宋_GB2312" w:eastAsia="仿宋_GB2312" w:cs="仿宋_GB2312"/>
          <w:color w:val="auto"/>
          <w:sz w:val="32"/>
          <w:szCs w:val="32"/>
        </w:rPr>
        <w:t>基金存续期原则上为7年，前4年为投资期，后3年为退出期，在全体合伙人一致同意的情况下，可视情况延长</w:t>
      </w:r>
      <w:r>
        <w:rPr>
          <w:rFonts w:hint="eastAsia" w:ascii="仿宋_GB2312" w:hAnsi="仿宋_GB2312" w:eastAsia="仿宋_GB2312" w:cs="仿宋_GB2312"/>
          <w:color w:val="auto"/>
          <w:sz w:val="32"/>
          <w:szCs w:val="32"/>
          <w:lang w:eastAsia="zh-CN"/>
        </w:rPr>
        <w:t>。基金</w:t>
      </w:r>
      <w:r>
        <w:rPr>
          <w:rFonts w:hint="eastAsia" w:ascii="仿宋_GB2312" w:hAnsi="仿宋_GB2312" w:eastAsia="仿宋_GB2312" w:cs="仿宋_GB2312"/>
          <w:color w:val="auto"/>
          <w:sz w:val="32"/>
          <w:szCs w:val="32"/>
        </w:rPr>
        <w:t>聚焦三大科创高地和战略新兴产业，重点投资于集成电路、高端制造、新能源、新材料、国企混改、数字经济、生命健康等战略性、前瞻性领域，重点支持浙江省内山区26县项目高质量发展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基金管理人为</w:t>
      </w:r>
      <w:r>
        <w:rPr>
          <w:rFonts w:hint="eastAsia" w:ascii="仿宋_GB2312" w:hAnsi="仿宋_GB2312" w:eastAsia="仿宋_GB2312" w:cs="仿宋_GB2312"/>
          <w:color w:val="auto"/>
          <w:sz w:val="32"/>
          <w:szCs w:val="32"/>
        </w:rPr>
        <w:t>浙江富浙股权投资基金管理有限公司</w:t>
      </w:r>
      <w:r>
        <w:rPr>
          <w:rFonts w:hint="eastAsia" w:ascii="仿宋_GB2312" w:hAnsi="仿宋_GB2312" w:eastAsia="仿宋_GB2312" w:cs="仿宋_GB2312"/>
          <w:sz w:val="32"/>
          <w:szCs w:val="32"/>
          <w:lang w:val="en-US" w:eastAsia="zh-CN"/>
        </w:rPr>
        <w:t>。</w:t>
      </w: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b/>
          <w:bCs/>
          <w:sz w:val="36"/>
          <w:szCs w:val="36"/>
          <w:lang w:eastAsia="zh-CN"/>
        </w:rPr>
        <w:t>丽水市高质量绿色发展产业基金20</w:t>
      </w:r>
      <w:r>
        <w:rPr>
          <w:rFonts w:hint="eastAsia" w:ascii="仿宋_GB2312" w:hAnsi="仿宋_GB2312" w:eastAsia="仿宋_GB2312" w:cs="仿宋_GB2312"/>
          <w:b/>
          <w:bCs/>
          <w:sz w:val="36"/>
          <w:szCs w:val="36"/>
          <w:lang w:val="en-US" w:eastAsia="zh-CN"/>
        </w:rPr>
        <w:t>22</w:t>
      </w:r>
      <w:r>
        <w:rPr>
          <w:rFonts w:hint="eastAsia" w:ascii="仿宋_GB2312" w:hAnsi="仿宋_GB2312" w:eastAsia="仿宋_GB2312" w:cs="仿宋_GB2312"/>
          <w:b/>
          <w:bCs/>
          <w:sz w:val="36"/>
          <w:szCs w:val="36"/>
          <w:lang w:eastAsia="zh-CN"/>
        </w:rPr>
        <w:t>年第二批拟投资项目（丽水红瓦观由基金）简介</w:t>
      </w: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丽水红瓦观由股权投资合伙企业（有限合伙）（暂定名，实际以工商注册为准，下称</w:t>
      </w:r>
      <w:r>
        <w:rPr>
          <w:rFonts w:hint="eastAsia" w:ascii="仿宋_GB2312" w:hAnsi="仿宋_GB2312" w:eastAsia="仿宋_GB2312" w:cs="仿宋_GB2312"/>
          <w:sz w:val="32"/>
          <w:szCs w:val="32"/>
        </w:rPr>
        <w:t>“基金”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总认缴规模</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val="en-US" w:eastAsia="zh-CN"/>
        </w:rPr>
        <w:t>政府方和社会资本出资比例为3:7，其中丽水市高质量绿色发展产业基金总认缴规模1.5亿元。基金</w:t>
      </w:r>
      <w:r>
        <w:rPr>
          <w:rFonts w:hint="eastAsia" w:ascii="仿宋_GB2312" w:hAnsi="仿宋_GB2312" w:eastAsia="仿宋_GB2312" w:cs="仿宋_GB2312"/>
          <w:color w:val="auto"/>
          <w:sz w:val="32"/>
          <w:szCs w:val="32"/>
        </w:rPr>
        <w:t>投资期3年，退出期2年，在全体合伙人一致同意的情况下，退出期可延长2年</w:t>
      </w:r>
      <w:r>
        <w:rPr>
          <w:rFonts w:hint="eastAsia" w:ascii="仿宋_GB2312" w:hAnsi="仿宋_GB2312" w:eastAsia="仿宋_GB2312" w:cs="仿宋_GB2312"/>
          <w:color w:val="auto"/>
          <w:sz w:val="32"/>
          <w:szCs w:val="32"/>
          <w:lang w:eastAsia="zh-CN"/>
        </w:rPr>
        <w:t>。基金</w:t>
      </w:r>
      <w:r>
        <w:rPr>
          <w:rFonts w:hint="eastAsia" w:ascii="仿宋_GB2312" w:hAnsi="仿宋_GB2312" w:eastAsia="仿宋_GB2312" w:cs="仿宋_GB2312"/>
          <w:color w:val="auto"/>
          <w:sz w:val="32"/>
          <w:szCs w:val="32"/>
        </w:rPr>
        <w:t>重点投资生物医药、高端制造等相关产业领域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基金管理人为</w:t>
      </w:r>
      <w:r>
        <w:rPr>
          <w:rFonts w:hint="eastAsia" w:ascii="仿宋_GB2312" w:hAnsi="仿宋_GB2312" w:eastAsia="仿宋_GB2312" w:cs="仿宋_GB2312"/>
          <w:color w:val="auto"/>
          <w:sz w:val="32"/>
          <w:szCs w:val="32"/>
        </w:rPr>
        <w:t>上海观由投资发展有限公司</w:t>
      </w:r>
      <w:r>
        <w:rPr>
          <w:rFonts w:hint="eastAsia" w:ascii="仿宋_GB2312" w:hAnsi="仿宋_GB2312" w:eastAsia="仿宋_GB2312" w:cs="仿宋_GB2312"/>
          <w:sz w:val="32"/>
          <w:szCs w:val="32"/>
          <w:lang w:val="en-US" w:eastAsia="zh-CN"/>
        </w:rPr>
        <w:t>。</w:t>
      </w: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05DBA"/>
    <w:rsid w:val="00511AE1"/>
    <w:rsid w:val="0239705D"/>
    <w:rsid w:val="03482AEC"/>
    <w:rsid w:val="058C34AA"/>
    <w:rsid w:val="05986817"/>
    <w:rsid w:val="068730AA"/>
    <w:rsid w:val="07400F99"/>
    <w:rsid w:val="0832308B"/>
    <w:rsid w:val="0A314318"/>
    <w:rsid w:val="0BB47374"/>
    <w:rsid w:val="0C974C30"/>
    <w:rsid w:val="0CB36F78"/>
    <w:rsid w:val="0D3D3C1C"/>
    <w:rsid w:val="0DD07BFF"/>
    <w:rsid w:val="0DEA1837"/>
    <w:rsid w:val="0FA73DB5"/>
    <w:rsid w:val="101445DC"/>
    <w:rsid w:val="106C6A19"/>
    <w:rsid w:val="10D14763"/>
    <w:rsid w:val="1108687A"/>
    <w:rsid w:val="115974DC"/>
    <w:rsid w:val="11CB12CF"/>
    <w:rsid w:val="11E93EE3"/>
    <w:rsid w:val="12520616"/>
    <w:rsid w:val="14442795"/>
    <w:rsid w:val="14835394"/>
    <w:rsid w:val="14F3307C"/>
    <w:rsid w:val="15314CCE"/>
    <w:rsid w:val="15603F72"/>
    <w:rsid w:val="157D45D3"/>
    <w:rsid w:val="1642481B"/>
    <w:rsid w:val="16AE4BA8"/>
    <w:rsid w:val="17595C41"/>
    <w:rsid w:val="184C4192"/>
    <w:rsid w:val="187161DF"/>
    <w:rsid w:val="18B63FD5"/>
    <w:rsid w:val="1A3934A2"/>
    <w:rsid w:val="1A63405E"/>
    <w:rsid w:val="1A683C3C"/>
    <w:rsid w:val="1AAE1BB6"/>
    <w:rsid w:val="1BF300F2"/>
    <w:rsid w:val="1C847775"/>
    <w:rsid w:val="1CD15307"/>
    <w:rsid w:val="1DF62279"/>
    <w:rsid w:val="1FFC77A0"/>
    <w:rsid w:val="204630A5"/>
    <w:rsid w:val="22207D6A"/>
    <w:rsid w:val="22C84F3D"/>
    <w:rsid w:val="22DA28EE"/>
    <w:rsid w:val="236C0D01"/>
    <w:rsid w:val="242006CE"/>
    <w:rsid w:val="24765B70"/>
    <w:rsid w:val="24B92041"/>
    <w:rsid w:val="251158C0"/>
    <w:rsid w:val="253B2810"/>
    <w:rsid w:val="2559185F"/>
    <w:rsid w:val="2592204E"/>
    <w:rsid w:val="25FD193F"/>
    <w:rsid w:val="264F56AB"/>
    <w:rsid w:val="272334AA"/>
    <w:rsid w:val="275705B1"/>
    <w:rsid w:val="281A7F14"/>
    <w:rsid w:val="28276397"/>
    <w:rsid w:val="2832327F"/>
    <w:rsid w:val="28B37897"/>
    <w:rsid w:val="28D56A21"/>
    <w:rsid w:val="290123EA"/>
    <w:rsid w:val="29531501"/>
    <w:rsid w:val="29D311CD"/>
    <w:rsid w:val="29DF7B22"/>
    <w:rsid w:val="2BD03B5A"/>
    <w:rsid w:val="2C33220B"/>
    <w:rsid w:val="2C7659A8"/>
    <w:rsid w:val="2C817F48"/>
    <w:rsid w:val="2D135535"/>
    <w:rsid w:val="2DC97D93"/>
    <w:rsid w:val="2DD26BF8"/>
    <w:rsid w:val="2EB32BF9"/>
    <w:rsid w:val="2ED01EB0"/>
    <w:rsid w:val="2F187347"/>
    <w:rsid w:val="2F2B63A6"/>
    <w:rsid w:val="2F39501E"/>
    <w:rsid w:val="2F83741D"/>
    <w:rsid w:val="2FE83065"/>
    <w:rsid w:val="30D2269D"/>
    <w:rsid w:val="30E50BD2"/>
    <w:rsid w:val="31393C9D"/>
    <w:rsid w:val="31BB56A4"/>
    <w:rsid w:val="32645C3D"/>
    <w:rsid w:val="34104C2B"/>
    <w:rsid w:val="341F2BB1"/>
    <w:rsid w:val="343B298A"/>
    <w:rsid w:val="358A7A58"/>
    <w:rsid w:val="35CE1DDC"/>
    <w:rsid w:val="376D7A09"/>
    <w:rsid w:val="377E38F7"/>
    <w:rsid w:val="381A15CA"/>
    <w:rsid w:val="38BB68F6"/>
    <w:rsid w:val="396058D2"/>
    <w:rsid w:val="3987561B"/>
    <w:rsid w:val="398B46E1"/>
    <w:rsid w:val="399168D6"/>
    <w:rsid w:val="3B4611BC"/>
    <w:rsid w:val="3C914049"/>
    <w:rsid w:val="3CF63C5B"/>
    <w:rsid w:val="3D4B27B7"/>
    <w:rsid w:val="3D8A603D"/>
    <w:rsid w:val="3D8B5895"/>
    <w:rsid w:val="3E2617DC"/>
    <w:rsid w:val="3EA66967"/>
    <w:rsid w:val="3FB9069E"/>
    <w:rsid w:val="404B2CCA"/>
    <w:rsid w:val="40C87300"/>
    <w:rsid w:val="40CC4C98"/>
    <w:rsid w:val="40DB2F1A"/>
    <w:rsid w:val="40E86AD0"/>
    <w:rsid w:val="412A0391"/>
    <w:rsid w:val="41822A3C"/>
    <w:rsid w:val="41986562"/>
    <w:rsid w:val="419B0A41"/>
    <w:rsid w:val="41A14243"/>
    <w:rsid w:val="42266813"/>
    <w:rsid w:val="425C393A"/>
    <w:rsid w:val="42766019"/>
    <w:rsid w:val="42DF60A1"/>
    <w:rsid w:val="42E065B2"/>
    <w:rsid w:val="43325CA3"/>
    <w:rsid w:val="439606A6"/>
    <w:rsid w:val="444E6898"/>
    <w:rsid w:val="454B2E8C"/>
    <w:rsid w:val="46684AE5"/>
    <w:rsid w:val="468D54D4"/>
    <w:rsid w:val="46DA6570"/>
    <w:rsid w:val="47143D4D"/>
    <w:rsid w:val="4719348A"/>
    <w:rsid w:val="471A2F2B"/>
    <w:rsid w:val="488C11BE"/>
    <w:rsid w:val="48AD5C93"/>
    <w:rsid w:val="491D0032"/>
    <w:rsid w:val="492E5E12"/>
    <w:rsid w:val="49362F9B"/>
    <w:rsid w:val="49791B4E"/>
    <w:rsid w:val="49D97452"/>
    <w:rsid w:val="4A041389"/>
    <w:rsid w:val="4AEF50B0"/>
    <w:rsid w:val="4AFF25C4"/>
    <w:rsid w:val="4B7331C6"/>
    <w:rsid w:val="4C783D34"/>
    <w:rsid w:val="4CE34D8D"/>
    <w:rsid w:val="4D1A1628"/>
    <w:rsid w:val="4D3F7746"/>
    <w:rsid w:val="4E941937"/>
    <w:rsid w:val="4F7D4616"/>
    <w:rsid w:val="4F8635A0"/>
    <w:rsid w:val="5012249E"/>
    <w:rsid w:val="504C1EC4"/>
    <w:rsid w:val="50F2311D"/>
    <w:rsid w:val="51B06BDC"/>
    <w:rsid w:val="51BF41A4"/>
    <w:rsid w:val="51D7437A"/>
    <w:rsid w:val="523A17FA"/>
    <w:rsid w:val="528F2075"/>
    <w:rsid w:val="52B82474"/>
    <w:rsid w:val="531256C9"/>
    <w:rsid w:val="535F0BF5"/>
    <w:rsid w:val="53FB6255"/>
    <w:rsid w:val="546338CF"/>
    <w:rsid w:val="546C49F5"/>
    <w:rsid w:val="54C60BEE"/>
    <w:rsid w:val="551C361A"/>
    <w:rsid w:val="55286ABB"/>
    <w:rsid w:val="55A0169D"/>
    <w:rsid w:val="55C91EAF"/>
    <w:rsid w:val="55FC0542"/>
    <w:rsid w:val="565D073C"/>
    <w:rsid w:val="57070760"/>
    <w:rsid w:val="571B2EBF"/>
    <w:rsid w:val="57667D01"/>
    <w:rsid w:val="58050E77"/>
    <w:rsid w:val="581D7513"/>
    <w:rsid w:val="587B7B0B"/>
    <w:rsid w:val="58AB4C48"/>
    <w:rsid w:val="592341EB"/>
    <w:rsid w:val="5A6614FC"/>
    <w:rsid w:val="5B7F2DE8"/>
    <w:rsid w:val="5B8D22B5"/>
    <w:rsid w:val="5BB57781"/>
    <w:rsid w:val="5C891783"/>
    <w:rsid w:val="5CDA0654"/>
    <w:rsid w:val="5D0735F3"/>
    <w:rsid w:val="5E0D7FE8"/>
    <w:rsid w:val="5E1312BF"/>
    <w:rsid w:val="5E590704"/>
    <w:rsid w:val="5F48044B"/>
    <w:rsid w:val="5FFC79AC"/>
    <w:rsid w:val="600D2BFC"/>
    <w:rsid w:val="610C33B7"/>
    <w:rsid w:val="61FC4A2C"/>
    <w:rsid w:val="62127B2E"/>
    <w:rsid w:val="62410851"/>
    <w:rsid w:val="62F6451D"/>
    <w:rsid w:val="64924DCF"/>
    <w:rsid w:val="65EA6BA9"/>
    <w:rsid w:val="66BB559D"/>
    <w:rsid w:val="67475589"/>
    <w:rsid w:val="67C46F4D"/>
    <w:rsid w:val="67D87D67"/>
    <w:rsid w:val="67F9619F"/>
    <w:rsid w:val="68E2518D"/>
    <w:rsid w:val="697D5A94"/>
    <w:rsid w:val="69B205C1"/>
    <w:rsid w:val="6B305C0E"/>
    <w:rsid w:val="6BA41813"/>
    <w:rsid w:val="6C222A4A"/>
    <w:rsid w:val="6D3F01BF"/>
    <w:rsid w:val="6E746F8F"/>
    <w:rsid w:val="6E97740C"/>
    <w:rsid w:val="6EC26900"/>
    <w:rsid w:val="6F8C0033"/>
    <w:rsid w:val="6F920BA3"/>
    <w:rsid w:val="6FAE029C"/>
    <w:rsid w:val="70EF4DDC"/>
    <w:rsid w:val="713E3B96"/>
    <w:rsid w:val="725149E8"/>
    <w:rsid w:val="74D26A49"/>
    <w:rsid w:val="76043016"/>
    <w:rsid w:val="7733069F"/>
    <w:rsid w:val="774B0F2E"/>
    <w:rsid w:val="77963000"/>
    <w:rsid w:val="78862D5B"/>
    <w:rsid w:val="795F330F"/>
    <w:rsid w:val="7B19677D"/>
    <w:rsid w:val="7B1E3990"/>
    <w:rsid w:val="7B5A3590"/>
    <w:rsid w:val="7B6323B4"/>
    <w:rsid w:val="7B921D62"/>
    <w:rsid w:val="7BE20D76"/>
    <w:rsid w:val="7C1429DB"/>
    <w:rsid w:val="7C423F79"/>
    <w:rsid w:val="7C730EDD"/>
    <w:rsid w:val="7DC052C2"/>
    <w:rsid w:val="7EF60D69"/>
    <w:rsid w:val="7FEBA5AC"/>
    <w:rsid w:val="B6BF6B14"/>
    <w:rsid w:val="EF77CEE2"/>
    <w:rsid w:val="EF7F36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autoSpaceDE w:val="0"/>
      <w:autoSpaceDN w:val="0"/>
      <w:adjustRightInd w:val="0"/>
      <w:spacing w:line="480" w:lineRule="auto"/>
      <w:ind w:left="72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cp:lastPrinted>2022-10-18T18:09:00Z</cp:lastPrinted>
  <dcterms:modified xsi:type="dcterms:W3CDTF">2022-12-26T11:13:17Z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