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丽水市人民政府办公室</w:t>
      </w: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val="en-US" w:eastAsia="zh-CN"/>
        </w:rPr>
        <w:t>加强机制砂行业长效管理的</w:t>
      </w:r>
      <w:r>
        <w:rPr>
          <w:rFonts w:hint="eastAsia" w:ascii="方正小标宋简体" w:hAnsi="方正小标宋简体" w:eastAsia="方正小标宋简体" w:cs="方正小标宋简体"/>
          <w:b w:val="0"/>
          <w:bCs/>
          <w:sz w:val="44"/>
          <w:szCs w:val="44"/>
          <w:lang w:eastAsia="zh-CN"/>
        </w:rPr>
        <w:t>意见</w:t>
      </w: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的政策解读</w:t>
      </w:r>
    </w:p>
    <w:p>
      <w:pPr>
        <w:pStyle w:val="2"/>
        <w:jc w:val="both"/>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严格规范我市机制砂行业开发利用秩序，合法、高效利用砂石资源，结合2021年以来机制砂专项整治成果及当前全市机制砂行业存在矛盾和问题，建立有效规范的机制砂行业长效管理机制，促进全市机制砂行业健康有序发展，根据市领导要求，市自然资源和规划局草拟了《关于加强机制砂行业长效管理的意见》</w:t>
      </w:r>
      <w:r>
        <w:rPr>
          <w:rFonts w:hint="eastAsia" w:ascii="仿宋_GB2312" w:hAnsi="仿宋" w:eastAsia="仿宋_GB2312"/>
          <w:sz w:val="32"/>
          <w:szCs w:val="32"/>
          <w:lang w:eastAsia="zh-CN"/>
        </w:rPr>
        <w:t>（以下简称“</w:t>
      </w:r>
      <w:r>
        <w:rPr>
          <w:rFonts w:hint="eastAsia" w:ascii="仿宋_GB2312" w:hAnsi="仿宋_GB2312" w:eastAsia="仿宋_GB2312" w:cs="仿宋_GB2312"/>
          <w:b w:val="0"/>
          <w:bCs w:val="0"/>
          <w:sz w:val="32"/>
          <w:szCs w:val="32"/>
          <w:lang w:eastAsia="zh-CN"/>
        </w:rPr>
        <w:t>意见”</w:t>
      </w:r>
      <w:r>
        <w:rPr>
          <w:rFonts w:hint="eastAsia" w:ascii="仿宋_GB2312" w:hAnsi="仿宋" w:eastAsia="仿宋_GB2312"/>
          <w:sz w:val="32"/>
          <w:szCs w:val="32"/>
          <w:lang w:eastAsia="zh-CN"/>
        </w:rPr>
        <w:t>）</w:t>
      </w:r>
      <w:r>
        <w:rPr>
          <w:rFonts w:hint="eastAsia" w:ascii="仿宋" w:hAnsi="仿宋" w:eastAsia="仿宋"/>
          <w:sz w:val="32"/>
          <w:szCs w:val="32"/>
          <w:lang w:eastAsia="zh-CN"/>
        </w:rPr>
        <w:t>。</w:t>
      </w:r>
      <w:r>
        <w:rPr>
          <w:rFonts w:hint="default" w:ascii="Times New Roman" w:hAnsi="Times New Roman" w:eastAsia="仿宋_GB2312" w:cs="Times New Roman"/>
          <w:sz w:val="32"/>
          <w:szCs w:val="32"/>
          <w:lang w:eastAsia="zh-CN"/>
        </w:rPr>
        <w:t>现就</w:t>
      </w:r>
      <w:r>
        <w:rPr>
          <w:rFonts w:hint="eastAsia" w:eastAsia="仿宋_GB2312" w:cs="Times New Roman"/>
          <w:sz w:val="32"/>
          <w:szCs w:val="32"/>
          <w:lang w:eastAsia="zh-CN"/>
        </w:rPr>
        <w:t>“</w:t>
      </w:r>
      <w:r>
        <w:rPr>
          <w:rFonts w:hint="eastAsia" w:ascii="仿宋_GB2312" w:hAnsi="仿宋_GB2312" w:eastAsia="仿宋_GB2312" w:cs="仿宋_GB2312"/>
          <w:b w:val="0"/>
          <w:bCs w:val="0"/>
          <w:sz w:val="32"/>
          <w:szCs w:val="32"/>
          <w:lang w:eastAsia="zh-CN"/>
        </w:rPr>
        <w:t>意见</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lang w:eastAsia="zh-CN"/>
        </w:rPr>
        <w:t>事宜作如下说明：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sz w:val="32"/>
          <w:szCs w:val="32"/>
          <w:lang w:eastAsia="zh-CN"/>
        </w:rPr>
        <w:t>“</w:t>
      </w:r>
      <w:r>
        <w:rPr>
          <w:rFonts w:hint="eastAsia" w:ascii="黑体" w:hAnsi="黑体" w:eastAsia="黑体" w:cs="黑体"/>
          <w:b w:val="0"/>
          <w:bCs/>
          <w:sz w:val="32"/>
          <w:szCs w:val="32"/>
          <w:lang w:eastAsia="zh-CN"/>
        </w:rPr>
        <w:t>意见”制定的背景</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jc w:val="both"/>
        <w:textAlignment w:val="auto"/>
        <w:rPr>
          <w:rFonts w:hint="eastAsia" w:ascii="仿宋_GB2312" w:hAnsi="宋体" w:eastAsia="仿宋_GB2312"/>
          <w:sz w:val="32"/>
          <w:szCs w:val="32"/>
          <w:lang w:val="en-US" w:eastAsia="zh-CN"/>
        </w:rPr>
      </w:pPr>
      <w:r>
        <w:rPr>
          <w:rFonts w:hint="eastAsia" w:ascii="仿宋_GB2312" w:hAnsi="仿宋" w:eastAsia="仿宋_GB2312"/>
          <w:sz w:val="32"/>
          <w:szCs w:val="32"/>
          <w:lang w:val="en-US" w:eastAsia="zh-CN"/>
        </w:rPr>
        <w:t>2021年5月，</w:t>
      </w:r>
      <w:r>
        <w:rPr>
          <w:rFonts w:hint="eastAsia" w:ascii="仿宋_GB2312" w:hAnsi="宋体" w:eastAsia="仿宋_GB2312"/>
          <w:sz w:val="32"/>
          <w:szCs w:val="32"/>
        </w:rPr>
        <w:t>市政府成立了全市机制砂行业清查整治工作领导小组，集中开展清查整治行动</w:t>
      </w:r>
      <w:r>
        <w:rPr>
          <w:rFonts w:hint="eastAsia" w:ascii="仿宋_GB2312" w:hAnsi="仿宋" w:eastAsia="仿宋_GB2312"/>
          <w:sz w:val="32"/>
          <w:szCs w:val="32"/>
          <w:lang w:val="en-US" w:eastAsia="zh-CN"/>
        </w:rPr>
        <w:t>。</w:t>
      </w:r>
      <w:r>
        <w:rPr>
          <w:rFonts w:hint="eastAsia" w:ascii="仿宋_GB2312" w:hAnsi="宋体" w:eastAsia="仿宋_GB2312"/>
          <w:sz w:val="32"/>
          <w:szCs w:val="32"/>
          <w:lang w:val="en-US" w:eastAsia="zh-CN"/>
        </w:rPr>
        <w:t>通过此次清查整治，全市机制砂行业</w:t>
      </w:r>
      <w:r>
        <w:rPr>
          <w:rFonts w:hint="eastAsia" w:ascii="仿宋_GB2312" w:hAnsi="宋体" w:eastAsia="仿宋_GB2312"/>
          <w:sz w:val="32"/>
          <w:szCs w:val="32"/>
        </w:rPr>
        <w:t>规划布局得到优化</w:t>
      </w:r>
      <w:r>
        <w:rPr>
          <w:rFonts w:hint="eastAsia" w:ascii="仿宋_GB2312" w:hAnsi="宋体" w:eastAsia="仿宋_GB2312"/>
          <w:sz w:val="32"/>
          <w:szCs w:val="32"/>
          <w:lang w:eastAsia="zh-CN"/>
        </w:rPr>
        <w:t>、</w:t>
      </w:r>
      <w:r>
        <w:rPr>
          <w:rFonts w:hint="eastAsia" w:ascii="仿宋_GB2312" w:hAnsi="宋体" w:eastAsia="仿宋_GB2312"/>
          <w:sz w:val="32"/>
          <w:szCs w:val="32"/>
        </w:rPr>
        <w:t>制度方法创新</w:t>
      </w:r>
      <w:r>
        <w:rPr>
          <w:rFonts w:hint="eastAsia" w:ascii="仿宋_GB2312" w:hAnsi="宋体" w:eastAsia="仿宋_GB2312"/>
          <w:sz w:val="32"/>
          <w:szCs w:val="32"/>
          <w:lang w:val="en-US" w:eastAsia="zh-CN"/>
        </w:rPr>
        <w:t>得到</w:t>
      </w:r>
      <w:r>
        <w:rPr>
          <w:rFonts w:hint="eastAsia" w:ascii="仿宋_GB2312" w:hAnsi="宋体" w:eastAsia="仿宋_GB2312"/>
          <w:sz w:val="32"/>
          <w:szCs w:val="32"/>
        </w:rPr>
        <w:t>落地</w:t>
      </w:r>
      <w:r>
        <w:rPr>
          <w:rFonts w:hint="eastAsia" w:ascii="仿宋_GB2312" w:hAnsi="宋体" w:eastAsia="仿宋_GB2312"/>
          <w:sz w:val="32"/>
          <w:szCs w:val="32"/>
          <w:lang w:eastAsia="zh-CN"/>
        </w:rPr>
        <w:t>、</w:t>
      </w:r>
      <w:r>
        <w:rPr>
          <w:rFonts w:hint="eastAsia" w:ascii="仿宋_GB2312" w:hAnsi="宋体" w:eastAsia="仿宋_GB2312"/>
          <w:sz w:val="32"/>
          <w:szCs w:val="32"/>
        </w:rPr>
        <w:t>数字变革管理</w:t>
      </w:r>
      <w:r>
        <w:rPr>
          <w:rFonts w:hint="eastAsia" w:ascii="仿宋_GB2312" w:hAnsi="宋体" w:eastAsia="仿宋_GB2312"/>
          <w:sz w:val="32"/>
          <w:szCs w:val="32"/>
          <w:lang w:val="en-US" w:eastAsia="zh-CN"/>
        </w:rPr>
        <w:t>得到</w:t>
      </w:r>
      <w:r>
        <w:rPr>
          <w:rFonts w:hint="eastAsia" w:ascii="仿宋_GB2312" w:hAnsi="宋体" w:eastAsia="仿宋_GB2312"/>
          <w:sz w:val="32"/>
          <w:szCs w:val="32"/>
        </w:rPr>
        <w:t>重塑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但距离市政府要求还存在一定的差距。</w:t>
      </w:r>
      <w:r>
        <w:rPr>
          <w:rFonts w:hint="eastAsia" w:ascii="仿宋_GB2312" w:hAnsi="宋体" w:eastAsia="仿宋_GB2312"/>
          <w:sz w:val="32"/>
          <w:szCs w:val="32"/>
        </w:rPr>
        <w:t>问题</w:t>
      </w:r>
      <w:r>
        <w:rPr>
          <w:rFonts w:hint="eastAsia" w:ascii="仿宋_GB2312" w:hAnsi="宋体" w:eastAsia="仿宋_GB2312"/>
          <w:sz w:val="32"/>
          <w:szCs w:val="32"/>
          <w:lang w:val="en-US" w:eastAsia="zh-CN"/>
        </w:rPr>
        <w:t>整改未完全</w:t>
      </w:r>
      <w:r>
        <w:rPr>
          <w:rFonts w:hint="eastAsia" w:ascii="仿宋_GB2312" w:hAnsi="宋体" w:eastAsia="仿宋_GB2312"/>
          <w:sz w:val="32"/>
          <w:szCs w:val="32"/>
        </w:rPr>
        <w:t>销号，清查整治仍然繁重；砂石生产加工企业管理、砂石行业运输行为监管等制度</w:t>
      </w:r>
      <w:r>
        <w:rPr>
          <w:rFonts w:hint="eastAsia" w:ascii="仿宋_GB2312" w:hAnsi="宋体" w:eastAsia="仿宋_GB2312"/>
          <w:sz w:val="32"/>
          <w:szCs w:val="32"/>
          <w:lang w:val="en-US" w:eastAsia="zh-CN"/>
        </w:rPr>
        <w:t>未</w:t>
      </w:r>
      <w:r>
        <w:rPr>
          <w:rFonts w:hint="eastAsia" w:ascii="仿宋_GB2312" w:hAnsi="宋体" w:eastAsia="仿宋_GB2312"/>
          <w:sz w:val="32"/>
          <w:szCs w:val="32"/>
        </w:rPr>
        <w:t>出台；发现机制、管理机制、协调机</w:t>
      </w:r>
      <w:r>
        <w:rPr>
          <w:rFonts w:hint="eastAsia" w:ascii="仿宋_GB2312" w:hAnsi="仿宋_GB2312" w:eastAsia="仿宋_GB2312" w:cs="仿宋_GB2312"/>
          <w:kern w:val="0"/>
          <w:sz w:val="32"/>
          <w:szCs w:val="32"/>
        </w:rPr>
        <w:t>制、问责机制</w:t>
      </w:r>
      <w:r>
        <w:rPr>
          <w:rFonts w:hint="eastAsia" w:ascii="仿宋_GB2312" w:hAnsi="仿宋_GB2312" w:eastAsia="仿宋_GB2312" w:cs="仿宋_GB2312"/>
          <w:kern w:val="0"/>
          <w:sz w:val="32"/>
          <w:szCs w:val="32"/>
          <w:lang w:val="en-US" w:eastAsia="zh-CN"/>
        </w:rPr>
        <w:t>未</w:t>
      </w:r>
      <w:r>
        <w:rPr>
          <w:rFonts w:hint="eastAsia" w:ascii="仿宋_GB2312" w:hAnsi="仿宋_GB2312" w:eastAsia="仿宋_GB2312" w:cs="仿宋_GB2312"/>
          <w:kern w:val="0"/>
          <w:sz w:val="32"/>
          <w:szCs w:val="32"/>
        </w:rPr>
        <w:t>很好落实</w:t>
      </w:r>
      <w:r>
        <w:rPr>
          <w:rFonts w:hint="eastAsia" w:ascii="仿宋_GB2312" w:hAnsi="仿宋_GB2312" w:eastAsia="仿宋_GB2312" w:cs="仿宋_GB2312"/>
          <w:kern w:val="0"/>
          <w:sz w:val="32"/>
          <w:szCs w:val="32"/>
          <w:lang w:eastAsia="zh-CN"/>
        </w:rPr>
        <w:t>。</w:t>
      </w:r>
      <w:r>
        <w:rPr>
          <w:rFonts w:hint="eastAsia" w:ascii="仿宋_GB2312" w:hAnsi="宋体" w:eastAsia="仿宋_GB2312"/>
          <w:sz w:val="32"/>
          <w:szCs w:val="32"/>
          <w:lang w:val="en-US" w:eastAsia="zh-CN"/>
        </w:rPr>
        <w:t>为解决全市机制砂行业存在矛盾和问题，特制定我市机制砂长效管理的意见。</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b w:val="0"/>
          <w:bCs/>
          <w:sz w:val="32"/>
          <w:szCs w:val="32"/>
          <w:lang w:eastAsia="zh-CN"/>
        </w:rPr>
        <w:t>意见”</w:t>
      </w:r>
      <w:r>
        <w:rPr>
          <w:rFonts w:hint="eastAsia" w:ascii="黑体" w:hAnsi="黑体" w:eastAsia="黑体" w:cs="黑体"/>
          <w:sz w:val="32"/>
          <w:szCs w:val="32"/>
          <w:lang w:eastAsia="zh-CN"/>
        </w:rPr>
        <w:t>制定的必要性</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以习近平新时代中国特色社会主义思想和党的十九大精神为指导，深入贯彻落实习近平生态文明思想，按照跨越式高质量发展的要求，切实践行“绿水青山就是金山银山”的发展理念，通过建立机制砂行业长效管理制度，进一步厘清市、县两级人民政府及相关职能部门的职责分工，形成全市机制砂行业职能明确、责任清晰、监管有效的良好格局，</w:t>
      </w:r>
      <w:r>
        <w:rPr>
          <w:rFonts w:hint="eastAsia" w:ascii="Times New Roman" w:hAnsi="Times New Roman" w:eastAsia="仿宋_GB2312" w:cs="Times New Roman"/>
          <w:sz w:val="32"/>
          <w:szCs w:val="32"/>
          <w:lang w:val="en-US" w:eastAsia="zh-CN"/>
        </w:rPr>
        <w:t>进一步</w:t>
      </w:r>
      <w:r>
        <w:rPr>
          <w:rFonts w:hint="eastAsia" w:ascii="Times New Roman" w:hAnsi="Times New Roman" w:eastAsia="仿宋_GB2312" w:cs="Times New Roman"/>
          <w:sz w:val="32"/>
          <w:szCs w:val="32"/>
          <w:lang w:eastAsia="zh-CN"/>
        </w:rPr>
        <w:t>有效整治我市机制砂低、小、散的行业现状，遏制机制砂行业乱象，从而</w:t>
      </w:r>
      <w:r>
        <w:rPr>
          <w:rFonts w:hint="eastAsia" w:ascii="Times New Roman" w:hAnsi="Times New Roman" w:eastAsia="仿宋_GB2312" w:cs="Times New Roman"/>
          <w:sz w:val="32"/>
          <w:szCs w:val="32"/>
          <w:lang w:val="en-US" w:eastAsia="zh-CN"/>
        </w:rPr>
        <w:t>优化产销布局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构建供需平衡、价格合理、绿色环保、优质高效的机制砂产业体系</w:t>
      </w:r>
      <w:r>
        <w:rPr>
          <w:rFonts w:hint="eastAsia" w:ascii="Times New Roman" w:hAnsi="Times New Roman" w:eastAsia="仿宋_GB2312" w:cs="Times New Roman"/>
          <w:sz w:val="32"/>
          <w:szCs w:val="32"/>
          <w:lang w:eastAsia="zh-CN"/>
        </w:rPr>
        <w:t>，促进机制砂行业高质量绿色发展，为全市经济发展提供资源保障。</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b w:val="0"/>
          <w:bCs/>
          <w:sz w:val="32"/>
          <w:szCs w:val="32"/>
          <w:lang w:eastAsia="zh-CN"/>
        </w:rPr>
        <w:t>意见”</w:t>
      </w:r>
      <w:r>
        <w:rPr>
          <w:rFonts w:hint="eastAsia" w:ascii="黑体" w:hAnsi="黑体" w:eastAsia="黑体" w:cs="黑体"/>
          <w:b w:val="0"/>
          <w:bCs w:val="0"/>
          <w:sz w:val="32"/>
          <w:szCs w:val="32"/>
          <w:lang w:eastAsia="zh-CN"/>
        </w:rPr>
        <w:t>制定的总体思路</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0" w:firstLineChars="200"/>
        <w:jc w:val="both"/>
        <w:textAlignment w:val="auto"/>
        <w:rPr>
          <w:rFonts w:hint="eastAsia" w:ascii="黑体" w:hAnsi="黑体" w:eastAsia="黑体" w:cs="黑体"/>
          <w:sz w:val="32"/>
          <w:szCs w:val="32"/>
          <w:lang w:eastAsia="zh-CN"/>
        </w:rPr>
      </w:pPr>
      <w:r>
        <w:rPr>
          <w:rFonts w:hint="eastAsia" w:ascii="Times New Roman" w:hAnsi="Times New Roman" w:eastAsia="仿宋_GB2312" w:cs="Times New Roman"/>
          <w:sz w:val="32"/>
          <w:szCs w:val="32"/>
          <w:lang w:eastAsia="zh-CN"/>
        </w:rPr>
        <w:t>全面落实</w:t>
      </w:r>
      <w:r>
        <w:rPr>
          <w:rFonts w:hint="eastAsia" w:ascii="Times New Roman" w:hAnsi="Times New Roman" w:eastAsia="仿宋_GB2312" w:cs="Times New Roman"/>
          <w:sz w:val="32"/>
          <w:szCs w:val="32"/>
          <w:lang w:val="en-US" w:eastAsia="zh-CN"/>
        </w:rPr>
        <w:t>市领导在全市机制砂行业清查整治工作总结会议讲话</w:t>
      </w:r>
      <w:r>
        <w:rPr>
          <w:rFonts w:hint="default" w:ascii="Times New Roman" w:hAnsi="Times New Roman" w:eastAsia="仿宋_GB2312" w:cs="Times New Roman"/>
          <w:sz w:val="32"/>
          <w:szCs w:val="32"/>
          <w:lang w:eastAsia="zh-CN"/>
        </w:rPr>
        <w:t>精神。</w:t>
      </w:r>
      <w:r>
        <w:rPr>
          <w:rFonts w:hint="eastAsia" w:ascii="仿宋_GB2312" w:eastAsia="仿宋_GB2312"/>
          <w:sz w:val="32"/>
          <w:szCs w:val="32"/>
          <w:lang w:eastAsia="zh-CN"/>
        </w:rPr>
        <w:t>实行“多规合一”，</w:t>
      </w:r>
      <w:r>
        <w:rPr>
          <w:rFonts w:hint="eastAsia" w:ascii="仿宋_GB2312" w:eastAsia="仿宋_GB2312"/>
          <w:sz w:val="32"/>
          <w:szCs w:val="32"/>
          <w:lang w:val="en-US" w:eastAsia="zh-CN"/>
        </w:rPr>
        <w:t>建立起“十四五”砂石资源的开发与保护格局</w:t>
      </w:r>
      <w:r>
        <w:rPr>
          <w:rFonts w:hint="eastAsia" w:ascii="仿宋_GB2312" w:eastAsia="仿宋_GB2312"/>
          <w:sz w:val="32"/>
          <w:szCs w:val="32"/>
          <w:lang w:eastAsia="zh-CN"/>
        </w:rPr>
        <w:t>，强化《国土空间总体规划》对《机制砂行业规划》的指导和约束。坚持生态优先的原则，强化砂石资源开采、加工等环节的生态环境保护与治理。</w:t>
      </w:r>
      <w:r>
        <w:rPr>
          <w:rFonts w:hint="eastAsia" w:ascii="仿宋_GB2312" w:eastAsia="仿宋_GB2312"/>
          <w:sz w:val="32"/>
          <w:szCs w:val="32"/>
          <w:lang w:val="en-US" w:eastAsia="zh-CN"/>
        </w:rPr>
        <w:t>落实常态监管，强化数字化成果应用，构建横向多跨协同、纵向市县联动的大统筹治理格局。实施建设项目工程自用多余砂石资源（矿产品）按照国有资产管理。</w:t>
      </w:r>
    </w:p>
    <w:p>
      <w:pPr>
        <w:keepNext w:val="0"/>
        <w:keepLines w:val="0"/>
        <w:pageBreakBefore w:val="0"/>
        <w:widowControl w:val="0"/>
        <w:numPr>
          <w:ilvl w:val="0"/>
          <w:numId w:val="1"/>
        </w:numPr>
        <w:kinsoku/>
        <w:overflowPunct/>
        <w:topLinePunct w:val="0"/>
        <w:autoSpaceDE/>
        <w:autoSpaceDN/>
        <w:bidi w:val="0"/>
        <w:adjustRightInd/>
        <w:spacing w:line="540" w:lineRule="exact"/>
        <w:ind w:left="640" w:leftChars="0"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“意见”</w:t>
      </w:r>
      <w:r>
        <w:rPr>
          <w:rFonts w:hint="eastAsia" w:ascii="黑体" w:hAnsi="黑体" w:eastAsia="黑体" w:cs="黑体"/>
          <w:sz w:val="32"/>
          <w:szCs w:val="32"/>
          <w:lang w:eastAsia="zh-CN"/>
        </w:rPr>
        <w:t>制定的过程</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为严格规范我市机制砂行业开发利用秩序，合法、高效利用砂石资源，</w:t>
      </w:r>
      <w:r>
        <w:rPr>
          <w:rFonts w:hint="eastAsia" w:ascii="仿宋_GB2312" w:hAnsi="仿宋_GB2312" w:eastAsia="仿宋_GB2312" w:cs="仿宋_GB2312"/>
          <w:sz w:val="32"/>
          <w:szCs w:val="32"/>
          <w:lang w:eastAsia="zh-CN"/>
        </w:rPr>
        <w:t>市自然资源局根据市政府领导批示精神，草拟了本“</w:t>
      </w:r>
      <w:r>
        <w:rPr>
          <w:rFonts w:hint="eastAsia" w:ascii="仿宋_GB2312" w:hAnsi="仿宋_GB2312" w:eastAsia="仿宋_GB2312" w:cs="仿宋_GB2312"/>
          <w:b w:val="0"/>
          <w:bCs/>
          <w:sz w:val="32"/>
          <w:szCs w:val="32"/>
          <w:lang w:eastAsia="zh-CN"/>
        </w:rPr>
        <w:t>意见”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在制定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sz w:val="32"/>
          <w:szCs w:val="32"/>
          <w:lang w:eastAsia="zh-CN"/>
        </w:rPr>
        <w:t>意见”</w:t>
      </w:r>
      <w:r>
        <w:rPr>
          <w:rFonts w:hint="eastAsia" w:ascii="仿宋_GB2312" w:hAnsi="仿宋_GB2312" w:eastAsia="仿宋_GB2312" w:cs="仿宋_GB2312"/>
          <w:sz w:val="32"/>
          <w:szCs w:val="32"/>
          <w:lang w:eastAsia="zh-CN"/>
        </w:rPr>
        <w:t>过程中，市自然资源</w:t>
      </w:r>
      <w:r>
        <w:rPr>
          <w:rFonts w:hint="eastAsia" w:ascii="仿宋_GB2312" w:hAnsi="仿宋_GB2312" w:eastAsia="仿宋_GB2312" w:cs="仿宋_GB2312"/>
          <w:sz w:val="32"/>
          <w:szCs w:val="32"/>
          <w:lang w:val="en-US" w:eastAsia="zh-CN"/>
        </w:rPr>
        <w:t>和规划</w:t>
      </w:r>
      <w:r>
        <w:rPr>
          <w:rFonts w:hint="eastAsia" w:ascii="仿宋_GB2312" w:hAnsi="仿宋_GB2312" w:eastAsia="仿宋_GB2312" w:cs="仿宋_GB2312"/>
          <w:sz w:val="32"/>
          <w:szCs w:val="32"/>
          <w:lang w:eastAsia="zh-CN"/>
        </w:rPr>
        <w:t>局成立起草工作专班，多次</w:t>
      </w:r>
      <w:r>
        <w:rPr>
          <w:rFonts w:hint="eastAsia" w:ascii="仿宋_GB2312" w:hAnsi="仿宋_GB2312" w:eastAsia="仿宋_GB2312" w:cs="仿宋_GB2312"/>
          <w:sz w:val="32"/>
          <w:szCs w:val="32"/>
          <w:lang w:val="en-US" w:eastAsia="zh-CN"/>
        </w:rPr>
        <w:t>召开</w:t>
      </w:r>
      <w:r>
        <w:rPr>
          <w:rFonts w:hint="eastAsia" w:ascii="仿宋_GB2312" w:hAnsi="仿宋_GB2312" w:eastAsia="仿宋_GB2312" w:cs="仿宋_GB2312"/>
          <w:sz w:val="32"/>
          <w:szCs w:val="32"/>
          <w:lang w:eastAsia="zh-CN"/>
        </w:rPr>
        <w:t>专题会议研究。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sz w:val="32"/>
          <w:szCs w:val="32"/>
          <w:lang w:eastAsia="zh-CN"/>
        </w:rPr>
        <w:t>意见”</w:t>
      </w:r>
      <w:r>
        <w:rPr>
          <w:rFonts w:hint="eastAsia" w:ascii="仿宋_GB2312" w:hAnsi="仿宋_GB2312" w:eastAsia="仿宋_GB2312" w:cs="仿宋_GB2312"/>
          <w:sz w:val="32"/>
          <w:szCs w:val="32"/>
          <w:lang w:eastAsia="zh-CN"/>
        </w:rPr>
        <w:t>成稿后，市自然资源局书面向市政府作了反馈汇报，征求</w:t>
      </w:r>
      <w:r>
        <w:rPr>
          <w:rFonts w:hint="eastAsia" w:ascii="仿宋_GB2312" w:hAnsi="仿宋_GB2312" w:eastAsia="仿宋_GB2312" w:cs="仿宋_GB2312"/>
          <w:color w:val="000000"/>
          <w:sz w:val="32"/>
          <w:szCs w:val="32"/>
          <w:lang w:eastAsia="zh-CN"/>
        </w:rPr>
        <w:t>各县（市、区）人民政府、丽水开发区管委会，</w:t>
      </w:r>
      <w:r>
        <w:rPr>
          <w:rFonts w:hint="eastAsia" w:ascii="仿宋_GB2312" w:hAnsi="仿宋_GB2312" w:eastAsia="仿宋_GB2312" w:cs="仿宋_GB2312"/>
          <w:sz w:val="32"/>
          <w:szCs w:val="32"/>
          <w:lang w:val="en-US" w:eastAsia="zh-CN"/>
        </w:rPr>
        <w:t>市发改委、经信局、公安局、财政局、生态环境局、建设局、交通运输局、水利局、农业农村局、应急管理局、市场监管局、综合行政执法局、大数据局、林业局、税务局、电业局等有关单位意见，</w:t>
      </w:r>
      <w:r>
        <w:rPr>
          <w:rFonts w:hint="eastAsia" w:ascii="仿宋_GB2312" w:hAnsi="仿宋_GB2312" w:eastAsia="仿宋_GB2312" w:cs="仿宋_GB2312"/>
          <w:sz w:val="32"/>
          <w:szCs w:val="32"/>
          <w:lang w:eastAsia="zh-CN"/>
        </w:rPr>
        <w:t>集思广益，充分论证，确保《意见》内容合法合规、有效管用。</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3月初，</w:t>
      </w:r>
      <w:r>
        <w:rPr>
          <w:rFonts w:hint="eastAsia" w:ascii="Times New Roman" w:hAnsi="Times New Roman" w:eastAsia="仿宋_GB2312" w:cs="Times New Roman"/>
          <w:sz w:val="32"/>
          <w:szCs w:val="32"/>
          <w:lang w:eastAsia="zh-CN"/>
        </w:rPr>
        <w:t>初稿形成后，全面征求局内部意见，形成征求意见稿。</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3月中旬，书面</w:t>
      </w:r>
      <w:r>
        <w:rPr>
          <w:rFonts w:hint="eastAsia" w:ascii="Times New Roman" w:hAnsi="Times New Roman" w:eastAsia="仿宋_GB2312" w:cs="Times New Roman"/>
          <w:sz w:val="32"/>
          <w:szCs w:val="32"/>
          <w:lang w:eastAsia="zh-CN"/>
        </w:rPr>
        <w:t>征求各县（市、区）人民政府、丽水开发区管委会，</w:t>
      </w:r>
      <w:r>
        <w:rPr>
          <w:rFonts w:hint="eastAsia" w:ascii="Times New Roman" w:hAnsi="Times New Roman" w:eastAsia="仿宋_GB2312" w:cs="Times New Roman"/>
          <w:sz w:val="32"/>
          <w:szCs w:val="32"/>
          <w:lang w:val="en-US" w:eastAsia="zh-CN"/>
        </w:rPr>
        <w:t>市发改委、经信局、公安局、财政局、生态环境局、建设局、交通运输局、水利局、林业局、农业农村局、应急管理局、市场监管局、综合行政执法局、大数据局、税务局、电业局等有关部门（单位）意见，共收集反馈意见42条，采纳26条，未采纳16条。</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3月下旬，网络公开广泛征求各相关单位和广大市民意见和建议，未收到反馈意见，形成审查意见稿。</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4月中旬，我局对该《意见》进行了法制审查，并经</w:t>
      </w:r>
      <w:r>
        <w:rPr>
          <w:rFonts w:hint="eastAsia" w:ascii="仿宋_GB2312" w:hAnsi="仿宋_GB2312" w:eastAsia="仿宋_GB2312" w:cs="仿宋_GB2312"/>
          <w:i w:val="0"/>
          <w:iCs w:val="0"/>
          <w:caps w:val="0"/>
          <w:color w:val="171A1D"/>
          <w:spacing w:val="0"/>
          <w:sz w:val="32"/>
          <w:szCs w:val="32"/>
          <w:shd w:val="clear" w:color="auto" w:fill="FFFFFF"/>
          <w:lang w:val="en-US" w:eastAsia="zh-CN"/>
        </w:rPr>
        <w:t>局领导书面审议</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5月中旬，市司法局对该《意见》进行了司法审查，提出11条修改建议，均采纳。</w:t>
      </w:r>
    </w:p>
    <w:p>
      <w:pPr>
        <w:pStyle w:val="2"/>
        <w:rPr>
          <w:rFonts w:hint="eastAsia" w:ascii="仿宋_GB2312" w:hAnsi="仿宋_GB2312" w:eastAsia="仿宋_GB2312" w:cs="仿宋_GB2312"/>
          <w:lang w:val="en-US" w:eastAsia="zh-CN"/>
        </w:rPr>
      </w:pPr>
      <w:r>
        <w:rPr>
          <w:rFonts w:hint="eastAsia" w:cs="Times New Roman"/>
          <w:sz w:val="32"/>
          <w:szCs w:val="32"/>
          <w:lang w:val="en-US" w:eastAsia="zh-CN"/>
        </w:rPr>
        <w:t>5月底，经局长办公会议研究通过，形成送审稿。</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640" w:leftChars="0" w:firstLine="0" w:firstLineChars="0"/>
        <w:jc w:val="both"/>
        <w:textAlignment w:val="auto"/>
        <w:rPr>
          <w:rFonts w:hint="eastAsia" w:ascii="黑体" w:hAnsi="黑体" w:eastAsia="黑体" w:cs="黑体"/>
          <w:b w:val="0"/>
          <w:bCs w:val="0"/>
          <w:sz w:val="32"/>
          <w:szCs w:val="32"/>
          <w:lang w:eastAsia="zh-CN"/>
        </w:rPr>
      </w:pPr>
      <w:r>
        <w:rPr>
          <w:rFonts w:hint="eastAsia" w:ascii="黑体" w:hAnsi="黑体" w:eastAsia="黑体" w:cs="黑体"/>
          <w:b/>
          <w:bCs/>
          <w:sz w:val="32"/>
          <w:szCs w:val="32"/>
          <w:lang w:eastAsia="zh-CN"/>
        </w:rPr>
        <w:t>“</w:t>
      </w:r>
      <w:r>
        <w:rPr>
          <w:rFonts w:hint="eastAsia" w:ascii="仿宋_GB2312" w:hAnsi="仿宋_GB2312" w:eastAsia="仿宋_GB2312" w:cs="仿宋_GB2312"/>
          <w:b/>
          <w:bCs/>
          <w:sz w:val="32"/>
          <w:szCs w:val="32"/>
          <w:lang w:eastAsia="zh-CN"/>
        </w:rPr>
        <w:t>意见</w:t>
      </w:r>
      <w:r>
        <w:rPr>
          <w:rFonts w:hint="eastAsia" w:ascii="黑体" w:hAnsi="黑体" w:eastAsia="黑体" w:cs="黑体"/>
          <w:b/>
          <w:bCs/>
          <w:sz w:val="32"/>
          <w:szCs w:val="32"/>
          <w:lang w:eastAsia="zh-CN"/>
        </w:rPr>
        <w:t>”</w:t>
      </w:r>
      <w:r>
        <w:rPr>
          <w:rFonts w:hint="eastAsia" w:ascii="黑体" w:hAnsi="黑体" w:eastAsia="黑体" w:cs="黑体"/>
          <w:b w:val="0"/>
          <w:bCs w:val="0"/>
          <w:sz w:val="32"/>
          <w:szCs w:val="32"/>
          <w:lang w:eastAsia="zh-CN"/>
        </w:rPr>
        <w:t>的主要内容及条款说明</w:t>
      </w:r>
    </w:p>
    <w:p>
      <w:pPr>
        <w:keepNext w:val="0"/>
        <w:keepLines w:val="0"/>
        <w:pageBreakBefore w:val="0"/>
        <w:widowControl w:val="0"/>
        <w:kinsoku/>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（一）总体目标：</w:t>
      </w:r>
      <w:r>
        <w:rPr>
          <w:rFonts w:hint="eastAsia" w:ascii="Times New Roman" w:hAnsi="Times New Roman" w:eastAsia="仿宋_GB2312" w:cs="Times New Roman"/>
          <w:sz w:val="32"/>
          <w:szCs w:val="32"/>
          <w:lang w:eastAsia="zh-CN"/>
        </w:rPr>
        <w:t>以习近平新时代中国特色社会主义思想和党的十九大精神为指导，深入贯彻落实习近平生态文明思想，按照跨越式高质量发展的要求，切实践行“绿水青山就是金山银山”的发展理念，通过建立机制砂行业长效管理制度，进一步厘清市、县两级人民政府及相关职能部门的职责分工，形成全市机制砂行业职能明确、责任清晰、监管有效的良好格局。</w:t>
      </w:r>
    </w:p>
    <w:p>
      <w:pPr>
        <w:keepNext w:val="0"/>
        <w:keepLines w:val="0"/>
        <w:pageBreakBefore w:val="0"/>
        <w:widowControl w:val="0"/>
        <w:kinsoku/>
        <w:overflowPunct/>
        <w:topLinePunct w:val="0"/>
        <w:autoSpaceDE/>
        <w:autoSpaceDN/>
        <w:bidi w:val="0"/>
        <w:adjustRightInd/>
        <w:snapToGrid w:val="0"/>
        <w:spacing w:line="540" w:lineRule="exact"/>
        <w:ind w:firstLine="64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bCs/>
          <w:sz w:val="32"/>
          <w:szCs w:val="32"/>
          <w:lang w:val="en-US" w:eastAsia="zh-CN"/>
        </w:rPr>
        <w:t>（二）管理范围。</w:t>
      </w:r>
      <w:r>
        <w:rPr>
          <w:rFonts w:hint="eastAsia" w:ascii="Times New Roman" w:hAnsi="Times New Roman" w:eastAsia="仿宋_GB2312" w:cs="Times New Roman"/>
          <w:sz w:val="32"/>
          <w:szCs w:val="32"/>
          <w:lang w:val="en-US" w:eastAsia="zh-CN"/>
        </w:rPr>
        <w:t>一是</w:t>
      </w:r>
      <w:r>
        <w:rPr>
          <w:rFonts w:hint="eastAsia" w:ascii="Times New Roman" w:hAnsi="Times New Roman" w:eastAsia="仿宋_GB2312" w:cs="Times New Roman"/>
          <w:sz w:val="32"/>
          <w:szCs w:val="32"/>
          <w:lang w:eastAsia="zh-CN"/>
        </w:rPr>
        <w:t>建筑用石料矿山砂石资源的</w:t>
      </w:r>
      <w:r>
        <w:rPr>
          <w:rFonts w:hint="eastAsia" w:ascii="Times New Roman" w:hAnsi="Times New Roman" w:eastAsia="仿宋_GB2312" w:cs="Times New Roman"/>
          <w:sz w:val="32"/>
          <w:szCs w:val="32"/>
          <w:lang w:val="en-US" w:eastAsia="zh-CN"/>
        </w:rPr>
        <w:t>出让、</w:t>
      </w:r>
      <w:r>
        <w:rPr>
          <w:rFonts w:hint="eastAsia" w:ascii="Times New Roman" w:hAnsi="Times New Roman" w:eastAsia="仿宋_GB2312" w:cs="Times New Roman"/>
          <w:sz w:val="32"/>
          <w:szCs w:val="32"/>
          <w:lang w:eastAsia="zh-CN"/>
        </w:rPr>
        <w:t>开采、加工</w:t>
      </w:r>
      <w:r>
        <w:rPr>
          <w:rFonts w:hint="eastAsia" w:ascii="Times New Roman" w:hAnsi="Times New Roman" w:eastAsia="仿宋_GB2312" w:cs="Times New Roman"/>
          <w:sz w:val="32"/>
          <w:szCs w:val="32"/>
          <w:lang w:val="en-US" w:eastAsia="zh-CN"/>
        </w:rPr>
        <w:t>销售、运输</w:t>
      </w:r>
      <w:r>
        <w:rPr>
          <w:rFonts w:hint="eastAsia" w:ascii="Times New Roman" w:hAnsi="Times New Roman" w:eastAsia="仿宋_GB2312" w:cs="Times New Roman"/>
          <w:sz w:val="32"/>
          <w:szCs w:val="32"/>
          <w:lang w:eastAsia="zh-CN"/>
        </w:rPr>
        <w:t>。二是指已取得立项批准文件的隧道或地下空间工程和建设项目在批准用地红线范围内，</w:t>
      </w:r>
      <w:r>
        <w:rPr>
          <w:rFonts w:hint="eastAsia" w:ascii="Times New Roman" w:hAnsi="Times New Roman" w:eastAsia="仿宋_GB2312" w:cs="Times New Roman"/>
          <w:sz w:val="32"/>
          <w:szCs w:val="32"/>
          <w:lang w:val="en-US" w:eastAsia="zh-CN"/>
        </w:rPr>
        <w:t>因施工需要在建设工期内开采、自用及自用外多余砂</w:t>
      </w:r>
      <w:r>
        <w:rPr>
          <w:rFonts w:hint="eastAsia" w:ascii="Times New Roman" w:hAnsi="Times New Roman" w:eastAsia="仿宋_GB2312" w:cs="Times New Roman"/>
          <w:sz w:val="32"/>
          <w:szCs w:val="32"/>
          <w:lang w:eastAsia="zh-CN"/>
        </w:rPr>
        <w:t>石资源（</w:t>
      </w:r>
      <w:r>
        <w:rPr>
          <w:rFonts w:hint="eastAsia" w:ascii="Times New Roman" w:hAnsi="Times New Roman" w:eastAsia="仿宋_GB2312" w:cs="Times New Roman"/>
          <w:sz w:val="32"/>
          <w:szCs w:val="32"/>
          <w:lang w:val="en-US" w:eastAsia="zh-CN"/>
        </w:rPr>
        <w:t>矿产品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的出让</w:t>
      </w:r>
      <w:r>
        <w:rPr>
          <w:rFonts w:hint="eastAsia" w:ascii="Times New Roman" w:hAnsi="Times New Roman" w:eastAsia="仿宋_GB2312" w:cs="Times New Roman"/>
          <w:sz w:val="32"/>
          <w:szCs w:val="32"/>
          <w:lang w:eastAsia="zh-CN"/>
        </w:rPr>
        <w:t>。三是矿山采掘工程综合回收利用</w:t>
      </w:r>
      <w:r>
        <w:rPr>
          <w:rFonts w:hint="eastAsia" w:ascii="Times New Roman" w:hAnsi="Times New Roman" w:eastAsia="仿宋_GB2312" w:cs="Times New Roman"/>
          <w:sz w:val="32"/>
          <w:szCs w:val="32"/>
          <w:lang w:val="en-US" w:eastAsia="zh-CN"/>
        </w:rPr>
        <w:t>废石、矿碴和尾矿等</w:t>
      </w:r>
      <w:r>
        <w:rPr>
          <w:rFonts w:hint="eastAsia" w:ascii="Times New Roman" w:hAnsi="Times New Roman" w:eastAsia="仿宋_GB2312" w:cs="Times New Roman"/>
          <w:sz w:val="32"/>
          <w:szCs w:val="32"/>
          <w:lang w:eastAsia="zh-CN"/>
        </w:rPr>
        <w:t>砂石资源（</w:t>
      </w:r>
      <w:r>
        <w:rPr>
          <w:rFonts w:hint="eastAsia" w:ascii="Times New Roman" w:hAnsi="Times New Roman" w:eastAsia="仿宋_GB2312" w:cs="Times New Roman"/>
          <w:sz w:val="32"/>
          <w:szCs w:val="32"/>
          <w:lang w:val="en-US" w:eastAsia="zh-CN"/>
        </w:rPr>
        <w:t>矿产品</w:t>
      </w:r>
      <w:r>
        <w:rPr>
          <w:rFonts w:hint="eastAsia" w:ascii="Times New Roman" w:hAnsi="Times New Roman" w:eastAsia="仿宋_GB2312" w:cs="Times New Roman"/>
          <w:sz w:val="32"/>
          <w:szCs w:val="32"/>
          <w:lang w:eastAsia="zh-CN"/>
        </w:rPr>
        <w:t>）的开采、加工</w:t>
      </w:r>
      <w:r>
        <w:rPr>
          <w:rFonts w:hint="eastAsia" w:ascii="Times New Roman" w:hAnsi="Times New Roman" w:eastAsia="仿宋_GB2312" w:cs="Times New Roman"/>
          <w:sz w:val="32"/>
          <w:szCs w:val="32"/>
          <w:lang w:val="en-US" w:eastAsia="zh-CN"/>
        </w:rPr>
        <w:t>销售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运输</w:t>
      </w:r>
      <w:r>
        <w:rPr>
          <w:rFonts w:hint="eastAsia" w:ascii="Times New Roman" w:hAnsi="Times New Roman" w:eastAsia="仿宋_GB2312" w:cs="Times New Roman"/>
          <w:sz w:val="32"/>
          <w:szCs w:val="32"/>
          <w:lang w:eastAsia="zh-CN"/>
        </w:rPr>
        <w:t>。</w:t>
      </w:r>
    </w:p>
    <w:p>
      <w:pPr>
        <w:pStyle w:val="5"/>
        <w:pageBreakBefore w:val="0"/>
        <w:widowControl w:val="0"/>
        <w:kinsoku/>
        <w:wordWrap/>
        <w:overflowPunct/>
        <w:topLinePunct w:val="0"/>
        <w:autoSpaceDE/>
        <w:autoSpaceDN/>
        <w:bidi w:val="0"/>
        <w:adjustRightInd/>
        <w:spacing w:line="560" w:lineRule="exact"/>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bCs/>
          <w:sz w:val="32"/>
          <w:szCs w:val="32"/>
          <w:lang w:val="en-US" w:eastAsia="zh-CN"/>
        </w:rPr>
        <w:t>（三）职能职责。</w:t>
      </w:r>
      <w:r>
        <w:rPr>
          <w:rFonts w:hint="eastAsia" w:ascii="仿宋_GB2312" w:hAnsi="仿宋_GB2312" w:eastAsia="仿宋_GB2312" w:cs="仿宋_GB2312"/>
          <w:kern w:val="2"/>
          <w:sz w:val="32"/>
          <w:szCs w:val="32"/>
          <w:lang w:val="en-US" w:eastAsia="zh-CN" w:bidi="ar-SA"/>
        </w:rPr>
        <w:t>一是市</w:t>
      </w:r>
      <w:r>
        <w:rPr>
          <w:rFonts w:hint="eastAsia" w:ascii="仿宋_GB2312" w:hAnsi="仿宋_GB2312" w:cs="仿宋_GB2312"/>
          <w:kern w:val="2"/>
          <w:sz w:val="32"/>
          <w:szCs w:val="32"/>
          <w:lang w:val="en-US" w:eastAsia="zh-CN" w:bidi="ar-SA"/>
        </w:rPr>
        <w:t>人民</w:t>
      </w:r>
      <w:r>
        <w:rPr>
          <w:rFonts w:hint="eastAsia" w:ascii="仿宋_GB2312" w:hAnsi="仿宋_GB2312" w:eastAsia="仿宋_GB2312" w:cs="仿宋_GB2312"/>
          <w:kern w:val="2"/>
          <w:sz w:val="32"/>
          <w:szCs w:val="32"/>
          <w:lang w:val="en-US" w:eastAsia="zh-CN" w:bidi="ar-SA"/>
        </w:rPr>
        <w:t>政府负责统筹、协调和指导全市机制砂行业日常监管及“云砂管”应用场景的运行。</w:t>
      </w:r>
      <w:r>
        <w:rPr>
          <w:rFonts w:hint="eastAsia" w:ascii="仿宋_GB2312" w:hAnsi="仿宋_GB2312" w:cs="仿宋_GB2312"/>
          <w:kern w:val="2"/>
          <w:sz w:val="32"/>
          <w:szCs w:val="32"/>
          <w:lang w:val="en-US" w:eastAsia="zh-CN" w:bidi="ar-SA"/>
        </w:rPr>
        <w:t>二是县级人民政府</w:t>
      </w:r>
      <w:r>
        <w:rPr>
          <w:rFonts w:hint="eastAsia" w:ascii="仿宋_GB2312" w:hAnsi="仿宋_GB2312" w:eastAsia="仿宋_GB2312" w:cs="仿宋_GB2312"/>
          <w:kern w:val="2"/>
          <w:sz w:val="32"/>
          <w:szCs w:val="32"/>
          <w:lang w:val="en-US" w:eastAsia="zh-CN" w:bidi="ar-SA"/>
        </w:rPr>
        <w:t>履行好机制砂行业属地管理主体责任，加强统一领导，建立健全机制砂行业管理机制，对本辖区范围内机制砂行业实行全流程闭环式管理。</w:t>
      </w:r>
      <w:r>
        <w:rPr>
          <w:rFonts w:hint="eastAsia" w:ascii="仿宋_GB2312" w:hAnsi="仿宋_GB2312" w:cs="仿宋_GB2312"/>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机制砂行业管理涉及</w:t>
      </w:r>
      <w:r>
        <w:rPr>
          <w:rFonts w:hint="eastAsia" w:ascii="仿宋_GB2312" w:hAnsi="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17个有关主管部门</w:t>
      </w:r>
      <w:r>
        <w:rPr>
          <w:rFonts w:hint="eastAsia" w:ascii="仿宋_GB2312" w:hAnsi="仿宋_GB2312" w:cs="仿宋_GB2312"/>
          <w:kern w:val="2"/>
          <w:sz w:val="32"/>
          <w:szCs w:val="32"/>
          <w:lang w:val="en-US" w:eastAsia="zh-CN" w:bidi="ar-SA"/>
        </w:rPr>
        <w:t>按照做好相关工作。</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（四）工作要求。</w:t>
      </w:r>
      <w:r>
        <w:rPr>
          <w:rFonts w:hint="eastAsia" w:ascii="仿宋_GB2312" w:hAnsi="仿宋_GB2312" w:eastAsia="仿宋_GB2312" w:cs="仿宋_GB2312"/>
          <w:sz w:val="32"/>
          <w:szCs w:val="32"/>
          <w:lang w:val="en-US" w:eastAsia="zh-CN"/>
        </w:rPr>
        <w:t>共有三项要求：一是严控准入条件；</w:t>
      </w:r>
      <w:r>
        <w:rPr>
          <w:rFonts w:hint="eastAsia" w:ascii="仿宋_GB2312" w:hAnsi="仿宋_GB2312" w:eastAsia="仿宋_GB2312" w:cs="仿宋_GB2312"/>
          <w:color w:val="auto"/>
          <w:spacing w:val="0"/>
          <w:kern w:val="2"/>
          <w:sz w:val="32"/>
          <w:szCs w:val="20"/>
          <w:shd w:val="clear" w:color="auto" w:fill="auto"/>
          <w:lang w:val="en-US" w:eastAsia="zh-CN" w:bidi="ar-SA"/>
        </w:rPr>
        <w:t>二是实施规范管理；</w:t>
      </w:r>
      <w:r>
        <w:rPr>
          <w:rFonts w:hint="eastAsia" w:ascii="仿宋_GB2312" w:hAnsi="仿宋_GB2312" w:eastAsia="仿宋_GB2312" w:cs="仿宋_GB2312"/>
          <w:sz w:val="32"/>
          <w:szCs w:val="32"/>
          <w:lang w:val="en-US" w:eastAsia="zh-CN"/>
        </w:rPr>
        <w:t>三是落实常态监管</w:t>
      </w:r>
      <w:r>
        <w:rPr>
          <w:rFonts w:hint="eastAsia" w:ascii="仿宋_GB2312" w:hAnsi="仿宋_GB2312" w:eastAsia="仿宋_GB2312" w:cs="仿宋_GB2312"/>
          <w:color w:val="auto"/>
          <w:spacing w:val="0"/>
          <w:kern w:val="2"/>
          <w:sz w:val="32"/>
          <w:szCs w:val="20"/>
          <w:shd w:val="clear" w:color="auto" w:fill="auto"/>
          <w:lang w:val="en-US" w:eastAsia="zh-CN" w:bidi="ar-SA"/>
        </w:rPr>
        <w:t>。</w:t>
      </w:r>
    </w:p>
    <w:p>
      <w:pPr>
        <w:pStyle w:val="5"/>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auto"/>
          <w:szCs w:val="32"/>
          <w:shd w:val="clear" w:color="auto" w:fill="auto"/>
          <w:lang w:val="en-US" w:eastAsia="zh-CN"/>
        </w:rPr>
      </w:pPr>
      <w:r>
        <w:rPr>
          <w:rFonts w:hint="eastAsia" w:ascii="楷体_GB2312" w:hAnsi="楷体_GB2312" w:eastAsia="楷体_GB2312" w:cs="楷体_GB2312"/>
          <w:b/>
          <w:bCs/>
          <w:sz w:val="32"/>
          <w:szCs w:val="32"/>
          <w:lang w:val="en-US" w:eastAsia="zh-CN"/>
        </w:rPr>
        <w:t>（五）保障措施。</w:t>
      </w:r>
      <w:r>
        <w:rPr>
          <w:rFonts w:hint="eastAsia" w:ascii="仿宋_GB2312" w:hAnsi="仿宋_GB2312" w:eastAsia="仿宋_GB2312" w:cs="仿宋_GB2312"/>
          <w:sz w:val="32"/>
          <w:szCs w:val="32"/>
          <w:lang w:val="en-US" w:eastAsia="zh-CN"/>
        </w:rPr>
        <w:t>共有三项措施：</w:t>
      </w:r>
      <w:r>
        <w:rPr>
          <w:rFonts w:hint="eastAsia" w:ascii="仿宋_GB2312" w:hAnsi="仿宋_GB2312" w:eastAsia="仿宋_GB2312" w:cs="仿宋_GB2312"/>
          <w:color w:val="auto"/>
          <w:spacing w:val="0"/>
          <w:kern w:val="2"/>
          <w:sz w:val="32"/>
          <w:szCs w:val="20"/>
          <w:shd w:val="clear" w:color="auto" w:fill="auto"/>
          <w:lang w:val="en-US" w:eastAsia="zh-CN" w:bidi="ar-SA"/>
        </w:rPr>
        <w:t>一是</w:t>
      </w:r>
      <w:r>
        <w:rPr>
          <w:rFonts w:hint="eastAsia" w:ascii="仿宋_GB2312" w:hAnsi="仿宋_GB2312" w:eastAsia="仿宋_GB2312" w:cs="仿宋_GB2312"/>
          <w:color w:val="auto"/>
          <w:shd w:val="clear" w:color="auto" w:fill="auto"/>
        </w:rPr>
        <w:t>加强组织领导，建立协调机制</w:t>
      </w:r>
      <w:r>
        <w:rPr>
          <w:rFonts w:hint="eastAsia" w:ascii="仿宋_GB2312" w:hAnsi="仿宋_GB2312" w:cs="仿宋_GB2312"/>
          <w:color w:val="auto"/>
          <w:shd w:val="clear" w:color="auto" w:fill="auto"/>
          <w:lang w:eastAsia="zh-CN"/>
        </w:rPr>
        <w:t>；</w:t>
      </w:r>
      <w:r>
        <w:rPr>
          <w:rFonts w:hint="eastAsia" w:ascii="仿宋_GB2312" w:hAnsi="仿宋_GB2312" w:eastAsia="仿宋_GB2312" w:cs="仿宋_GB2312"/>
          <w:color w:val="auto"/>
          <w:spacing w:val="0"/>
          <w:kern w:val="2"/>
          <w:sz w:val="32"/>
          <w:szCs w:val="20"/>
          <w:shd w:val="clear" w:color="auto" w:fill="auto"/>
          <w:lang w:val="en-US" w:eastAsia="zh-CN" w:bidi="ar-SA"/>
        </w:rPr>
        <w:t>二是</w:t>
      </w:r>
      <w:r>
        <w:rPr>
          <w:rFonts w:hint="eastAsia" w:ascii="仿宋_GB2312" w:hAnsi="仿宋_GB2312" w:eastAsia="仿宋_GB2312" w:cs="仿宋_GB2312"/>
          <w:color w:val="auto"/>
          <w:szCs w:val="32"/>
          <w:shd w:val="clear" w:color="auto" w:fill="auto"/>
          <w:lang w:val="en-US" w:eastAsia="zh-CN"/>
        </w:rPr>
        <w:t>健全考核体系，推进数字智控</w:t>
      </w:r>
      <w:r>
        <w:rPr>
          <w:rFonts w:hint="eastAsia" w:ascii="仿宋_GB2312" w:hAnsi="仿宋_GB2312" w:cs="仿宋_GB2312"/>
          <w:color w:val="auto"/>
          <w:szCs w:val="32"/>
          <w:shd w:val="clear" w:color="auto" w:fill="auto"/>
          <w:lang w:val="en-US" w:eastAsia="zh-CN"/>
        </w:rPr>
        <w:t>；</w:t>
      </w:r>
      <w:r>
        <w:rPr>
          <w:rFonts w:hint="eastAsia" w:ascii="仿宋_GB2312" w:hAnsi="仿宋_GB2312" w:eastAsia="仿宋_GB2312" w:cs="仿宋_GB2312"/>
          <w:color w:val="auto"/>
          <w:spacing w:val="0"/>
          <w:kern w:val="2"/>
          <w:sz w:val="32"/>
          <w:szCs w:val="20"/>
          <w:shd w:val="clear" w:color="auto" w:fill="auto"/>
          <w:lang w:val="en-US" w:eastAsia="zh-CN" w:bidi="ar-SA"/>
        </w:rPr>
        <w:t>三是</w:t>
      </w:r>
      <w:r>
        <w:rPr>
          <w:rFonts w:hint="eastAsia" w:ascii="仿宋_GB2312" w:hAnsi="仿宋_GB2312" w:eastAsia="仿宋_GB2312" w:cs="仿宋_GB2312"/>
          <w:lang w:val="en-US" w:eastAsia="zh-CN"/>
        </w:rPr>
        <w:t>强化责任落实，严肃追责问责</w:t>
      </w:r>
      <w:r>
        <w:rPr>
          <w:rFonts w:hint="eastAsia" w:ascii="仿宋_GB2312" w:hAnsi="仿宋_GB2312" w:eastAsia="仿宋_GB2312" w:cs="仿宋_GB2312"/>
          <w:color w:val="auto"/>
          <w:szCs w:val="32"/>
          <w:shd w:val="clear" w:color="auto" w:fill="auto"/>
          <w:lang w:val="en-US" w:eastAsia="zh-CN"/>
        </w:rPr>
        <w:t>。</w:t>
      </w:r>
    </w:p>
    <w:p>
      <w:pPr>
        <w:pStyle w:val="5"/>
        <w:pageBreakBefore w:val="0"/>
        <w:widowControl w:val="0"/>
        <w:kinsoku/>
        <w:wordWrap/>
        <w:overflowPunct/>
        <w:topLinePunct w:val="0"/>
        <w:autoSpaceDE/>
        <w:autoSpaceDN/>
        <w:bidi w:val="0"/>
        <w:adjustRightInd/>
        <w:spacing w:line="560" w:lineRule="exact"/>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六、注意事项</w:t>
      </w:r>
    </w:p>
    <w:p>
      <w:pPr>
        <w:keepNext w:val="0"/>
        <w:keepLines w:val="0"/>
        <w:widowControl/>
        <w:suppressLineNumbers w:val="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本意见自2022年7月22日起施行。其他市本级出台的相关文件与本意见规定不一致的，按本意见执行。</w:t>
      </w:r>
    </w:p>
    <w:p>
      <w:pPr>
        <w:pStyle w:val="5"/>
        <w:pageBreakBefore w:val="0"/>
        <w:widowControl w:val="0"/>
        <w:kinsoku/>
        <w:wordWrap/>
        <w:overflowPunct/>
        <w:topLinePunct w:val="0"/>
        <w:autoSpaceDE/>
        <w:autoSpaceDN/>
        <w:bidi w:val="0"/>
        <w:adjustRightInd/>
        <w:spacing w:line="560" w:lineRule="exact"/>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七、解读机关　</w:t>
      </w:r>
    </w:p>
    <w:p>
      <w:pPr>
        <w:keepNext w:val="0"/>
        <w:keepLines w:val="0"/>
        <w:widowControl/>
        <w:suppressLineNumbers w:val="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由丽水市自解资源和规划局负责解读。 地质矿产管理处：廖鹏，0578-2668693  </w:t>
      </w:r>
      <w:bookmarkStart w:id="0" w:name="_GoBack"/>
      <w:bookmarkEnd w:id="0"/>
    </w:p>
    <w:p>
      <w:pPr>
        <w:pStyle w:val="2"/>
        <w:numPr>
          <w:numId w:val="0"/>
        </w:numPr>
        <w:ind w:left="640" w:leftChars="0"/>
        <w:rPr>
          <w:rFonts w:hint="eastAsia"/>
          <w:lang w:val="en-US" w:eastAsia="zh-CN"/>
        </w:rPr>
      </w:pPr>
    </w:p>
    <w:p>
      <w:pPr>
        <w:pStyle w:val="5"/>
        <w:pageBreakBefore w:val="0"/>
        <w:widowControl w:val="0"/>
        <w:kinsoku/>
        <w:wordWrap/>
        <w:overflowPunct/>
        <w:topLinePunct w:val="0"/>
        <w:autoSpaceDE/>
        <w:autoSpaceDN/>
        <w:bidi w:val="0"/>
        <w:adjustRightIn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701" w:right="1531" w:bottom="170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57777"/>
      <w:docPartObj>
        <w:docPartGallery w:val="autotext"/>
      </w:docPartObj>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9323B"/>
    <w:multiLevelType w:val="singleLevel"/>
    <w:tmpl w:val="C1D9323B"/>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TE5NTRmMTcwNWFjZjBhZjNiNTAwMGRhMWFhNTIifQ=="/>
  </w:docVars>
  <w:rsids>
    <w:rsidRoot w:val="6F2F362A"/>
    <w:rsid w:val="024D18BC"/>
    <w:rsid w:val="04214112"/>
    <w:rsid w:val="04B308EE"/>
    <w:rsid w:val="054D4ACB"/>
    <w:rsid w:val="05770C01"/>
    <w:rsid w:val="08965114"/>
    <w:rsid w:val="08997B94"/>
    <w:rsid w:val="091B1979"/>
    <w:rsid w:val="0A28544B"/>
    <w:rsid w:val="0B065EFD"/>
    <w:rsid w:val="0B65449E"/>
    <w:rsid w:val="0C0620D8"/>
    <w:rsid w:val="0D3833DB"/>
    <w:rsid w:val="0D930143"/>
    <w:rsid w:val="0F116540"/>
    <w:rsid w:val="10230845"/>
    <w:rsid w:val="11DC17EF"/>
    <w:rsid w:val="11EE3F67"/>
    <w:rsid w:val="126353D6"/>
    <w:rsid w:val="12762B88"/>
    <w:rsid w:val="141C01C0"/>
    <w:rsid w:val="14DB5BD9"/>
    <w:rsid w:val="15903393"/>
    <w:rsid w:val="15AC70A7"/>
    <w:rsid w:val="168724B3"/>
    <w:rsid w:val="16FF6CDE"/>
    <w:rsid w:val="172C0165"/>
    <w:rsid w:val="17382931"/>
    <w:rsid w:val="177A3966"/>
    <w:rsid w:val="1A1F2BFD"/>
    <w:rsid w:val="1B2F4AD3"/>
    <w:rsid w:val="1C6A791F"/>
    <w:rsid w:val="1E0517E4"/>
    <w:rsid w:val="1E2B3F03"/>
    <w:rsid w:val="1E3E76E3"/>
    <w:rsid w:val="1FC315A2"/>
    <w:rsid w:val="20493122"/>
    <w:rsid w:val="21832724"/>
    <w:rsid w:val="22975636"/>
    <w:rsid w:val="23652339"/>
    <w:rsid w:val="24251755"/>
    <w:rsid w:val="264E5657"/>
    <w:rsid w:val="26B7293F"/>
    <w:rsid w:val="279E0026"/>
    <w:rsid w:val="28A3170D"/>
    <w:rsid w:val="2B302EDA"/>
    <w:rsid w:val="2DBD030B"/>
    <w:rsid w:val="2FEA3D39"/>
    <w:rsid w:val="306101B1"/>
    <w:rsid w:val="30C25A2F"/>
    <w:rsid w:val="31E94492"/>
    <w:rsid w:val="32B775CB"/>
    <w:rsid w:val="336200FB"/>
    <w:rsid w:val="338956E8"/>
    <w:rsid w:val="33D03A92"/>
    <w:rsid w:val="345045BE"/>
    <w:rsid w:val="34992E05"/>
    <w:rsid w:val="37F44740"/>
    <w:rsid w:val="39BE7137"/>
    <w:rsid w:val="3A7D26A8"/>
    <w:rsid w:val="3ACD09D5"/>
    <w:rsid w:val="3AFF47AC"/>
    <w:rsid w:val="3CBE45E5"/>
    <w:rsid w:val="3E400146"/>
    <w:rsid w:val="3FB0458A"/>
    <w:rsid w:val="3FF9191D"/>
    <w:rsid w:val="40050719"/>
    <w:rsid w:val="41737748"/>
    <w:rsid w:val="425E37D6"/>
    <w:rsid w:val="44024C0A"/>
    <w:rsid w:val="445E7DDD"/>
    <w:rsid w:val="452808EB"/>
    <w:rsid w:val="453F2FD5"/>
    <w:rsid w:val="48823A7C"/>
    <w:rsid w:val="49414BEB"/>
    <w:rsid w:val="4BB4048B"/>
    <w:rsid w:val="4C14118E"/>
    <w:rsid w:val="4C600F1F"/>
    <w:rsid w:val="4D024360"/>
    <w:rsid w:val="4E796C0D"/>
    <w:rsid w:val="4F1A6243"/>
    <w:rsid w:val="50987067"/>
    <w:rsid w:val="51935F7A"/>
    <w:rsid w:val="520D7B95"/>
    <w:rsid w:val="52DC452B"/>
    <w:rsid w:val="54624EB9"/>
    <w:rsid w:val="558E396F"/>
    <w:rsid w:val="58DA2170"/>
    <w:rsid w:val="598875FF"/>
    <w:rsid w:val="59CE6D6F"/>
    <w:rsid w:val="59F86339"/>
    <w:rsid w:val="5BDC7D58"/>
    <w:rsid w:val="5C146931"/>
    <w:rsid w:val="5F174033"/>
    <w:rsid w:val="5FD50C35"/>
    <w:rsid w:val="609E64D9"/>
    <w:rsid w:val="612C43BD"/>
    <w:rsid w:val="61A86FAE"/>
    <w:rsid w:val="62627A6B"/>
    <w:rsid w:val="62D31070"/>
    <w:rsid w:val="632273CC"/>
    <w:rsid w:val="63691364"/>
    <w:rsid w:val="65A903C1"/>
    <w:rsid w:val="66293469"/>
    <w:rsid w:val="67D94853"/>
    <w:rsid w:val="68842D64"/>
    <w:rsid w:val="692A7F6E"/>
    <w:rsid w:val="6A332D1C"/>
    <w:rsid w:val="6B611795"/>
    <w:rsid w:val="6B63492A"/>
    <w:rsid w:val="6C1C2578"/>
    <w:rsid w:val="6D0F296D"/>
    <w:rsid w:val="6E05632E"/>
    <w:rsid w:val="6EB63A9F"/>
    <w:rsid w:val="6EC8395E"/>
    <w:rsid w:val="6F2F362A"/>
    <w:rsid w:val="6FC66269"/>
    <w:rsid w:val="705000C9"/>
    <w:rsid w:val="71863D57"/>
    <w:rsid w:val="734D6DC6"/>
    <w:rsid w:val="743B73D0"/>
    <w:rsid w:val="7463285B"/>
    <w:rsid w:val="747C5703"/>
    <w:rsid w:val="763B149A"/>
    <w:rsid w:val="76AC78A7"/>
    <w:rsid w:val="79511042"/>
    <w:rsid w:val="79873979"/>
    <w:rsid w:val="7A576672"/>
    <w:rsid w:val="7AA06054"/>
    <w:rsid w:val="7AC85858"/>
    <w:rsid w:val="7B136964"/>
    <w:rsid w:val="7B911995"/>
    <w:rsid w:val="7D8C3F41"/>
    <w:rsid w:val="7DA22053"/>
    <w:rsid w:val="7DBD2EEF"/>
    <w:rsid w:val="7DBE30CB"/>
    <w:rsid w:val="7EB07D28"/>
    <w:rsid w:val="7F567DC5"/>
    <w:rsid w:val="7FB6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1"/>
    <w:qFormat/>
    <w:uiPriority w:val="0"/>
    <w:pPr>
      <w:keepNext/>
      <w:tabs>
        <w:tab w:val="left" w:pos="851"/>
      </w:tabs>
      <w:ind w:left="851" w:hanging="851"/>
      <w:jc w:val="left"/>
      <w:outlineLvl w:val="3"/>
    </w:pPr>
    <w:rPr>
      <w:rFonts w:ascii="Calibri" w:hAnsi="Calibri" w:eastAsia="黑体" w:cs="Calibri"/>
      <w:iCs/>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spacing w:line="480" w:lineRule="exact"/>
      <w:ind w:firstLine="420" w:firstLineChars="200"/>
      <w:jc w:val="both"/>
    </w:pPr>
    <w:rPr>
      <w:rFonts w:ascii="Times New Roman" w:hAnsi="Times New Roman" w:eastAsia="仿宋_GB2312" w:cs="Times New Roman"/>
      <w:kern w:val="2"/>
      <w:sz w:val="32"/>
      <w:lang w:val="en-US" w:eastAsia="zh-CN" w:bidi="ar-SA"/>
    </w:rPr>
  </w:style>
  <w:style w:type="paragraph" w:styleId="4">
    <w:name w:val="Normal Indent"/>
    <w:basedOn w:val="1"/>
    <w:qFormat/>
    <w:uiPriority w:val="99"/>
    <w:pPr>
      <w:ind w:firstLine="420" w:firstLineChars="200"/>
    </w:pPr>
  </w:style>
  <w:style w:type="paragraph" w:styleId="5">
    <w:name w:val="annotation text"/>
    <w:basedOn w:val="1"/>
    <w:qFormat/>
    <w:uiPriority w:val="0"/>
    <w:pPr>
      <w:widowControl w:val="0"/>
      <w:spacing w:line="480" w:lineRule="exact"/>
      <w:ind w:firstLine="200" w:firstLineChars="200"/>
      <w:jc w:val="left"/>
    </w:pPr>
    <w:rPr>
      <w:rFonts w:ascii="Times New Roman" w:hAnsi="Times New Roman" w:eastAsia="仿宋_GB2312" w:cs="Times New Roman"/>
      <w:kern w:val="2"/>
      <w:sz w:val="32"/>
      <w:lang w:val="en-US" w:eastAsia="zh-CN" w:bidi="ar-SA"/>
    </w:rPr>
  </w:style>
  <w:style w:type="paragraph" w:styleId="6">
    <w:name w:val="Body Text"/>
    <w:next w:val="1"/>
    <w:qFormat/>
    <w:uiPriority w:val="0"/>
    <w:pPr>
      <w:widowControl w:val="0"/>
      <w:spacing w:line="600" w:lineRule="exact"/>
      <w:ind w:firstLine="200" w:firstLineChars="200"/>
      <w:jc w:val="both"/>
    </w:pPr>
    <w:rPr>
      <w:rFonts w:ascii="Times New Roman" w:hAnsi="Times New Roman" w:eastAsia="仿宋_GB2312" w:cs="Times New Roman"/>
      <w:spacing w:val="-12"/>
      <w:kern w:val="2"/>
      <w:sz w:val="32"/>
      <w:lang w:val="en-US" w:eastAsia="zh-CN" w:bidi="ar-SA"/>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4 Char"/>
    <w:basedOn w:val="10"/>
    <w:link w:val="3"/>
    <w:qFormat/>
    <w:uiPriority w:val="0"/>
    <w:rPr>
      <w:rFonts w:ascii="Calibri" w:hAnsi="Calibri" w:eastAsia="黑体" w:cs="Calibri"/>
      <w:iCs/>
      <w:szCs w:val="24"/>
    </w:rPr>
  </w:style>
  <w:style w:type="character" w:customStyle="1" w:styleId="12">
    <w:name w:val="font21"/>
    <w:basedOn w:val="10"/>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3047</Words>
  <Characters>3066</Characters>
  <Lines>0</Lines>
  <Paragraphs>0</Paragraphs>
  <TotalTime>61</TotalTime>
  <ScaleCrop>false</ScaleCrop>
  <LinksUpToDate>false</LinksUpToDate>
  <CharactersWithSpaces>3113</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2021-02-24T13:46:00Z</dcterms:created>
  <dc:creator>hp</dc:creator>
  <cp:lastModifiedBy>徐丽红</cp:lastModifiedBy>
  <cp:lastPrinted>2022-03-28T09:55:00Z</cp:lastPrinted>
  <dcterms:modified xsi:type="dcterms:W3CDTF">2022-10-31T09:07:30Z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292FC5E4D6AA46CD93FA99F37B271DA0</vt:lpwstr>
  </property>
</Properties>
</file>