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pacing w:val="15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15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15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15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15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15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15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15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15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15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pacing w:val="15"/>
          <w:sz w:val="44"/>
          <w:szCs w:val="44"/>
        </w:rPr>
        <w:t>丽水市民政事业发展中心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</w:rPr>
        <w:t>2024年单位预算</w:t>
      </w:r>
    </w:p>
    <w:p>
      <w:pPr>
        <w:spacing w:line="560" w:lineRule="exact"/>
        <w:ind w:firstLine="590" w:firstLineChars="196"/>
        <w:rPr>
          <w:rStyle w:val="9"/>
          <w:color w:val="000000"/>
          <w:sz w:val="30"/>
          <w:szCs w:val="30"/>
        </w:rPr>
      </w:pPr>
    </w:p>
    <w:p>
      <w:pPr>
        <w:spacing w:line="520" w:lineRule="exact"/>
        <w:ind w:firstLine="627" w:firstLineChars="196"/>
        <w:jc w:val="center"/>
        <w:rPr>
          <w:rStyle w:val="9"/>
          <w:rFonts w:ascii="黑体" w:eastAsia="黑体"/>
          <w:b w:val="0"/>
          <w:color w:val="000000"/>
          <w:sz w:val="32"/>
          <w:szCs w:val="32"/>
        </w:rPr>
      </w:pPr>
    </w:p>
    <w:p>
      <w:pPr>
        <w:spacing w:line="520" w:lineRule="exact"/>
        <w:ind w:firstLine="627" w:firstLineChars="196"/>
        <w:jc w:val="center"/>
        <w:rPr>
          <w:rStyle w:val="9"/>
          <w:rFonts w:ascii="黑体" w:eastAsia="黑体"/>
          <w:b w:val="0"/>
          <w:color w:val="000000"/>
          <w:sz w:val="32"/>
          <w:szCs w:val="32"/>
        </w:rPr>
      </w:pPr>
    </w:p>
    <w:p>
      <w:pPr>
        <w:spacing w:line="520" w:lineRule="exact"/>
        <w:ind w:firstLine="627" w:firstLineChars="196"/>
        <w:jc w:val="center"/>
        <w:rPr>
          <w:rStyle w:val="9"/>
          <w:rFonts w:ascii="黑体" w:eastAsia="黑体"/>
          <w:b w:val="0"/>
          <w:color w:val="000000"/>
          <w:sz w:val="32"/>
          <w:szCs w:val="32"/>
        </w:rPr>
      </w:pPr>
    </w:p>
    <w:p>
      <w:pPr>
        <w:spacing w:line="520" w:lineRule="exact"/>
        <w:ind w:firstLine="627" w:firstLineChars="196"/>
        <w:jc w:val="center"/>
        <w:rPr>
          <w:rStyle w:val="9"/>
          <w:rFonts w:ascii="黑体" w:eastAsia="黑体"/>
          <w:b w:val="0"/>
          <w:color w:val="000000"/>
          <w:sz w:val="32"/>
          <w:szCs w:val="32"/>
        </w:rPr>
      </w:pPr>
    </w:p>
    <w:p>
      <w:pPr>
        <w:spacing w:line="520" w:lineRule="exact"/>
        <w:ind w:firstLine="627" w:firstLineChars="196"/>
        <w:jc w:val="center"/>
        <w:rPr>
          <w:rStyle w:val="9"/>
          <w:rFonts w:ascii="黑体" w:eastAsia="黑体"/>
          <w:b w:val="0"/>
          <w:color w:val="000000"/>
          <w:sz w:val="32"/>
          <w:szCs w:val="32"/>
        </w:rPr>
      </w:pPr>
    </w:p>
    <w:p>
      <w:pPr>
        <w:spacing w:line="520" w:lineRule="exact"/>
        <w:ind w:firstLine="627" w:firstLineChars="196"/>
        <w:jc w:val="center"/>
        <w:rPr>
          <w:rStyle w:val="9"/>
          <w:rFonts w:ascii="黑体" w:eastAsia="黑体"/>
          <w:b w:val="0"/>
          <w:color w:val="000000"/>
          <w:sz w:val="32"/>
          <w:szCs w:val="32"/>
        </w:rPr>
      </w:pPr>
    </w:p>
    <w:p>
      <w:pPr>
        <w:spacing w:line="520" w:lineRule="exact"/>
        <w:ind w:firstLine="627" w:firstLineChars="196"/>
        <w:jc w:val="center"/>
        <w:rPr>
          <w:rStyle w:val="9"/>
          <w:rFonts w:ascii="黑体" w:eastAsia="黑体"/>
          <w:b w:val="0"/>
          <w:color w:val="000000"/>
          <w:sz w:val="32"/>
          <w:szCs w:val="32"/>
        </w:rPr>
      </w:pPr>
    </w:p>
    <w:p>
      <w:pPr>
        <w:spacing w:line="520" w:lineRule="exact"/>
        <w:ind w:firstLine="627" w:firstLineChars="196"/>
        <w:jc w:val="center"/>
        <w:rPr>
          <w:rStyle w:val="9"/>
          <w:rFonts w:ascii="黑体" w:eastAsia="黑体"/>
          <w:b w:val="0"/>
          <w:color w:val="000000"/>
          <w:sz w:val="32"/>
          <w:szCs w:val="32"/>
        </w:rPr>
      </w:pPr>
    </w:p>
    <w:p>
      <w:pPr>
        <w:spacing w:line="520" w:lineRule="exact"/>
        <w:ind w:firstLine="627" w:firstLineChars="196"/>
        <w:jc w:val="center"/>
        <w:rPr>
          <w:rStyle w:val="9"/>
          <w:rFonts w:ascii="黑体" w:eastAsia="黑体"/>
          <w:b w:val="0"/>
          <w:color w:val="000000"/>
          <w:sz w:val="32"/>
          <w:szCs w:val="32"/>
        </w:rPr>
      </w:pPr>
    </w:p>
    <w:p>
      <w:pPr>
        <w:spacing w:line="520" w:lineRule="exact"/>
        <w:ind w:firstLine="627" w:firstLineChars="196"/>
        <w:jc w:val="center"/>
        <w:rPr>
          <w:rStyle w:val="9"/>
          <w:rFonts w:ascii="黑体" w:eastAsia="黑体"/>
          <w:b w:val="0"/>
          <w:color w:val="000000"/>
          <w:sz w:val="32"/>
          <w:szCs w:val="32"/>
        </w:rPr>
      </w:pPr>
    </w:p>
    <w:p>
      <w:pPr>
        <w:spacing w:line="520" w:lineRule="exact"/>
        <w:ind w:firstLine="627" w:firstLineChars="196"/>
        <w:jc w:val="center"/>
        <w:rPr>
          <w:rStyle w:val="9"/>
          <w:rFonts w:ascii="黑体" w:eastAsia="黑体"/>
          <w:b w:val="0"/>
          <w:color w:val="000000"/>
          <w:sz w:val="32"/>
          <w:szCs w:val="32"/>
        </w:rPr>
      </w:pPr>
    </w:p>
    <w:p>
      <w:pPr>
        <w:spacing w:line="520" w:lineRule="exact"/>
        <w:ind w:firstLine="627" w:firstLineChars="196"/>
        <w:jc w:val="center"/>
        <w:rPr>
          <w:rStyle w:val="9"/>
          <w:rFonts w:ascii="黑体" w:eastAsia="黑体"/>
          <w:b w:val="0"/>
          <w:color w:val="000000"/>
          <w:sz w:val="32"/>
          <w:szCs w:val="32"/>
        </w:rPr>
      </w:pPr>
    </w:p>
    <w:p>
      <w:pPr>
        <w:spacing w:line="520" w:lineRule="exact"/>
        <w:ind w:firstLine="627" w:firstLineChars="196"/>
        <w:jc w:val="center"/>
        <w:rPr>
          <w:rStyle w:val="9"/>
          <w:rFonts w:ascii="黑体" w:eastAsia="黑体"/>
          <w:b w:val="0"/>
          <w:color w:val="000000"/>
          <w:sz w:val="32"/>
          <w:szCs w:val="32"/>
        </w:rPr>
      </w:pPr>
    </w:p>
    <w:p>
      <w:pPr>
        <w:spacing w:line="520" w:lineRule="exact"/>
        <w:rPr>
          <w:rStyle w:val="9"/>
          <w:rFonts w:ascii="黑体" w:eastAsia="黑体"/>
          <w:b w:val="0"/>
          <w:color w:val="000000"/>
          <w:sz w:val="32"/>
          <w:szCs w:val="32"/>
        </w:rPr>
      </w:pPr>
    </w:p>
    <w:p>
      <w:pPr>
        <w:spacing w:line="520" w:lineRule="exact"/>
        <w:ind w:firstLine="627" w:firstLineChars="196"/>
        <w:jc w:val="center"/>
        <w:rPr>
          <w:rStyle w:val="9"/>
          <w:rFonts w:ascii="黑体" w:eastAsia="黑体"/>
          <w:b w:val="0"/>
          <w:color w:val="000000"/>
          <w:sz w:val="32"/>
          <w:szCs w:val="32"/>
        </w:rPr>
      </w:pPr>
      <w:r>
        <w:rPr>
          <w:rStyle w:val="9"/>
          <w:rFonts w:hint="eastAsia" w:ascii="黑体" w:eastAsia="黑体"/>
          <w:b w:val="0"/>
          <w:color w:val="000000"/>
          <w:sz w:val="32"/>
          <w:szCs w:val="32"/>
        </w:rPr>
        <w:t>目录</w:t>
      </w:r>
    </w:p>
    <w:p>
      <w:pPr>
        <w:spacing w:line="520" w:lineRule="exact"/>
        <w:rPr>
          <w:rFonts w:eastAsia="黑体"/>
          <w:sz w:val="32"/>
        </w:rPr>
      </w:pPr>
      <w:r>
        <w:rPr>
          <w:rFonts w:hint="eastAsia" w:ascii="黑体" w:eastAsia="黑体"/>
          <w:color w:val="000000"/>
          <w:sz w:val="32"/>
          <w:highlight w:val="white"/>
        </w:rPr>
        <w:t>一、单位</w:t>
      </w:r>
      <w:r>
        <w:rPr>
          <w:rStyle w:val="9"/>
          <w:rFonts w:hint="eastAsia" w:ascii="黑体" w:eastAsia="黑体"/>
          <w:b w:val="0"/>
          <w:color w:val="000000"/>
          <w:sz w:val="32"/>
          <w:szCs w:val="32"/>
        </w:rPr>
        <w:t>概况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（一）主要职能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（二）单位机构设置情况</w:t>
      </w:r>
    </w:p>
    <w:p>
      <w:pPr>
        <w:spacing w:line="520" w:lineRule="exact"/>
        <w:rPr>
          <w:rStyle w:val="9"/>
          <w:rFonts w:ascii="黑体" w:eastAsia="黑体"/>
          <w:b w:val="0"/>
          <w:color w:val="000000"/>
          <w:sz w:val="32"/>
          <w:szCs w:val="32"/>
        </w:rPr>
      </w:pPr>
      <w:r>
        <w:rPr>
          <w:rStyle w:val="9"/>
          <w:rFonts w:hint="eastAsia" w:ascii="黑体" w:eastAsia="黑体"/>
          <w:b w:val="0"/>
          <w:color w:val="000000"/>
          <w:sz w:val="32"/>
          <w:szCs w:val="32"/>
        </w:rPr>
        <w:t>二、2024年丽水市民政事业发展中心单位预算安排情况说明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（一）关于丽水市民政事业发展中心2024年收支预算情况的总体说明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（二）关于丽水市民政事业发展中心2024年收入预算情况说明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（三）关于丽水市民政事业发展中心2024年支出预算情况说明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br w:type="textWrapping"/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（四）关于丽水市民政事业发展中心2024年财政拨款收支预算情况的总体说明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（五）关于丽水市民政事业发展中心2024年一般公共预算拨款情况说明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（六）关于丽水市民政事业发展中心2024年一般公共预算基本支出情况说明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（七）关于丽水市民政事业发展中心2024年政府性基金预算支出情况说明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（八）关于丽水市民政事业发展中心2024年国有资本经营预算支出情况说明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（九）关于丽水市民政事业发展中心2024年一般公共预算“三公”经费预算情况说明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（十）其他重要事项的情况说明</w:t>
      </w:r>
    </w:p>
    <w:p>
      <w:pPr>
        <w:pStyle w:val="14"/>
        <w:spacing w:line="520" w:lineRule="exact"/>
        <w:rPr>
          <w:rStyle w:val="9"/>
          <w:rFonts w:ascii="黑体" w:hAnsi="Calibri" w:eastAsia="黑体"/>
          <w:b w:val="0"/>
          <w:color w:val="000000"/>
          <w:kern w:val="2"/>
          <w:sz w:val="32"/>
          <w:szCs w:val="32"/>
        </w:rPr>
      </w:pPr>
      <w:r>
        <w:rPr>
          <w:rStyle w:val="9"/>
          <w:rFonts w:hint="eastAsia" w:ascii="黑体" w:hAnsi="Calibri" w:eastAsia="黑体"/>
          <w:b w:val="0"/>
          <w:color w:val="000000"/>
          <w:kern w:val="2"/>
          <w:sz w:val="32"/>
          <w:szCs w:val="32"/>
        </w:rPr>
        <w:t>三、名词解释</w:t>
      </w:r>
    </w:p>
    <w:p>
      <w:pPr>
        <w:spacing w:line="520" w:lineRule="exact"/>
        <w:rPr>
          <w:rStyle w:val="9"/>
          <w:rFonts w:ascii="黑体" w:eastAsia="黑体"/>
          <w:b w:val="0"/>
          <w:color w:val="000000"/>
          <w:sz w:val="32"/>
          <w:szCs w:val="32"/>
        </w:rPr>
      </w:pPr>
      <w:r>
        <w:rPr>
          <w:rStyle w:val="9"/>
          <w:rFonts w:hint="eastAsia" w:ascii="黑体" w:eastAsia="黑体"/>
          <w:b w:val="0"/>
          <w:color w:val="000000"/>
          <w:sz w:val="32"/>
          <w:szCs w:val="32"/>
        </w:rPr>
        <w:t>四、2024年丽水市民政事业发展中心单位预算表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（一）2024年单位收支预算总表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（二）2024年单位收入预算总表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（三）2024年单位支出预算总表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（四）2024年单位财政拨款收支预算总表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（五）2024年单位一般公共预算支出表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（六）2024年单位一般公共预算基本支出表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（七）2024年单位一般公共预算“三公”经费支出表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（八）2024年单位政府性基金预算支出表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（九）2024年单位国有资本经营预算支出表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（十）2024年单位项目支出预算表</w:t>
      </w:r>
    </w:p>
    <w:p>
      <w:pPr>
        <w:autoSpaceDE w:val="0"/>
        <w:autoSpaceDN w:val="0"/>
        <w:adjustRightInd w:val="0"/>
        <w:ind w:left="420" w:leftChars="200"/>
        <w:jc w:val="left"/>
        <w:rPr>
          <w:rStyle w:val="9"/>
          <w:rFonts w:ascii="楷体_GB2312" w:hAnsi="楷体_GB2312" w:eastAsia="楷体_GB2312" w:cs="楷体_GB2312"/>
          <w:b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（十一）2024年单位项目支出绩效表</w:t>
      </w:r>
    </w:p>
    <w:p>
      <w:pPr>
        <w:pStyle w:val="2"/>
        <w:rPr>
          <w:rStyle w:val="9"/>
          <w:rFonts w:hint="default" w:ascii="黑体" w:eastAsia="黑体"/>
          <w:b w:val="0"/>
          <w:sz w:val="32"/>
          <w:szCs w:val="32"/>
        </w:rPr>
      </w:pPr>
    </w:p>
    <w:p>
      <w:pPr>
        <w:pStyle w:val="2"/>
        <w:rPr>
          <w:rStyle w:val="9"/>
          <w:rFonts w:hint="default" w:ascii="黑体" w:eastAsia="黑体"/>
          <w:b w:val="0"/>
          <w:sz w:val="32"/>
          <w:szCs w:val="32"/>
        </w:rPr>
      </w:pPr>
    </w:p>
    <w:p>
      <w:pPr>
        <w:pStyle w:val="2"/>
        <w:rPr>
          <w:rStyle w:val="9"/>
          <w:rFonts w:hint="default" w:ascii="黑体" w:eastAsia="黑体"/>
          <w:b w:val="0"/>
          <w:sz w:val="32"/>
          <w:szCs w:val="32"/>
        </w:rPr>
      </w:pPr>
    </w:p>
    <w:p>
      <w:pPr>
        <w:pStyle w:val="2"/>
        <w:rPr>
          <w:rStyle w:val="9"/>
          <w:rFonts w:hint="default" w:ascii="黑体" w:eastAsia="黑体"/>
          <w:b w:val="0"/>
          <w:sz w:val="32"/>
          <w:szCs w:val="32"/>
        </w:rPr>
      </w:pPr>
    </w:p>
    <w:p>
      <w:pPr>
        <w:pStyle w:val="2"/>
        <w:rPr>
          <w:rStyle w:val="9"/>
          <w:rFonts w:hint="default" w:ascii="黑体" w:eastAsia="黑体"/>
          <w:b w:val="0"/>
          <w:sz w:val="32"/>
          <w:szCs w:val="32"/>
        </w:rPr>
      </w:pPr>
    </w:p>
    <w:p>
      <w:pPr>
        <w:pStyle w:val="2"/>
        <w:rPr>
          <w:rStyle w:val="9"/>
          <w:rFonts w:hint="default" w:ascii="黑体" w:eastAsia="黑体"/>
          <w:b w:val="0"/>
          <w:sz w:val="32"/>
          <w:szCs w:val="32"/>
        </w:rPr>
      </w:pPr>
    </w:p>
    <w:p>
      <w:pPr>
        <w:pStyle w:val="2"/>
        <w:rPr>
          <w:rStyle w:val="9"/>
          <w:rFonts w:hint="default" w:ascii="黑体" w:eastAsia="黑体"/>
          <w:b w:val="0"/>
          <w:sz w:val="32"/>
          <w:szCs w:val="32"/>
        </w:rPr>
      </w:pPr>
    </w:p>
    <w:p>
      <w:pPr>
        <w:pStyle w:val="2"/>
        <w:rPr>
          <w:rStyle w:val="9"/>
          <w:rFonts w:hint="default" w:ascii="黑体" w:eastAsia="黑体"/>
          <w:b w:val="0"/>
          <w:sz w:val="32"/>
          <w:szCs w:val="32"/>
        </w:rPr>
      </w:pPr>
    </w:p>
    <w:p>
      <w:pPr>
        <w:pStyle w:val="2"/>
        <w:rPr>
          <w:rStyle w:val="9"/>
          <w:rFonts w:hint="default" w:ascii="黑体" w:eastAsia="黑体"/>
          <w:b w:val="0"/>
          <w:sz w:val="32"/>
          <w:szCs w:val="32"/>
        </w:rPr>
      </w:pPr>
    </w:p>
    <w:p>
      <w:pPr>
        <w:pStyle w:val="2"/>
        <w:tabs>
          <w:tab w:val="left" w:pos="2608"/>
        </w:tabs>
        <w:rPr>
          <w:rStyle w:val="9"/>
          <w:rFonts w:hint="default" w:ascii="黑体" w:eastAsia="黑体"/>
          <w:b w:val="0"/>
          <w:sz w:val="32"/>
          <w:szCs w:val="32"/>
        </w:rPr>
      </w:pPr>
      <w:r>
        <w:rPr>
          <w:rStyle w:val="9"/>
          <w:rFonts w:ascii="黑体" w:eastAsia="黑体"/>
          <w:b w:val="0"/>
          <w:sz w:val="32"/>
          <w:szCs w:val="32"/>
        </w:rPr>
        <w:tab/>
      </w:r>
    </w:p>
    <w:p>
      <w:pPr>
        <w:spacing w:line="520" w:lineRule="exact"/>
        <w:ind w:firstLine="627" w:firstLineChars="196"/>
        <w:rPr>
          <w:rStyle w:val="9"/>
          <w:rFonts w:ascii="黑体" w:eastAsia="黑体"/>
          <w:b w:val="0"/>
          <w:color w:val="000000"/>
          <w:sz w:val="32"/>
          <w:szCs w:val="32"/>
        </w:rPr>
      </w:pPr>
      <w:r>
        <w:rPr>
          <w:rStyle w:val="9"/>
          <w:rFonts w:hint="eastAsia" w:ascii="黑体" w:eastAsia="黑体"/>
          <w:b w:val="0"/>
          <w:color w:val="000000"/>
          <w:sz w:val="32"/>
          <w:szCs w:val="32"/>
        </w:rPr>
        <w:t>一、单位概况</w:t>
      </w:r>
    </w:p>
    <w:p>
      <w:pPr>
        <w:spacing w:line="520" w:lineRule="exact"/>
        <w:ind w:firstLine="627" w:firstLineChars="196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（一）主要职能</w:t>
      </w:r>
    </w:p>
    <w:p>
      <w:pPr>
        <w:widowControl/>
        <w:ind w:firstLine="640" w:firstLineChars="200"/>
        <w:rPr>
          <w:rFonts w:asciiTheme="minorEastAsia" w:hAnsiTheme="minorEastAsia" w:eastAsiaTheme="minorEastAsia"/>
          <w:color w:val="000000" w:themeColor="text1"/>
          <w:kern w:val="0"/>
          <w:sz w:val="32"/>
          <w:szCs w:val="3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32"/>
          <w:szCs w:val="30"/>
        </w:rPr>
        <w:t>1.主要承担指导全市社会救助家庭经济状况核查工作；</w:t>
      </w:r>
    </w:p>
    <w:p>
      <w:pPr>
        <w:widowControl/>
        <w:ind w:firstLine="640" w:firstLineChars="200"/>
        <w:rPr>
          <w:rFonts w:asciiTheme="minorEastAsia" w:hAnsiTheme="minorEastAsia" w:eastAsiaTheme="minorEastAsia"/>
          <w:color w:val="000000" w:themeColor="text1"/>
          <w:kern w:val="0"/>
          <w:sz w:val="32"/>
          <w:szCs w:val="3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32"/>
          <w:szCs w:val="30"/>
        </w:rPr>
        <w:t>2.承担婚姻登记、殡葬管理、生态公墓建设、区划地名管理和志愿者队伍建设的辅助工作；</w:t>
      </w:r>
    </w:p>
    <w:p>
      <w:pPr>
        <w:widowControl/>
        <w:ind w:firstLine="640" w:firstLineChars="200"/>
        <w:rPr>
          <w:rFonts w:asciiTheme="minorEastAsia" w:hAnsiTheme="minorEastAsia" w:eastAsiaTheme="minorEastAsia"/>
          <w:color w:val="000000" w:themeColor="text1"/>
          <w:kern w:val="0"/>
          <w:sz w:val="32"/>
          <w:szCs w:val="3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32"/>
          <w:szCs w:val="30"/>
        </w:rPr>
        <w:t>3.承担民政系统信息化相关工作；</w:t>
      </w:r>
    </w:p>
    <w:p>
      <w:pPr>
        <w:widowControl/>
        <w:ind w:firstLine="640" w:firstLineChars="200"/>
        <w:rPr>
          <w:rFonts w:asciiTheme="minorEastAsia" w:hAnsiTheme="minorEastAsia" w:eastAsiaTheme="minorEastAsia"/>
          <w:color w:val="000000" w:themeColor="text1"/>
          <w:kern w:val="0"/>
          <w:sz w:val="32"/>
          <w:szCs w:val="3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32"/>
          <w:szCs w:val="30"/>
        </w:rPr>
        <w:t>4.承担机关行政执法相关辅助工作等。</w:t>
      </w:r>
    </w:p>
    <w:p>
      <w:pPr>
        <w:spacing w:line="520" w:lineRule="exact"/>
        <w:ind w:firstLine="627" w:firstLineChars="196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（二）单位机构设置情况</w:t>
      </w:r>
    </w:p>
    <w:p>
      <w:pPr>
        <w:spacing w:line="560" w:lineRule="exact"/>
        <w:ind w:firstLine="624" w:firstLineChars="195"/>
        <w:rPr>
          <w:rFonts w:ascii="楷体_GB2312" w:hAnsi="楷体_GB2312"/>
          <w:bCs/>
          <w:sz w:val="32"/>
          <w:szCs w:val="32"/>
        </w:rPr>
      </w:pPr>
      <w:r>
        <w:rPr>
          <w:rFonts w:ascii="楷体_GB2312" w:hAnsi="楷体_GB2312"/>
          <w:bCs/>
          <w:sz w:val="32"/>
          <w:szCs w:val="32"/>
        </w:rPr>
        <w:fldChar w:fldCharType="begin"/>
      </w:r>
      <w:r>
        <w:rPr>
          <w:rFonts w:hint="eastAsia" w:ascii="楷体_GB2312" w:hAnsi="楷体_GB2312"/>
          <w:bCs/>
          <w:sz w:val="32"/>
          <w:szCs w:val="32"/>
        </w:rPr>
        <w:instrText xml:space="preserve">MERGEFIELD ${page855778723.ds388518707_V_RPT_BAS_AGENCY_INFO_NAME}</w:instrText>
      </w:r>
      <w:r>
        <w:rPr>
          <w:rFonts w:ascii="楷体_GB2312" w:hAnsi="楷体_GB2312"/>
          <w:bCs/>
          <w:sz w:val="32"/>
          <w:szCs w:val="32"/>
        </w:rPr>
        <w:fldChar w:fldCharType="separate"/>
      </w:r>
      <w:r>
        <w:rPr>
          <w:rFonts w:hint="eastAsia" w:ascii="楷体_GB2312" w:hAnsi="楷体_GB2312"/>
          <w:bCs/>
          <w:sz w:val="32"/>
          <w:szCs w:val="32"/>
        </w:rPr>
        <w:t>丽水市民政事业发展中心</w:t>
      </w:r>
      <w:r>
        <w:rPr>
          <w:rFonts w:ascii="楷体_GB2312" w:hAnsi="楷体_GB2312"/>
          <w:bCs/>
          <w:sz w:val="32"/>
          <w:szCs w:val="32"/>
        </w:rPr>
        <w:fldChar w:fldCharType="end"/>
      </w:r>
      <w:r>
        <w:rPr>
          <w:rFonts w:hint="eastAsia" w:ascii="楷体_GB2312" w:hAnsi="楷体_GB2312"/>
          <w:bCs/>
          <w:sz w:val="32"/>
          <w:szCs w:val="32"/>
        </w:rPr>
        <w:t>党的建设、干部人事等由市民政局统一管理，丽水市民政事业发展中心负责业务运行等事宜，不得承担行政职能，不得从事经营活动。</w:t>
      </w:r>
    </w:p>
    <w:p>
      <w:pPr>
        <w:spacing w:line="52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Style w:val="9"/>
          <w:rFonts w:hint="eastAsia" w:ascii="黑体" w:eastAsia="黑体"/>
          <w:b w:val="0"/>
          <w:color w:val="000000"/>
          <w:sz w:val="32"/>
          <w:szCs w:val="32"/>
        </w:rPr>
        <w:t>二、2024年丽水市民政事业发展中心单位预算安排情况说明</w:t>
      </w:r>
      <w:r>
        <w:rPr>
          <w:rFonts w:hint="eastAsia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（一）关于丽水市民政事业发展中心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2024年收支预算情况的总体说明</w:t>
      </w:r>
    </w:p>
    <w:p>
      <w:pPr>
        <w:spacing w:line="520" w:lineRule="exact"/>
        <w:rPr>
          <w:rFonts w:cs="楷体_GB2312"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 xml:space="preserve">    </w:t>
      </w:r>
      <w:r>
        <w:rPr>
          <w:rFonts w:hint="eastAsia" w:asciiTheme="minorEastAsia" w:hAnsiTheme="minorEastAsia" w:eastAsiaTheme="minorEastAsia"/>
          <w:bCs/>
          <w:color w:val="000000"/>
          <w:sz w:val="32"/>
          <w:szCs w:val="32"/>
        </w:rPr>
        <w:t>按照</w:t>
      </w:r>
      <w:r>
        <w:rPr>
          <w:rFonts w:hint="eastAsia" w:asciiTheme="minorEastAsia" w:hAnsiTheme="minorEastAsia" w:eastAsiaTheme="minorEastAsia"/>
          <w:bCs/>
          <w:sz w:val="32"/>
          <w:szCs w:val="32"/>
        </w:rPr>
        <w:t>综合预算的原则，丽水市民政事业发展中心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所有收入和支出均纳入部门预算管理。收入包括：一般公共预算拨款收入；支出包括：社会保障和就业支出。丽水市民政事业发展中心2024年收支总预算15.34万元。</w:t>
      </w:r>
    </w:p>
    <w:p>
      <w:pPr>
        <w:spacing w:line="520" w:lineRule="exact"/>
        <w:ind w:firstLine="642"/>
        <w:rPr>
          <w:rFonts w:ascii="楷体_GB2312" w:hAnsi="楷体_GB2312" w:eastAsia="楷体_GB2312" w:cs="楷体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（二）关于丽水市民政事业发展中心2024年收入预算情况说明</w:t>
      </w:r>
    </w:p>
    <w:p>
      <w:pPr>
        <w:spacing w:line="520" w:lineRule="exact"/>
        <w:ind w:firstLine="642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color w:val="000000"/>
          <w:sz w:val="32"/>
          <w:szCs w:val="32"/>
        </w:rPr>
        <w:t>丽水市民政事业发展中心2024年收入预算15.34万元，比上年执行数减少0.45万元，下</w:t>
      </w:r>
      <w:r>
        <w:rPr>
          <w:rFonts w:hint="eastAsia" w:cs="仿宋_GB2312" w:asciiTheme="minorEastAsia" w:hAnsiTheme="minorEastAsia" w:eastAsiaTheme="minorEastAsia"/>
          <w:color w:val="000000"/>
          <w:sz w:val="32"/>
        </w:rPr>
        <w:t>降2.2%，</w:t>
      </w:r>
      <w:r>
        <w:rPr>
          <w:rFonts w:hint="eastAsia" w:cs="仿宋_GB2312" w:asciiTheme="minorEastAsia" w:hAnsiTheme="minorEastAsia" w:eastAsiaTheme="minorEastAsia"/>
          <w:color w:val="000000"/>
          <w:sz w:val="32"/>
          <w:szCs w:val="32"/>
        </w:rPr>
        <w:t>主要是厉行节约，减少支出。</w:t>
      </w:r>
    </w:p>
    <w:p>
      <w:pPr>
        <w:spacing w:line="520" w:lineRule="exact"/>
        <w:ind w:firstLine="642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其中：一般公共预算拨款收入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15.34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万元（上年结转0.00万元），占100.0%。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br w:type="textWrapping"/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　　（三）关于丽水市民政事业发展中心2024年支出预算情况说明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</w:t>
      </w:r>
      <w:r>
        <w:rPr>
          <w:rFonts w:hint="eastAsia" w:cs="仿宋_GB2312" w:asciiTheme="minorEastAsia" w:hAnsiTheme="minorEastAsia" w:eastAsiaTheme="minorEastAsia"/>
          <w:color w:val="000000"/>
          <w:sz w:val="32"/>
          <w:szCs w:val="32"/>
        </w:rPr>
        <w:t>丽水市民政事业发展中心2024年支出预算15.34万元，比上年执行数增减少0.45万元，</w:t>
      </w:r>
      <w:r>
        <w:rPr>
          <w:rFonts w:hint="eastAsia" w:cs="仿宋_GB2312" w:asciiTheme="minorEastAsia" w:hAnsiTheme="minorEastAsia" w:eastAsiaTheme="minorEastAsia"/>
          <w:color w:val="000000"/>
          <w:sz w:val="32"/>
        </w:rPr>
        <w:t>下降2.2%，</w:t>
      </w:r>
      <w:r>
        <w:rPr>
          <w:rFonts w:hint="eastAsia" w:cs="仿宋_GB2312" w:asciiTheme="minorEastAsia" w:hAnsiTheme="minorEastAsia" w:eastAsiaTheme="minorEastAsia"/>
          <w:color w:val="000000"/>
          <w:sz w:val="32"/>
          <w:szCs w:val="32"/>
        </w:rPr>
        <w:t>主要是厉行节约，减少支出。</w:t>
      </w:r>
    </w:p>
    <w:p>
      <w:pPr>
        <w:spacing w:line="520" w:lineRule="exact"/>
        <w:ind w:firstLine="630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1.按支出功能分类，包括社会保障和就业支出15.34万元。</w:t>
      </w:r>
    </w:p>
    <w:p>
      <w:pPr>
        <w:spacing w:line="520" w:lineRule="exact"/>
        <w:ind w:firstLine="642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2.按支出用途分类，包括人员支出5.60万元，占36.5%；日常公用支出9.75万元，占63.5%。</w:t>
      </w:r>
    </w:p>
    <w:p>
      <w:pPr>
        <w:spacing w:line="520" w:lineRule="exact"/>
        <w:ind w:firstLine="642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年终结转结余0.00万元。</w:t>
      </w:r>
    </w:p>
    <w:p>
      <w:pPr>
        <w:spacing w:line="520" w:lineRule="exact"/>
        <w:ind w:firstLine="627" w:firstLineChars="196"/>
        <w:rPr>
          <w:rFonts w:ascii="楷体_GB2312" w:hAnsi="楷体_GB2312" w:eastAsia="楷体_GB2312" w:cs="楷体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（四）关于丽水市民政事业发展中心2024年财政拨款收支预算情况的总体说明</w:t>
      </w:r>
    </w:p>
    <w:p>
      <w:pPr>
        <w:spacing w:line="520" w:lineRule="exact"/>
        <w:ind w:firstLine="640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丽水市民政事业发展中心2024年财政拨款收支总预算15.34万元。收入包括：一般公共预算15.34万元；支出包括：社会保障和就业支出15.34万元。</w:t>
      </w:r>
    </w:p>
    <w:p>
      <w:pPr>
        <w:numPr>
          <w:ilvl w:val="0"/>
          <w:numId w:val="1"/>
        </w:numPr>
        <w:spacing w:line="520" w:lineRule="exact"/>
        <w:ind w:firstLine="640"/>
        <w:rPr>
          <w:rFonts w:ascii="楷体_GB2312" w:hAnsi="楷体_GB2312" w:eastAsia="楷体_GB2312" w:cs="楷体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关于丽水市民政事业发展中心2024年一般公共预算拨款情况说明</w:t>
      </w:r>
    </w:p>
    <w:p>
      <w:pPr>
        <w:spacing w:line="520" w:lineRule="exact"/>
        <w:ind w:firstLine="642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1.一般公共预算拨款规模变化情况。</w:t>
      </w:r>
    </w:p>
    <w:p>
      <w:pPr>
        <w:spacing w:line="520" w:lineRule="exact"/>
        <w:ind w:firstLine="642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color w:val="000000"/>
          <w:sz w:val="32"/>
          <w:szCs w:val="32"/>
        </w:rPr>
        <w:t>丽水市民政事业发展中心2024年一般公共预算拨款</w:t>
      </w:r>
      <w:r>
        <w:rPr>
          <w:rFonts w:hint="eastAsia" w:cs="仿宋_GB2312" w:asciiTheme="minorEastAsia" w:hAnsiTheme="minorEastAsia" w:eastAsiaTheme="minorEastAsia"/>
          <w:bCs/>
          <w:color w:val="000000"/>
          <w:sz w:val="32"/>
          <w:szCs w:val="32"/>
        </w:rPr>
        <w:t>15.34</w:t>
      </w:r>
      <w:r>
        <w:rPr>
          <w:rFonts w:hint="eastAsia" w:cs="仿宋_GB2312" w:asciiTheme="minorEastAsia" w:hAnsiTheme="minorEastAsia" w:eastAsiaTheme="minorEastAsia"/>
          <w:color w:val="000000"/>
          <w:sz w:val="32"/>
          <w:szCs w:val="32"/>
        </w:rPr>
        <w:t>万元，比上年执行数减少0.45万元，下</w:t>
      </w:r>
      <w:r>
        <w:rPr>
          <w:rFonts w:hint="eastAsia" w:cs="仿宋_GB2312" w:asciiTheme="minorEastAsia" w:hAnsiTheme="minorEastAsia" w:eastAsiaTheme="minorEastAsia"/>
          <w:color w:val="000000"/>
          <w:sz w:val="32"/>
        </w:rPr>
        <w:t>降2.2%，</w:t>
      </w:r>
      <w:r>
        <w:rPr>
          <w:rFonts w:hint="eastAsia" w:cs="仿宋_GB2312" w:asciiTheme="minorEastAsia" w:hAnsiTheme="minorEastAsia" w:eastAsiaTheme="minorEastAsia"/>
          <w:color w:val="000000"/>
          <w:sz w:val="32"/>
          <w:szCs w:val="32"/>
        </w:rPr>
        <w:t>主要是厉行节约，减少支出。</w:t>
      </w:r>
    </w:p>
    <w:p>
      <w:pPr>
        <w:spacing w:line="520" w:lineRule="exact"/>
        <w:ind w:firstLine="642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2.一般公共预算拨款结构情况。</w:t>
      </w:r>
    </w:p>
    <w:p>
      <w:pPr>
        <w:spacing w:line="520" w:lineRule="exact"/>
        <w:ind w:firstLine="640" w:firstLineChars="200"/>
        <w:rPr>
          <w:rFonts w:cs="仿宋_GB2312"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color w:val="000000"/>
          <w:sz w:val="32"/>
          <w:szCs w:val="32"/>
        </w:rPr>
        <w:t>社会保障和就业支出15.34万元，占100.0%。</w:t>
      </w:r>
    </w:p>
    <w:p>
      <w:pPr>
        <w:spacing w:line="520" w:lineRule="exact"/>
        <w:ind w:firstLine="642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3.一般公共预算拨款具体使用情况。</w:t>
      </w:r>
    </w:p>
    <w:p>
      <w:pPr>
        <w:spacing w:line="560" w:lineRule="exact"/>
        <w:ind w:firstLine="640"/>
        <w:jc w:val="left"/>
        <w:rPr>
          <w:rFonts w:ascii="仿宋_GB2312" w:hAnsi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</w:t>
      </w:r>
      <w:r>
        <w:rPr>
          <w:rFonts w:ascii="仿宋_GB2312" w:hAnsi="仿宋_GB2312"/>
          <w:color w:val="000000"/>
          <w:sz w:val="32"/>
          <w:szCs w:val="32"/>
        </w:rPr>
        <w:t>社会保障和就业（类）</w:t>
      </w:r>
      <w:r>
        <w:rPr>
          <w:rFonts w:hint="eastAsia" w:ascii="仿宋_GB2312" w:hAnsi="仿宋_GB2312"/>
          <w:color w:val="000000"/>
          <w:sz w:val="32"/>
          <w:szCs w:val="32"/>
        </w:rPr>
        <w:t>社会福利</w:t>
      </w:r>
      <w:r>
        <w:rPr>
          <w:rFonts w:ascii="仿宋_GB2312" w:hAnsi="仿宋_GB2312"/>
          <w:color w:val="000000"/>
          <w:sz w:val="32"/>
          <w:szCs w:val="32"/>
        </w:rPr>
        <w:t>（款）</w:t>
      </w:r>
      <w:r>
        <w:rPr>
          <w:rFonts w:hint="eastAsia" w:ascii="仿宋_GB2312" w:hAnsi="仿宋_GB2312"/>
          <w:color w:val="000000"/>
          <w:sz w:val="32"/>
          <w:szCs w:val="32"/>
        </w:rPr>
        <w:t>殡葬</w:t>
      </w:r>
      <w:r>
        <w:rPr>
          <w:rFonts w:ascii="仿宋_GB2312" w:hAnsi="仿宋_GB2312"/>
          <w:color w:val="000000"/>
          <w:sz w:val="32"/>
          <w:szCs w:val="32"/>
        </w:rPr>
        <w:t>（项）</w:t>
      </w:r>
      <w:r>
        <w:rPr>
          <w:rFonts w:hint="eastAsia" w:ascii="仿宋_GB2312" w:hAnsi="仿宋_GB2312"/>
          <w:color w:val="000000"/>
          <w:sz w:val="32"/>
          <w:szCs w:val="32"/>
        </w:rPr>
        <w:t>15.72</w:t>
      </w:r>
      <w:r>
        <w:rPr>
          <w:rFonts w:ascii="仿宋_GB2312" w:hAnsi="仿宋_GB2312"/>
          <w:color w:val="000000"/>
          <w:sz w:val="32"/>
          <w:szCs w:val="32"/>
        </w:rPr>
        <w:t>万元，主要用于</w:t>
      </w:r>
      <w:r>
        <w:rPr>
          <w:rFonts w:ascii="仿宋_GB2312" w:hAnsi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hAnsi="仿宋_GB2312"/>
          <w:color w:val="000000"/>
          <w:sz w:val="32"/>
          <w:szCs w:val="32"/>
        </w:rPr>
        <w:instrText xml:space="preserve">MERGEFIELD ${page855778723.ds388518707_V_RPT_BAS_AGENCY_INFO_NAME}</w:instrText>
      </w:r>
      <w:r>
        <w:rPr>
          <w:rFonts w:ascii="仿宋_GB2312" w:hAnsi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_GB2312"/>
          <w:color w:val="000000"/>
          <w:sz w:val="32"/>
          <w:szCs w:val="32"/>
        </w:rPr>
        <w:t>丽水市民政事业发展中心</w:t>
      </w:r>
      <w:r>
        <w:rPr>
          <w:rFonts w:ascii="仿宋_GB2312" w:hAnsi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/>
          <w:color w:val="000000"/>
          <w:sz w:val="32"/>
          <w:szCs w:val="32"/>
        </w:rPr>
        <w:t>日常支出和编外用工工资</w:t>
      </w:r>
      <w:r>
        <w:rPr>
          <w:rFonts w:ascii="仿宋_GB2312" w:hAnsi="仿宋_GB2312"/>
          <w:color w:val="000000"/>
          <w:sz w:val="32"/>
          <w:szCs w:val="32"/>
        </w:rPr>
        <w:t>。</w:t>
      </w:r>
    </w:p>
    <w:p>
      <w:pPr>
        <w:spacing w:line="520" w:lineRule="exact"/>
        <w:rPr>
          <w:rFonts w:ascii="楷体_GB2312" w:hAnsi="楷体_GB2312" w:eastAsia="楷体_GB2312" w:cs="楷体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 xml:space="preserve">    （六）关于丽水市民政事业发展中心2024年一般公共预算基本支出情况说明</w:t>
      </w:r>
    </w:p>
    <w:p>
      <w:pPr>
        <w:spacing w:line="520" w:lineRule="exact"/>
        <w:ind w:firstLine="642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丽水市民政事业发展中心2024年一般公共预算基本支出15.34万元，其中：</w:t>
      </w:r>
    </w:p>
    <w:p>
      <w:pPr>
        <w:spacing w:line="520" w:lineRule="exact"/>
        <w:ind w:firstLine="642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人员经费5.60万元，主要包括：其他工资福利支出；</w:t>
      </w:r>
    </w:p>
    <w:p>
      <w:pPr>
        <w:spacing w:line="520" w:lineRule="exact"/>
        <w:ind w:firstLine="642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公用经费9.75万元，主要包括：办公费、物业管理费、差旅费、会议费、培训费、公务接待费、工会经费、福利费、公务用车运行维护费、其他交通费用、其他商品和服务支出。</w:t>
      </w:r>
    </w:p>
    <w:p>
      <w:pPr>
        <w:spacing w:line="520" w:lineRule="exact"/>
        <w:ind w:firstLine="642"/>
        <w:rPr>
          <w:rFonts w:ascii="楷体_GB2312" w:hAnsi="楷体_GB2312" w:eastAsia="楷体_GB2312" w:cs="楷体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（七）关于丽水市民政事业发展中心2024年政府性基金预算支出情况说明</w:t>
      </w:r>
    </w:p>
    <w:p>
      <w:pPr>
        <w:ind w:firstLine="640" w:firstLineChars="200"/>
        <w:rPr>
          <w:rFonts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  <w:color w:val="000000"/>
          <w:sz w:val="32"/>
          <w:szCs w:val="32"/>
        </w:rPr>
        <w:t>丽水市民政事业发展中心2024年没有使用政府性基金预算拨款安排的支出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，与上年持平。</w:t>
      </w:r>
      <w:r>
        <w:rPr>
          <w:rFonts w:asciiTheme="minorEastAsia" w:hAnsiTheme="minorEastAsia" w:eastAsiaTheme="minorEastAsia"/>
        </w:rPr>
        <w:t xml:space="preserve"> </w:t>
      </w:r>
    </w:p>
    <w:p>
      <w:pPr>
        <w:spacing w:line="520" w:lineRule="exact"/>
        <w:ind w:firstLine="627" w:firstLineChars="196"/>
        <w:rPr>
          <w:rFonts w:ascii="楷体_GB2312" w:hAnsi="楷体_GB2312" w:eastAsia="楷体_GB2312" w:cs="楷体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（八）关于</w:t>
      </w:r>
      <w:r>
        <w:rPr>
          <w:rFonts w:ascii="楷体_GB2312" w:hAnsi="楷体_GB2312" w:eastAsia="楷体_GB2312" w:cs="楷体_GB2312"/>
          <w:bCs/>
          <w:color w:val="000000"/>
          <w:sz w:val="32"/>
          <w:szCs w:val="32"/>
        </w:rPr>
        <w:t>丽水市民政事业发展中心2024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年国有资本经营预算支出情况说明</w:t>
      </w:r>
    </w:p>
    <w:p>
      <w:pPr>
        <w:ind w:firstLine="640" w:firstLineChars="200"/>
        <w:rPr>
          <w:rFonts w:asciiTheme="minorEastAsia" w:hAnsiTheme="minorEastAsia" w:eastAsiaTheme="minorEastAsia"/>
        </w:rPr>
      </w:pPr>
      <w:r>
        <w:rPr>
          <w:rFonts w:hint="eastAsia" w:cs="仿宋_GB2312" w:asciiTheme="minorEastAsia" w:hAnsiTheme="minorEastAsia" w:eastAsiaTheme="minorEastAsia"/>
          <w:color w:val="000000"/>
          <w:sz w:val="32"/>
          <w:szCs w:val="32"/>
        </w:rPr>
        <w:t>丽水市民政事业发展中心2024年没有使用国有资本经营预算拨款安排的支出，与上年持平。</w:t>
      </w:r>
    </w:p>
    <w:p>
      <w:pPr>
        <w:spacing w:line="520" w:lineRule="exact"/>
        <w:ind w:firstLine="627" w:firstLineChars="196"/>
        <w:rPr>
          <w:rFonts w:ascii="楷体_GB2312" w:hAnsi="楷体_GB2312" w:eastAsia="楷体_GB2312" w:cs="楷体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（九）关于丽水市民政事业发展中心2024年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一般公共预算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“三公”经费预算情况说明</w:t>
      </w:r>
    </w:p>
    <w:p>
      <w:pPr>
        <w:spacing w:line="520" w:lineRule="exact"/>
        <w:ind w:firstLine="640" w:firstLineChars="200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丽水市民政事业发展中心2024年“三公”经费预算数为3.11万元，</w:t>
      </w:r>
      <w:r>
        <w:rPr>
          <w:rFonts w:hint="eastAsia" w:cs="仿宋_GB2312" w:asciiTheme="minorEastAsia" w:hAnsiTheme="minorEastAsia" w:eastAsiaTheme="minorEastAsia"/>
          <w:color w:val="000000"/>
          <w:sz w:val="32"/>
          <w:szCs w:val="32"/>
        </w:rPr>
        <w:t>与上</w:t>
      </w:r>
      <w:r>
        <w:rPr>
          <w:rFonts w:hint="eastAsia" w:asciiTheme="minorEastAsia" w:hAnsiTheme="minorEastAsia" w:eastAsiaTheme="minorEastAsia"/>
          <w:sz w:val="32"/>
          <w:shd w:val="clear" w:color="auto" w:fill="FFFFFF"/>
        </w:rPr>
        <w:t>年预算数</w:t>
      </w:r>
      <w:r>
        <w:rPr>
          <w:rFonts w:hint="eastAsia" w:cs="仿宋_GB2312" w:asciiTheme="minorEastAsia" w:hAnsiTheme="minorEastAsia" w:eastAsiaTheme="minorEastAsia"/>
          <w:color w:val="000000"/>
          <w:sz w:val="32"/>
          <w:szCs w:val="32"/>
        </w:rPr>
        <w:t>持平</w:t>
      </w:r>
      <w:r>
        <w:rPr>
          <w:rFonts w:hint="eastAsia" w:asciiTheme="minorEastAsia" w:hAnsiTheme="minorEastAsia" w:eastAsiaTheme="minorEastAsia"/>
          <w:sz w:val="32"/>
        </w:rPr>
        <w:t>，具体如下：</w:t>
      </w:r>
    </w:p>
    <w:p>
      <w:pPr>
        <w:spacing w:line="520" w:lineRule="exact"/>
        <w:ind w:firstLine="640" w:firstLineChars="200"/>
        <w:rPr>
          <w:rFonts w:cs="仿宋_GB2312" w:asciiTheme="minorEastAsia" w:hAnsiTheme="minorEastAsia" w:eastAsiaTheme="minorEastAsia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1.因公出国（境）费用：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根据因公出国计划和实际工作需要，2024年安排因公出国（境）费用预算0.00万元，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与上年预算数持平。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主要原因是：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2024年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因公出国（境）预算由财政统留管理，未编列到年初部门预算中。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根据市外办安排的因公出国计划和实际工作需要，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经批准同意因公出国（境）的，所需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指标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由财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政按实追加。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因公出国（境）费用主要用于机关及下属预算单位人员等公务出国（境）的国际旅费、国外城市间交通费、住宿费、伙食费、培训费、公杂费等支出。</w:t>
      </w:r>
    </w:p>
    <w:p>
      <w:pPr>
        <w:pStyle w:val="14"/>
        <w:spacing w:line="520" w:lineRule="exact"/>
        <w:ind w:firstLine="640" w:firstLineChars="200"/>
        <w:rPr>
          <w:rFonts w:cs="仿宋_GB2312" w:asciiTheme="minorEastAsia" w:hAnsiTheme="minorEastAsia" w:eastAsiaTheme="minorEastAsia"/>
          <w:kern w:val="0"/>
          <w:sz w:val="32"/>
          <w:szCs w:val="32"/>
          <w:highlight w:val="none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  <w:highlight w:val="none"/>
        </w:rPr>
        <w:t>2.公务接待费：2024年安排公务接待费预算0.30万元，与上年预算数持平。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主要用于接待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民政事业公务活动等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cs="仿宋_GB2312" w:asciiTheme="minorEastAsia" w:hAnsiTheme="minorEastAsia" w:eastAsiaTheme="minorEastAsia"/>
          <w:kern w:val="0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3.公务用车购置及运行维护费：2024年安排公务用车购置及运行维护费预算2.81万元，</w:t>
      </w:r>
      <w:r>
        <w:rPr>
          <w:rFonts w:hint="eastAsia" w:cs="仿宋_GB2312" w:asciiTheme="minorEastAsia" w:hAnsiTheme="minorEastAsia" w:eastAsiaTheme="minorEastAsia"/>
          <w:sz w:val="32"/>
          <w:szCs w:val="32"/>
          <w:highlight w:val="none"/>
        </w:rPr>
        <w:t>与上年预算数持平。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其中，公务用车购置支出0.00万元（含购置税等附加费用）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主要用于经批准购置的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  <w:highlight w:val="none"/>
        </w:rPr>
        <w:t>辆公务用车，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与</w:t>
      </w:r>
      <w:r>
        <w:rPr>
          <w:rFonts w:hint="eastAsia" w:ascii="仿宋_GB2312" w:eastAsia="仿宋_GB2312"/>
          <w:sz w:val="32"/>
          <w:szCs w:val="32"/>
          <w:highlight w:val="none"/>
        </w:rPr>
        <w:t>上年预算数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持平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；公务用车运行维护费支出2.81万元，主要用于本单位公务用车燃料费、维修费、过桥过路费、保险费支出。</w:t>
      </w:r>
    </w:p>
    <w:p>
      <w:pPr>
        <w:spacing w:line="520" w:lineRule="exact"/>
        <w:ind w:firstLine="627" w:firstLineChars="196"/>
        <w:rPr>
          <w:rFonts w:ascii="楷体_GB2312" w:hAnsi="楷体_GB2312" w:eastAsia="楷体_GB2312" w:cs="楷体_GB2312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（十）其他重要事项的情况说明</w:t>
      </w:r>
    </w:p>
    <w:p>
      <w:pPr>
        <w:pStyle w:val="14"/>
        <w:numPr>
          <w:numId w:val="0"/>
        </w:numPr>
        <w:spacing w:line="52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b/>
          <w:bCs/>
          <w:sz w:val="32"/>
          <w:szCs w:val="32"/>
        </w:rPr>
        <w:t>政府采购情况。</w:t>
      </w:r>
    </w:p>
    <w:p>
      <w:pPr>
        <w:pStyle w:val="14"/>
        <w:spacing w:line="52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2024年丽水市民政事业发展中心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各单位政府采购预算总额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0.70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万元，其中：政府采购货物预算0.00万元、政府采购工程预算0.00万元、政府采购服务预算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0.70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万元。</w:t>
      </w:r>
    </w:p>
    <w:p>
      <w:pPr>
        <w:pStyle w:val="14"/>
        <w:spacing w:line="520" w:lineRule="exact"/>
        <w:ind w:firstLine="642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国有资产占有使用情况。</w:t>
      </w:r>
    </w:p>
    <w:p>
      <w:pPr>
        <w:spacing w:line="520" w:lineRule="exact"/>
        <w:ind w:firstLine="640"/>
        <w:rPr>
          <w:rFonts w:cs="仿宋_GB2312" w:asciiTheme="minorEastAsia" w:hAnsiTheme="minorEastAsia" w:eastAsiaTheme="minorEastAsia"/>
          <w:sz w:val="32"/>
          <w:szCs w:val="32"/>
          <w:highlight w:val="none"/>
        </w:rPr>
      </w:pPr>
      <w:r>
        <w:rPr>
          <w:rFonts w:hint="eastAsia" w:cs="仿宋_GB2312" w:asciiTheme="minorEastAsia" w:hAnsiTheme="minorEastAsia" w:eastAsiaTheme="minorEastAsia"/>
          <w:spacing w:val="6"/>
          <w:sz w:val="32"/>
          <w:szCs w:val="32"/>
          <w:highlight w:val="none"/>
        </w:rPr>
        <w:t>截至2023年12月31日，所属各预算单位共有车辆</w:t>
      </w:r>
      <w:r>
        <w:rPr>
          <w:rFonts w:hint="eastAsia" w:cs="仿宋_GB2312" w:asciiTheme="minorEastAsia" w:hAnsiTheme="minorEastAsia" w:eastAsiaTheme="minorEastAsia"/>
          <w:sz w:val="32"/>
          <w:szCs w:val="32"/>
          <w:highlight w:val="none"/>
        </w:rPr>
        <w:t>1辆，其中，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其中，领导用车0辆、机要通信用车及应急保障用车0辆、执法执勤用车0辆、特种专业技术用车1辆、老干部服务用车0辆、其他用车0辆。</w:t>
      </w:r>
      <w:r>
        <w:rPr>
          <w:rFonts w:hint="eastAsia" w:cs="仿宋_GB2312" w:asciiTheme="minorEastAsia" w:hAnsiTheme="minorEastAsia" w:eastAsiaTheme="minorEastAsia"/>
          <w:sz w:val="32"/>
          <w:szCs w:val="32"/>
          <w:highlight w:val="none"/>
        </w:rPr>
        <w:t xml:space="preserve">单位价值50万元以上通用设备0台（套），单位价值100万元以上专用设备0台（套）。 </w:t>
      </w:r>
    </w:p>
    <w:p>
      <w:pPr>
        <w:spacing w:line="520" w:lineRule="exact"/>
        <w:ind w:firstLine="640" w:firstLineChars="20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cs="仿宋_GB2312" w:asciiTheme="minorEastAsia" w:hAnsiTheme="minorEastAsia" w:eastAsiaTheme="minorEastAsia"/>
          <w:sz w:val="32"/>
          <w:szCs w:val="32"/>
        </w:rPr>
        <w:t>2024年部门预算未安排购置车辆、单位价值50万元以上通用设备及单位价值100万元以上专用设备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。</w:t>
      </w:r>
    </w:p>
    <w:p>
      <w:pPr>
        <w:pStyle w:val="14"/>
        <w:spacing w:line="52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32"/>
          <w:szCs w:val="32"/>
        </w:rPr>
        <w:t>.预算绩效情况说明。</w:t>
      </w:r>
    </w:p>
    <w:p>
      <w:pPr>
        <w:ind w:firstLine="640" w:firstLineChars="200"/>
        <w:rPr>
          <w:rFonts w:hint="eastAsia" w:cs="仿宋_GB2312" w:asciiTheme="minorEastAsia" w:hAnsiTheme="minorEastAsia" w:eastAsiaTheme="minorEastAsia"/>
          <w:sz w:val="32"/>
          <w:szCs w:val="32"/>
          <w:lang w:eastAsia="zh-CN"/>
        </w:rPr>
      </w:pPr>
      <w:r>
        <w:rPr>
          <w:rFonts w:cs="仿宋_GB2312" w:asciiTheme="minorEastAsia" w:hAnsiTheme="minorEastAsia" w:eastAsiaTheme="minorEastAsia"/>
          <w:sz w:val="32"/>
          <w:szCs w:val="32"/>
        </w:rPr>
        <w:t>2024年丽水市民政事业发展中心</w:t>
      </w:r>
      <w:r>
        <w:rPr>
          <w:rFonts w:hint="eastAsia" w:cs="仿宋_GB2312" w:asciiTheme="minorEastAsia" w:hAnsiTheme="minorEastAsia" w:eastAsiaTheme="minorEastAsia"/>
          <w:sz w:val="32"/>
          <w:szCs w:val="32"/>
          <w:lang w:val="en-US" w:eastAsia="zh-CN"/>
        </w:rPr>
        <w:t>只有人员经费和公用经费，不涉及</w:t>
      </w:r>
      <w:r>
        <w:rPr>
          <w:rFonts w:cs="仿宋_GB2312" w:asciiTheme="minorEastAsia" w:hAnsiTheme="minorEastAsia" w:eastAsiaTheme="minorEastAsia"/>
          <w:sz w:val="32"/>
          <w:szCs w:val="32"/>
        </w:rPr>
        <w:t>其他运转类项目和特定目标类项目</w:t>
      </w:r>
      <w:r>
        <w:rPr>
          <w:rFonts w:hint="eastAsia" w:cs="仿宋_GB2312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4"/>
        <w:spacing w:line="520" w:lineRule="exact"/>
        <w:ind w:firstLine="640" w:firstLineChars="200"/>
        <w:rPr>
          <w:rFonts w:ascii="黑体" w:hAnsi="黑体" w:eastAsia="黑体" w:cs="黑体"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</w:rPr>
        <w:t>三、名词解释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1.财政拨款收入：本级财政部门当年拨付的财政预算资金，包括一般公共预算财政拨款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、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政府性基金预算和国有资本经营预算财政拨款。</w:t>
      </w:r>
    </w:p>
    <w:p>
      <w:pPr>
        <w:spacing w:line="520" w:lineRule="exact"/>
        <w:ind w:firstLine="640" w:firstLineChars="20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2.基本支出：是预算单位为保障其正常运转，完成日常工作任务所发生的支出，包括人员支出和日常公用支出。</w:t>
      </w:r>
    </w:p>
    <w:p>
      <w:pPr>
        <w:spacing w:line="520" w:lineRule="exact"/>
        <w:ind w:firstLine="640" w:firstLineChars="20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3.“三公”经费：纳入财政预决算管理的“三公”经费，是指部门用一般公共预算财政拨款安排的因公出国（境）费、公务用车购置及运行费和公务接待费。其中，因公出国（境）费反映单位公务出国（境）的国际旅费、国外城市间交通费、住宿费、伙食费、培训费、公杂费等支出，不含教学科研人员学术交流；公务用车购置及运行费反映单位公务用车车辆购置支出（含车辆购置税）及燃料费、维修费、过桥过路费、保险费、安全奖励费用等支出；公务接待费反映单位按规定开支的各类公务接待（含外宾接待）支出。</w:t>
      </w:r>
    </w:p>
    <w:p>
      <w:pPr>
        <w:spacing w:line="520" w:lineRule="exact"/>
        <w:ind w:firstLine="640" w:firstLineChars="200"/>
        <w:rPr>
          <w:rFonts w:cs="宋体" w:asciiTheme="minorEastAsia" w:hAnsiTheme="minorEastAsia" w:eastAsiaTheme="minorEastAsia"/>
          <w:color w:val="000000"/>
          <w:kern w:val="0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4.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</w:rPr>
        <w:t xml:space="preserve"> 社会保障和就业支出（类）-社会福利（款）-殡葬（项）：主要用于丽水市民政事业发展中心开展殡葬管理等方面的支出。</w:t>
      </w:r>
    </w:p>
    <w:sectPr>
      <w:headerReference r:id="rId3" w:type="default"/>
      <w:pgSz w:w="11906" w:h="16838"/>
      <w:pgMar w:top="1440" w:right="1800" w:bottom="1440" w:left="1800" w:header="851" w:footer="992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A99C"/>
    <w:multiLevelType w:val="singleLevel"/>
    <w:tmpl w:val="5895A99C"/>
    <w:lvl w:ilvl="0" w:tentative="0">
      <w:start w:val="5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8453C"/>
    <w:rsid w:val="00037FBA"/>
    <w:rsid w:val="00084C3B"/>
    <w:rsid w:val="000D763B"/>
    <w:rsid w:val="000E6273"/>
    <w:rsid w:val="000F6704"/>
    <w:rsid w:val="00133CE1"/>
    <w:rsid w:val="0014553D"/>
    <w:rsid w:val="00151805"/>
    <w:rsid w:val="0018453C"/>
    <w:rsid w:val="001C6D6F"/>
    <w:rsid w:val="001D7273"/>
    <w:rsid w:val="001F186B"/>
    <w:rsid w:val="00240407"/>
    <w:rsid w:val="0025199F"/>
    <w:rsid w:val="00262BFB"/>
    <w:rsid w:val="0027445A"/>
    <w:rsid w:val="002E190E"/>
    <w:rsid w:val="00312421"/>
    <w:rsid w:val="0034320B"/>
    <w:rsid w:val="0035041B"/>
    <w:rsid w:val="00352D79"/>
    <w:rsid w:val="003533AA"/>
    <w:rsid w:val="00372A55"/>
    <w:rsid w:val="003A54FF"/>
    <w:rsid w:val="003B5FFF"/>
    <w:rsid w:val="003D2003"/>
    <w:rsid w:val="003E68CE"/>
    <w:rsid w:val="00403D91"/>
    <w:rsid w:val="004901F0"/>
    <w:rsid w:val="004C1A7E"/>
    <w:rsid w:val="004E07B6"/>
    <w:rsid w:val="004F65D0"/>
    <w:rsid w:val="004F6D96"/>
    <w:rsid w:val="005325D6"/>
    <w:rsid w:val="0054517F"/>
    <w:rsid w:val="0055355B"/>
    <w:rsid w:val="00576237"/>
    <w:rsid w:val="005B1AB5"/>
    <w:rsid w:val="005D0D77"/>
    <w:rsid w:val="005E0A27"/>
    <w:rsid w:val="005E47B3"/>
    <w:rsid w:val="005E7D52"/>
    <w:rsid w:val="005F0904"/>
    <w:rsid w:val="00614B8A"/>
    <w:rsid w:val="00655F61"/>
    <w:rsid w:val="006B2E4F"/>
    <w:rsid w:val="006B3109"/>
    <w:rsid w:val="006C39E2"/>
    <w:rsid w:val="006C41F5"/>
    <w:rsid w:val="006D5442"/>
    <w:rsid w:val="006D7FE3"/>
    <w:rsid w:val="006E085B"/>
    <w:rsid w:val="006F09E8"/>
    <w:rsid w:val="006F455E"/>
    <w:rsid w:val="00705454"/>
    <w:rsid w:val="007072D9"/>
    <w:rsid w:val="00731A0A"/>
    <w:rsid w:val="0073245A"/>
    <w:rsid w:val="00752497"/>
    <w:rsid w:val="00755A48"/>
    <w:rsid w:val="007715EF"/>
    <w:rsid w:val="007A0C65"/>
    <w:rsid w:val="007B431F"/>
    <w:rsid w:val="007D23D7"/>
    <w:rsid w:val="007D24B2"/>
    <w:rsid w:val="007E4CC3"/>
    <w:rsid w:val="00801E01"/>
    <w:rsid w:val="00822080"/>
    <w:rsid w:val="00823268"/>
    <w:rsid w:val="00834DDF"/>
    <w:rsid w:val="00850DC9"/>
    <w:rsid w:val="00862237"/>
    <w:rsid w:val="0089440C"/>
    <w:rsid w:val="00923D76"/>
    <w:rsid w:val="00937AE8"/>
    <w:rsid w:val="009415A1"/>
    <w:rsid w:val="009427F2"/>
    <w:rsid w:val="009A7459"/>
    <w:rsid w:val="009B71E7"/>
    <w:rsid w:val="00A76362"/>
    <w:rsid w:val="00A86842"/>
    <w:rsid w:val="00AB2741"/>
    <w:rsid w:val="00AF42FF"/>
    <w:rsid w:val="00B109C2"/>
    <w:rsid w:val="00B27A0C"/>
    <w:rsid w:val="00B85FDA"/>
    <w:rsid w:val="00BA6311"/>
    <w:rsid w:val="00C10A1B"/>
    <w:rsid w:val="00C35F38"/>
    <w:rsid w:val="00C35FDD"/>
    <w:rsid w:val="00C47BB8"/>
    <w:rsid w:val="00C50353"/>
    <w:rsid w:val="00C52D1F"/>
    <w:rsid w:val="00C72CE9"/>
    <w:rsid w:val="00CC1B9F"/>
    <w:rsid w:val="00CE3F52"/>
    <w:rsid w:val="00D7617F"/>
    <w:rsid w:val="00D81B35"/>
    <w:rsid w:val="00DA4451"/>
    <w:rsid w:val="00DA6F5B"/>
    <w:rsid w:val="00DA7F84"/>
    <w:rsid w:val="00DF037C"/>
    <w:rsid w:val="00E16F71"/>
    <w:rsid w:val="00E20FB4"/>
    <w:rsid w:val="00E40834"/>
    <w:rsid w:val="00E429D8"/>
    <w:rsid w:val="00E44C58"/>
    <w:rsid w:val="00E61E40"/>
    <w:rsid w:val="00E91341"/>
    <w:rsid w:val="00E925CD"/>
    <w:rsid w:val="00E95C9E"/>
    <w:rsid w:val="00EA6879"/>
    <w:rsid w:val="00ED0384"/>
    <w:rsid w:val="00F23B56"/>
    <w:rsid w:val="00F56A05"/>
    <w:rsid w:val="00F7116F"/>
    <w:rsid w:val="01405C62"/>
    <w:rsid w:val="01F263DB"/>
    <w:rsid w:val="01F648EB"/>
    <w:rsid w:val="024C6702"/>
    <w:rsid w:val="026505B4"/>
    <w:rsid w:val="028630A1"/>
    <w:rsid w:val="02FD4879"/>
    <w:rsid w:val="038C7FF1"/>
    <w:rsid w:val="03AA3E3B"/>
    <w:rsid w:val="03EA5C50"/>
    <w:rsid w:val="04600135"/>
    <w:rsid w:val="05054F3D"/>
    <w:rsid w:val="05F46152"/>
    <w:rsid w:val="05F835B0"/>
    <w:rsid w:val="06113422"/>
    <w:rsid w:val="063B27DE"/>
    <w:rsid w:val="065E25EC"/>
    <w:rsid w:val="06835E42"/>
    <w:rsid w:val="07233080"/>
    <w:rsid w:val="07487AC1"/>
    <w:rsid w:val="07623DA7"/>
    <w:rsid w:val="081119C7"/>
    <w:rsid w:val="08DE4DFD"/>
    <w:rsid w:val="0A1D1E06"/>
    <w:rsid w:val="0A4C7CCD"/>
    <w:rsid w:val="0B486D9D"/>
    <w:rsid w:val="0B4F52A1"/>
    <w:rsid w:val="0B652DFD"/>
    <w:rsid w:val="0B654246"/>
    <w:rsid w:val="0BD448F3"/>
    <w:rsid w:val="0C7B7749"/>
    <w:rsid w:val="0CE2397A"/>
    <w:rsid w:val="0CEE5818"/>
    <w:rsid w:val="0DDF3EA9"/>
    <w:rsid w:val="0F0A0BC6"/>
    <w:rsid w:val="0F216C64"/>
    <w:rsid w:val="0F3E23E2"/>
    <w:rsid w:val="0F5C4EB1"/>
    <w:rsid w:val="0F760C96"/>
    <w:rsid w:val="0F8B51E9"/>
    <w:rsid w:val="106B2554"/>
    <w:rsid w:val="1085571C"/>
    <w:rsid w:val="12970A77"/>
    <w:rsid w:val="12D300E7"/>
    <w:rsid w:val="136B79EF"/>
    <w:rsid w:val="13811EEE"/>
    <w:rsid w:val="13FF3975"/>
    <w:rsid w:val="14861683"/>
    <w:rsid w:val="14887B46"/>
    <w:rsid w:val="14EF3497"/>
    <w:rsid w:val="153C45B3"/>
    <w:rsid w:val="157947AC"/>
    <w:rsid w:val="15DB09EF"/>
    <w:rsid w:val="1650535C"/>
    <w:rsid w:val="16B75B8F"/>
    <w:rsid w:val="16FE1938"/>
    <w:rsid w:val="170C3948"/>
    <w:rsid w:val="17EC7FC1"/>
    <w:rsid w:val="17F81734"/>
    <w:rsid w:val="180061CB"/>
    <w:rsid w:val="18154C5A"/>
    <w:rsid w:val="18EF3804"/>
    <w:rsid w:val="195C3A7E"/>
    <w:rsid w:val="19F95663"/>
    <w:rsid w:val="1A2375F0"/>
    <w:rsid w:val="1AC0275A"/>
    <w:rsid w:val="1AE500E3"/>
    <w:rsid w:val="1B1D1342"/>
    <w:rsid w:val="1B2A6629"/>
    <w:rsid w:val="1BBC2184"/>
    <w:rsid w:val="1C103D2D"/>
    <w:rsid w:val="1C1965EC"/>
    <w:rsid w:val="1C7701B9"/>
    <w:rsid w:val="1CEA3F89"/>
    <w:rsid w:val="1CF73295"/>
    <w:rsid w:val="1D451326"/>
    <w:rsid w:val="1D5F4748"/>
    <w:rsid w:val="1D99665F"/>
    <w:rsid w:val="1E621D9B"/>
    <w:rsid w:val="1E9448CB"/>
    <w:rsid w:val="1E945AB3"/>
    <w:rsid w:val="1EFB5835"/>
    <w:rsid w:val="1F8A1433"/>
    <w:rsid w:val="1FD94E57"/>
    <w:rsid w:val="205247F6"/>
    <w:rsid w:val="206501BF"/>
    <w:rsid w:val="20C21B5F"/>
    <w:rsid w:val="20D8491F"/>
    <w:rsid w:val="2163103A"/>
    <w:rsid w:val="217D79B3"/>
    <w:rsid w:val="219B3B12"/>
    <w:rsid w:val="21F8300E"/>
    <w:rsid w:val="22D4227E"/>
    <w:rsid w:val="22FA27EC"/>
    <w:rsid w:val="230477A4"/>
    <w:rsid w:val="234550B7"/>
    <w:rsid w:val="2384696C"/>
    <w:rsid w:val="23B968AE"/>
    <w:rsid w:val="240772FF"/>
    <w:rsid w:val="24183DF0"/>
    <w:rsid w:val="247778DD"/>
    <w:rsid w:val="247A77A8"/>
    <w:rsid w:val="24D6630F"/>
    <w:rsid w:val="24F84929"/>
    <w:rsid w:val="252A0A7B"/>
    <w:rsid w:val="257B506C"/>
    <w:rsid w:val="25AF42DB"/>
    <w:rsid w:val="25B348BA"/>
    <w:rsid w:val="25DE1005"/>
    <w:rsid w:val="25FD2566"/>
    <w:rsid w:val="26806275"/>
    <w:rsid w:val="26816946"/>
    <w:rsid w:val="26DB7398"/>
    <w:rsid w:val="27033FBD"/>
    <w:rsid w:val="2705728B"/>
    <w:rsid w:val="27417BF8"/>
    <w:rsid w:val="27693B45"/>
    <w:rsid w:val="283A129B"/>
    <w:rsid w:val="28FE78EF"/>
    <w:rsid w:val="29672817"/>
    <w:rsid w:val="29954B63"/>
    <w:rsid w:val="29A41943"/>
    <w:rsid w:val="29B831E7"/>
    <w:rsid w:val="29DF16A7"/>
    <w:rsid w:val="29F74F67"/>
    <w:rsid w:val="2A484907"/>
    <w:rsid w:val="2B755902"/>
    <w:rsid w:val="2BA81833"/>
    <w:rsid w:val="2BAC3F70"/>
    <w:rsid w:val="2BB02AB9"/>
    <w:rsid w:val="2C56166B"/>
    <w:rsid w:val="2C772798"/>
    <w:rsid w:val="2CE33635"/>
    <w:rsid w:val="2D391980"/>
    <w:rsid w:val="2D7C6F9A"/>
    <w:rsid w:val="2ED263DE"/>
    <w:rsid w:val="2F312BD6"/>
    <w:rsid w:val="2F4F315F"/>
    <w:rsid w:val="2F5260FE"/>
    <w:rsid w:val="2F78760A"/>
    <w:rsid w:val="30780EC9"/>
    <w:rsid w:val="31651329"/>
    <w:rsid w:val="31C46552"/>
    <w:rsid w:val="31EC7268"/>
    <w:rsid w:val="32691E0F"/>
    <w:rsid w:val="33722AF4"/>
    <w:rsid w:val="339F6CDD"/>
    <w:rsid w:val="344952F9"/>
    <w:rsid w:val="34F20284"/>
    <w:rsid w:val="3619346A"/>
    <w:rsid w:val="366152C5"/>
    <w:rsid w:val="37DD34EA"/>
    <w:rsid w:val="3859649B"/>
    <w:rsid w:val="386D2696"/>
    <w:rsid w:val="38CA384A"/>
    <w:rsid w:val="39227B1B"/>
    <w:rsid w:val="39406911"/>
    <w:rsid w:val="39850296"/>
    <w:rsid w:val="39C26750"/>
    <w:rsid w:val="3A726A34"/>
    <w:rsid w:val="3A7F1D43"/>
    <w:rsid w:val="3A8D223E"/>
    <w:rsid w:val="3B291386"/>
    <w:rsid w:val="3B563038"/>
    <w:rsid w:val="3B7A306D"/>
    <w:rsid w:val="3B80307E"/>
    <w:rsid w:val="3BCA7BD7"/>
    <w:rsid w:val="3C6C37E2"/>
    <w:rsid w:val="3C7D1C3F"/>
    <w:rsid w:val="3CEA3E5A"/>
    <w:rsid w:val="3CFD6A0C"/>
    <w:rsid w:val="3DDA1E4D"/>
    <w:rsid w:val="400943B7"/>
    <w:rsid w:val="40143523"/>
    <w:rsid w:val="406B2735"/>
    <w:rsid w:val="4171469C"/>
    <w:rsid w:val="42C454C8"/>
    <w:rsid w:val="43482ADF"/>
    <w:rsid w:val="43497E11"/>
    <w:rsid w:val="438C52D1"/>
    <w:rsid w:val="43AF1DC7"/>
    <w:rsid w:val="442360D8"/>
    <w:rsid w:val="450B3104"/>
    <w:rsid w:val="45374F70"/>
    <w:rsid w:val="45A32D85"/>
    <w:rsid w:val="45E922E2"/>
    <w:rsid w:val="46181B9F"/>
    <w:rsid w:val="46B73DB3"/>
    <w:rsid w:val="46B85A12"/>
    <w:rsid w:val="46C20ABF"/>
    <w:rsid w:val="471C5409"/>
    <w:rsid w:val="475E76EE"/>
    <w:rsid w:val="47B54AE2"/>
    <w:rsid w:val="484652C3"/>
    <w:rsid w:val="489E735B"/>
    <w:rsid w:val="48EF215B"/>
    <w:rsid w:val="49547ADE"/>
    <w:rsid w:val="499358EA"/>
    <w:rsid w:val="49A70025"/>
    <w:rsid w:val="4A9518DB"/>
    <w:rsid w:val="4AB935E6"/>
    <w:rsid w:val="4B1F601E"/>
    <w:rsid w:val="4B65339C"/>
    <w:rsid w:val="4BE2220E"/>
    <w:rsid w:val="4CBF2857"/>
    <w:rsid w:val="4CF82AE4"/>
    <w:rsid w:val="4D097364"/>
    <w:rsid w:val="4D667BB3"/>
    <w:rsid w:val="4D7808AB"/>
    <w:rsid w:val="4DC87963"/>
    <w:rsid w:val="4E0626FD"/>
    <w:rsid w:val="4EA45B39"/>
    <w:rsid w:val="4EED2017"/>
    <w:rsid w:val="4F2E2211"/>
    <w:rsid w:val="4F4E78CD"/>
    <w:rsid w:val="4FA62E1E"/>
    <w:rsid w:val="4FAC0AB2"/>
    <w:rsid w:val="4FC809F8"/>
    <w:rsid w:val="4FE85961"/>
    <w:rsid w:val="50072C4D"/>
    <w:rsid w:val="50341189"/>
    <w:rsid w:val="50837233"/>
    <w:rsid w:val="514C5668"/>
    <w:rsid w:val="51513799"/>
    <w:rsid w:val="518C29B6"/>
    <w:rsid w:val="52170DB7"/>
    <w:rsid w:val="52AA23A8"/>
    <w:rsid w:val="52B7187A"/>
    <w:rsid w:val="52BF3A93"/>
    <w:rsid w:val="53A5465B"/>
    <w:rsid w:val="53B6028C"/>
    <w:rsid w:val="54392B16"/>
    <w:rsid w:val="54442E65"/>
    <w:rsid w:val="545B2AA1"/>
    <w:rsid w:val="549B5701"/>
    <w:rsid w:val="54A9277D"/>
    <w:rsid w:val="55182E77"/>
    <w:rsid w:val="553F16B7"/>
    <w:rsid w:val="558856A9"/>
    <w:rsid w:val="55CA2A9E"/>
    <w:rsid w:val="55CA3B80"/>
    <w:rsid w:val="55E50F1B"/>
    <w:rsid w:val="565F6886"/>
    <w:rsid w:val="56BC237C"/>
    <w:rsid w:val="56CD4B4D"/>
    <w:rsid w:val="575C7815"/>
    <w:rsid w:val="5798381B"/>
    <w:rsid w:val="57D4447A"/>
    <w:rsid w:val="57F759F2"/>
    <w:rsid w:val="585447AE"/>
    <w:rsid w:val="58AF736D"/>
    <w:rsid w:val="58EC4DE1"/>
    <w:rsid w:val="596B72CE"/>
    <w:rsid w:val="59B3494A"/>
    <w:rsid w:val="59EB1B1F"/>
    <w:rsid w:val="59EC6E24"/>
    <w:rsid w:val="5A0B2520"/>
    <w:rsid w:val="5A186813"/>
    <w:rsid w:val="5A3B2376"/>
    <w:rsid w:val="5A40591F"/>
    <w:rsid w:val="5A6F0692"/>
    <w:rsid w:val="5ABF2E42"/>
    <w:rsid w:val="5B586398"/>
    <w:rsid w:val="5B916903"/>
    <w:rsid w:val="5BEF472E"/>
    <w:rsid w:val="5C932202"/>
    <w:rsid w:val="5CC87E6F"/>
    <w:rsid w:val="5CD918EA"/>
    <w:rsid w:val="5D247D3D"/>
    <w:rsid w:val="5DAE1AC9"/>
    <w:rsid w:val="5E153AF5"/>
    <w:rsid w:val="5F0E1E7F"/>
    <w:rsid w:val="5F112305"/>
    <w:rsid w:val="5F2767B3"/>
    <w:rsid w:val="5FE31F70"/>
    <w:rsid w:val="60045498"/>
    <w:rsid w:val="614C1844"/>
    <w:rsid w:val="617A6C2D"/>
    <w:rsid w:val="618968F0"/>
    <w:rsid w:val="619E6355"/>
    <w:rsid w:val="61BD64DA"/>
    <w:rsid w:val="6215384D"/>
    <w:rsid w:val="627460EE"/>
    <w:rsid w:val="62AC06BC"/>
    <w:rsid w:val="633B4987"/>
    <w:rsid w:val="63525D55"/>
    <w:rsid w:val="63F321C7"/>
    <w:rsid w:val="64C20A08"/>
    <w:rsid w:val="64F06443"/>
    <w:rsid w:val="65737FB9"/>
    <w:rsid w:val="65DF5ECF"/>
    <w:rsid w:val="661D7FD4"/>
    <w:rsid w:val="665A45AE"/>
    <w:rsid w:val="66A662C4"/>
    <w:rsid w:val="66DE2D4E"/>
    <w:rsid w:val="67222B8A"/>
    <w:rsid w:val="679D182D"/>
    <w:rsid w:val="67BB6396"/>
    <w:rsid w:val="68794E30"/>
    <w:rsid w:val="687B5327"/>
    <w:rsid w:val="688621C1"/>
    <w:rsid w:val="68C15BDE"/>
    <w:rsid w:val="6AD23ACD"/>
    <w:rsid w:val="6AE706B2"/>
    <w:rsid w:val="6B103823"/>
    <w:rsid w:val="6B315A81"/>
    <w:rsid w:val="6C3F4637"/>
    <w:rsid w:val="6C9D07C7"/>
    <w:rsid w:val="6CB426A8"/>
    <w:rsid w:val="6D3835CD"/>
    <w:rsid w:val="6D9B59D3"/>
    <w:rsid w:val="6DDF18A8"/>
    <w:rsid w:val="6E7742D5"/>
    <w:rsid w:val="6E947A29"/>
    <w:rsid w:val="6EFB1E55"/>
    <w:rsid w:val="701E0D35"/>
    <w:rsid w:val="708C2BAE"/>
    <w:rsid w:val="717A54B6"/>
    <w:rsid w:val="71E47115"/>
    <w:rsid w:val="72124418"/>
    <w:rsid w:val="72BF52A3"/>
    <w:rsid w:val="73520170"/>
    <w:rsid w:val="73B32D5B"/>
    <w:rsid w:val="74906E74"/>
    <w:rsid w:val="74D2633E"/>
    <w:rsid w:val="75127B2A"/>
    <w:rsid w:val="756B70AB"/>
    <w:rsid w:val="762D45E7"/>
    <w:rsid w:val="76432C97"/>
    <w:rsid w:val="76472E5B"/>
    <w:rsid w:val="76622032"/>
    <w:rsid w:val="76DA2B8D"/>
    <w:rsid w:val="773F1B2E"/>
    <w:rsid w:val="776141C0"/>
    <w:rsid w:val="77E71EE7"/>
    <w:rsid w:val="78403651"/>
    <w:rsid w:val="784051C1"/>
    <w:rsid w:val="789E16E5"/>
    <w:rsid w:val="78DB40C6"/>
    <w:rsid w:val="7954401D"/>
    <w:rsid w:val="79547EF1"/>
    <w:rsid w:val="79A24C96"/>
    <w:rsid w:val="7AC02D1F"/>
    <w:rsid w:val="7AE80A7B"/>
    <w:rsid w:val="7AE861A8"/>
    <w:rsid w:val="7B452E9A"/>
    <w:rsid w:val="7B5E14E4"/>
    <w:rsid w:val="7B741965"/>
    <w:rsid w:val="7BBF78B4"/>
    <w:rsid w:val="7BFE30BC"/>
    <w:rsid w:val="7C0A7BF1"/>
    <w:rsid w:val="7CD24C07"/>
    <w:rsid w:val="7CDD0037"/>
    <w:rsid w:val="7D2C5AF6"/>
    <w:rsid w:val="7D8F4D87"/>
    <w:rsid w:val="7DBB66FE"/>
    <w:rsid w:val="7DBE27C1"/>
    <w:rsid w:val="7DCA5F0F"/>
    <w:rsid w:val="7E1F736F"/>
    <w:rsid w:val="7E300305"/>
    <w:rsid w:val="7E7D74C3"/>
    <w:rsid w:val="7F346A78"/>
    <w:rsid w:val="7FA57776"/>
    <w:rsid w:val="7FC250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3">
    <w:name w:val="[Normal]"/>
    <w:qFormat/>
    <w:uiPriority w:val="0"/>
    <w:rPr>
      <w:rFonts w:ascii="宋体" w:hAnsi="宋体" w:eastAsia="宋体" w:cs="Times New Roman"/>
      <w:sz w:val="24"/>
      <w:lang w:val="zh-CN" w:eastAsia="zh-CN" w:bidi="ar-SA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xc</Company>
  <Pages>8</Pages>
  <Words>500</Words>
  <Characters>2850</Characters>
  <Lines>23</Lines>
  <Paragraphs>6</Paragraphs>
  <TotalTime>13</TotalTime>
  <ScaleCrop>false</ScaleCrop>
  <LinksUpToDate>false</LinksUpToDate>
  <CharactersWithSpaces>3344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2024-03-29T07:21:00Z</dcterms:created>
  <dc:creator>dsx</dc:creator>
  <cp:lastModifiedBy>叶水花</cp:lastModifiedBy>
  <dcterms:modified xsi:type="dcterms:W3CDTF">2024-04-02T09:32:41Z</dcterms:modified>
  <dc:title>关于2019年部门预算的批复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EDOID">
    <vt:r8>5838458</vt:r8>
  </property>
  <property fmtid="{D5CDD505-2E9C-101B-9397-08002B2CF9AE}" pid="4" name="ICV">
    <vt:lpwstr>E7E435903E954F16B3A6550F30CE4D1E</vt:lpwstr>
  </property>
</Properties>
</file>