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00" w:lineRule="exact"/>
        <w:ind w:firstLine="640"/>
        <w:rPr>
          <w:rFonts w:ascii="仿宋_GB2312"/>
          <w:color w:val="000000"/>
        </w:rPr>
      </w:pPr>
      <w:bookmarkStart w:id="110" w:name="_GoBack"/>
      <w:bookmarkEnd w:id="110"/>
    </w:p>
    <w:p>
      <w:pPr>
        <w:overflowPunct w:val="0"/>
        <w:spacing w:line="560" w:lineRule="exact"/>
        <w:ind w:firstLine="640"/>
        <w:rPr>
          <w:rFonts w:ascii="仿宋_GB2312"/>
          <w:color w:val="000000"/>
        </w:rPr>
      </w:pPr>
    </w:p>
    <w:p>
      <w:pPr>
        <w:overflowPunct w:val="0"/>
        <w:spacing w:line="520" w:lineRule="exact"/>
        <w:ind w:firstLine="640"/>
        <w:rPr>
          <w:rFonts w:ascii="仿宋_GB2312"/>
          <w:color w:val="000000"/>
        </w:rPr>
      </w:pPr>
    </w:p>
    <w:p>
      <w:pPr>
        <w:overflowPunct w:val="0"/>
        <w:spacing w:line="560" w:lineRule="exact"/>
        <w:ind w:firstLine="640"/>
        <w:rPr>
          <w:rFonts w:ascii="楷体_GB2312" w:eastAsia="楷体_GB2312"/>
          <w:color w:val="000000"/>
          <w:sz w:val="60"/>
          <w:szCs w:val="60"/>
        </w:rPr>
      </w:pPr>
      <w:r>
        <w:rPr>
          <w:rFonts w:hint="eastAsia" w:ascii="仿宋_GB2312"/>
          <w:color w:val="000000"/>
        </w:rPr>
        <w:t xml:space="preserve">                                          </w:t>
      </w:r>
    </w:p>
    <w:p>
      <w:pPr>
        <w:overflowPunct w:val="0"/>
        <w:spacing w:line="560" w:lineRule="exact"/>
        <w:ind w:firstLine="640"/>
        <w:rPr>
          <w:rFonts w:ascii="仿宋_GB2312"/>
          <w:color w:val="000000"/>
        </w:rPr>
      </w:pPr>
    </w:p>
    <w:p>
      <w:pPr>
        <w:overflowPunct w:val="0"/>
        <w:spacing w:line="560" w:lineRule="exact"/>
        <w:rPr>
          <w:rFonts w:ascii="仿宋_GB2312"/>
          <w:color w:val="000000"/>
          <w:sz w:val="44"/>
          <w:szCs w:val="44"/>
        </w:rPr>
      </w:pPr>
    </w:p>
    <w:p>
      <w:pPr>
        <w:overflowPunct w:val="0"/>
        <w:spacing w:line="560" w:lineRule="exact"/>
        <w:ind w:firstLine="640"/>
        <w:rPr>
          <w:rFonts w:ascii="仿宋_GB2312"/>
          <w:color w:val="000000"/>
        </w:rPr>
      </w:pPr>
    </w:p>
    <w:p>
      <w:pPr>
        <w:tabs>
          <w:tab w:val="left" w:pos="7560"/>
        </w:tabs>
        <w:overflowPunct w:val="0"/>
        <w:spacing w:line="500" w:lineRule="exact"/>
        <w:ind w:firstLine="0" w:firstLineChars="0"/>
        <w:jc w:val="center"/>
        <w:rPr>
          <w:rFonts w:ascii="仿宋_GB2312"/>
          <w:color w:val="000000"/>
          <w:szCs w:val="32"/>
        </w:rPr>
      </w:pPr>
      <w:r>
        <w:rPr>
          <w:rFonts w:hint="eastAsia" w:ascii="仿宋_GB2312"/>
          <w:color w:val="000000"/>
          <w:szCs w:val="32"/>
        </w:rPr>
        <w:t>丽委办发〔2020〕33号</w:t>
      </w:r>
    </w:p>
    <w:p>
      <w:pPr>
        <w:overflowPunct w:val="0"/>
        <w:spacing w:line="400" w:lineRule="exact"/>
        <w:ind w:firstLine="640"/>
        <w:jc w:val="center"/>
        <w:rPr>
          <w:rFonts w:ascii="仿宋_GB2312"/>
          <w:color w:val="000000"/>
        </w:rPr>
      </w:pPr>
    </w:p>
    <w:p>
      <w:pPr>
        <w:overflowPunct w:val="0"/>
        <w:spacing w:line="400" w:lineRule="exact"/>
        <w:ind w:firstLine="640"/>
        <w:jc w:val="center"/>
        <w:rPr>
          <w:rFonts w:ascii="仿宋_GB2312"/>
          <w:color w:val="000000"/>
        </w:rPr>
      </w:pPr>
    </w:p>
    <w:p>
      <w:pPr>
        <w:overflowPunct w:val="0"/>
        <w:spacing w:line="600" w:lineRule="exact"/>
        <w:ind w:firstLine="640"/>
        <w:jc w:val="center"/>
        <w:rPr>
          <w:rFonts w:ascii="仿宋_GB2312"/>
          <w:color w:val="000000"/>
        </w:rPr>
      </w:pPr>
    </w:p>
    <w:p>
      <w:pPr>
        <w:overflowPunct w:val="0"/>
        <w:snapToGrid w:val="0"/>
        <w:spacing w:line="600" w:lineRule="exact"/>
        <w:ind w:firstLine="0" w:firstLineChars="0"/>
        <w:contextualSpacing/>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中共丽水市委办公室</w:t>
      </w:r>
      <w:r>
        <w:rPr>
          <w:rFonts w:ascii="方正小标宋简体" w:hAnsi="宋体" w:eastAsia="方正小标宋简体"/>
          <w:color w:val="000000"/>
          <w:kern w:val="0"/>
          <w:sz w:val="44"/>
          <w:szCs w:val="44"/>
        </w:rPr>
        <w:t xml:space="preserve">  </w:t>
      </w:r>
      <w:r>
        <w:rPr>
          <w:rFonts w:hint="eastAsia" w:ascii="方正小标宋简体" w:hAnsi="宋体" w:eastAsia="方正小标宋简体"/>
          <w:color w:val="000000"/>
          <w:kern w:val="0"/>
          <w:sz w:val="44"/>
          <w:szCs w:val="44"/>
        </w:rPr>
        <w:t>丽水市人民政府办公室</w:t>
      </w:r>
    </w:p>
    <w:p>
      <w:pPr>
        <w:overflowPunct w:val="0"/>
        <w:snapToGrid w:val="0"/>
        <w:spacing w:line="600" w:lineRule="exact"/>
        <w:ind w:firstLine="0" w:firstLineChars="0"/>
        <w:contextualSpacing/>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关于印发《丽水市“一带三区”发展规划》的通</w:t>
      </w:r>
      <w:r>
        <w:rPr>
          <w:rFonts w:ascii="方正小标宋简体" w:hAnsi="宋体" w:eastAsia="方正小标宋简体"/>
          <w:color w:val="000000"/>
          <w:kern w:val="0"/>
          <w:sz w:val="44"/>
          <w:szCs w:val="44"/>
        </w:rPr>
        <w:t xml:space="preserve"> </w:t>
      </w:r>
      <w:r>
        <w:rPr>
          <w:rFonts w:hint="eastAsia" w:ascii="方正小标宋简体" w:hAnsi="宋体" w:eastAsia="方正小标宋简体"/>
          <w:color w:val="000000"/>
          <w:kern w:val="0"/>
          <w:sz w:val="44"/>
          <w:szCs w:val="44"/>
        </w:rPr>
        <w:t>知</w:t>
      </w:r>
    </w:p>
    <w:p>
      <w:pPr>
        <w:pStyle w:val="14"/>
        <w:overflowPunct w:val="0"/>
        <w:spacing w:before="0" w:beforeAutospacing="0" w:after="0" w:afterAutospacing="0" w:line="600" w:lineRule="exact"/>
        <w:ind w:firstLine="0"/>
        <w:jc w:val="center"/>
        <w:rPr>
          <w:rFonts w:ascii="方正小标宋简体" w:hAnsi="Times New Roman" w:eastAsia="方正小标宋简体" w:cs="Times New Roman"/>
          <w:kern w:val="2"/>
          <w:sz w:val="44"/>
          <w:szCs w:val="44"/>
        </w:rPr>
      </w:pPr>
    </w:p>
    <w:p>
      <w:pPr>
        <w:pStyle w:val="14"/>
        <w:overflowPunct w:val="0"/>
        <w:spacing w:before="0" w:beforeAutospacing="0" w:after="0" w:afterAutospacing="0" w:line="600" w:lineRule="exact"/>
        <w:ind w:firstLine="0"/>
        <w:jc w:val="both"/>
        <w:rPr>
          <w:rFonts w:hint="eastAsia" w:ascii="仿宋_GB2312" w:eastAsia="仿宋_GB2312"/>
          <w:color w:val="000000"/>
          <w:sz w:val="32"/>
          <w:szCs w:val="32"/>
        </w:rPr>
      </w:pPr>
      <w:r>
        <w:rPr>
          <w:rFonts w:hint="eastAsia" w:ascii="仿宋_GB2312" w:eastAsia="仿宋_GB2312"/>
          <w:color w:val="000000"/>
          <w:sz w:val="32"/>
          <w:szCs w:val="32"/>
        </w:rPr>
        <w:t>各县（市、区）党委和人民政府，市直属各单位：</w:t>
      </w:r>
    </w:p>
    <w:p>
      <w:pPr>
        <w:pStyle w:val="14"/>
        <w:overflowPunct w:val="0"/>
        <w:spacing w:before="0" w:beforeAutospacing="0" w:after="0" w:afterAutospacing="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《丽水市“一带三区”发展规划》已经市委、市政府同意，现印发给你们，请结合实际认真贯彻落实。</w:t>
      </w:r>
    </w:p>
    <w:p>
      <w:pPr>
        <w:pStyle w:val="14"/>
        <w:overflowPunct w:val="0"/>
        <w:spacing w:before="0" w:beforeAutospacing="0" w:after="0" w:afterAutospacing="0" w:line="600" w:lineRule="exact"/>
        <w:ind w:firstLine="645"/>
        <w:jc w:val="both"/>
        <w:rPr>
          <w:rFonts w:ascii="仿宋_GB2312" w:eastAsia="仿宋_GB2312"/>
          <w:color w:val="000000"/>
          <w:sz w:val="32"/>
          <w:szCs w:val="32"/>
        </w:rPr>
      </w:pPr>
    </w:p>
    <w:p>
      <w:pPr>
        <w:pStyle w:val="14"/>
        <w:overflowPunct w:val="0"/>
        <w:spacing w:before="0" w:beforeAutospacing="0" w:after="0" w:afterAutospacing="0" w:line="600" w:lineRule="exact"/>
        <w:ind w:firstLine="4320" w:firstLineChars="1200"/>
        <w:jc w:val="both"/>
        <w:rPr>
          <w:rFonts w:ascii="仿宋_GB2312" w:eastAsia="仿宋_GB2312"/>
          <w:color w:val="000000"/>
          <w:spacing w:val="20"/>
          <w:sz w:val="32"/>
          <w:szCs w:val="32"/>
        </w:rPr>
      </w:pPr>
      <w:r>
        <w:rPr>
          <w:rFonts w:ascii="仿宋_GB2312" w:eastAsia="仿宋_GB2312"/>
          <w:color w:val="000000"/>
          <w:spacing w:val="20"/>
          <w:sz w:val="32"/>
          <w:szCs w:val="32"/>
        </w:rPr>
        <w:t xml:space="preserve">    </w:t>
      </w:r>
      <w:r>
        <w:rPr>
          <w:rFonts w:hint="eastAsia" w:ascii="仿宋_GB2312" w:eastAsia="仿宋_GB2312"/>
          <w:color w:val="000000"/>
          <w:spacing w:val="20"/>
          <w:sz w:val="32"/>
          <w:szCs w:val="32"/>
        </w:rPr>
        <w:t>中共丽水市委办公室</w:t>
      </w:r>
    </w:p>
    <w:p>
      <w:pPr>
        <w:pStyle w:val="14"/>
        <w:overflowPunct w:val="0"/>
        <w:spacing w:before="0" w:beforeAutospacing="0" w:after="0" w:afterAutospacing="0" w:line="600" w:lineRule="exact"/>
        <w:ind w:firstLine="5120" w:firstLineChars="1600"/>
        <w:jc w:val="both"/>
        <w:rPr>
          <w:rFonts w:ascii="仿宋_GB2312" w:eastAsia="仿宋_GB2312"/>
          <w:color w:val="000000"/>
          <w:sz w:val="32"/>
          <w:szCs w:val="32"/>
        </w:rPr>
      </w:pPr>
      <w:r>
        <w:rPr>
          <w:rFonts w:hint="eastAsia" w:ascii="仿宋_GB2312" w:eastAsia="仿宋_GB2312"/>
          <w:color w:val="000000"/>
          <w:sz w:val="32"/>
          <w:szCs w:val="32"/>
        </w:rPr>
        <w:t>丽水市人民政府办公室</w:t>
      </w:r>
    </w:p>
    <w:p>
      <w:pPr>
        <w:pStyle w:val="14"/>
        <w:overflowPunct w:val="0"/>
        <w:spacing w:before="0" w:beforeAutospacing="0" w:after="0" w:afterAutospacing="0" w:line="600" w:lineRule="exact"/>
        <w:ind w:firstLineChars="150"/>
        <w:jc w:val="both"/>
        <w:rPr>
          <w:rFonts w:ascii="仿宋_GB2312" w:eastAsia="仿宋_GB2312"/>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月20日</w:t>
      </w:r>
    </w:p>
    <w:p>
      <w:pPr>
        <w:overflowPunct w:val="0"/>
        <w:snapToGrid w:val="0"/>
        <w:spacing w:line="600" w:lineRule="exact"/>
        <w:ind w:firstLine="964"/>
        <w:contextualSpacing/>
        <w:rPr>
          <w:rFonts w:ascii="Times New Roman" w:eastAsia="黑体"/>
          <w:b/>
          <w:sz w:val="48"/>
          <w:szCs w:val="48"/>
        </w:rPr>
      </w:pPr>
    </w:p>
    <w:p>
      <w:pPr>
        <w:overflowPunct w:val="0"/>
        <w:snapToGrid w:val="0"/>
        <w:spacing w:line="600" w:lineRule="exact"/>
        <w:ind w:firstLine="0" w:firstLineChars="0"/>
        <w:contextualSpacing/>
        <w:jc w:val="center"/>
        <w:rPr>
          <w:rFonts w:ascii="方正小标宋简体" w:eastAsia="方正小标宋简体"/>
          <w:sz w:val="44"/>
          <w:szCs w:val="44"/>
        </w:rPr>
      </w:pPr>
      <w:r>
        <w:rPr>
          <w:rFonts w:hint="eastAsia" w:ascii="方正小标宋简体" w:eastAsia="方正小标宋简体"/>
          <w:sz w:val="44"/>
          <w:szCs w:val="44"/>
        </w:rPr>
        <w:t>丽水市“一带三区”发展规划</w:t>
      </w:r>
    </w:p>
    <w:p>
      <w:pPr>
        <w:overflowPunct w:val="0"/>
        <w:snapToGrid w:val="0"/>
        <w:spacing w:line="600" w:lineRule="exact"/>
        <w:contextualSpacing/>
        <w:rPr>
          <w:rFonts w:ascii="方正小标宋简体" w:eastAsia="方正小标宋简体"/>
          <w:sz w:val="44"/>
          <w:szCs w:val="44"/>
        </w:rPr>
      </w:pPr>
    </w:p>
    <w:p>
      <w:pPr>
        <w:overflowPunct w:val="0"/>
        <w:spacing w:line="600" w:lineRule="exact"/>
        <w:ind w:firstLine="640"/>
        <w:rPr>
          <w:rFonts w:ascii="Times New Roman"/>
          <w:szCs w:val="32"/>
        </w:rPr>
      </w:pPr>
      <w:bookmarkStart w:id="0" w:name="_Toc57903636"/>
      <w:bookmarkStart w:id="1" w:name="_Toc37102828"/>
      <w:bookmarkStart w:id="2" w:name="_Toc1191939501"/>
      <w:r>
        <w:rPr>
          <w:rFonts w:hint="eastAsia" w:ascii="Times New Roman"/>
          <w:szCs w:val="32"/>
        </w:rPr>
        <w:t>为贯彻落实《</w:t>
      </w:r>
      <w:r>
        <w:rPr>
          <w:rFonts w:hint="eastAsia" w:ascii="Times New Roman"/>
          <w:szCs w:val="32"/>
          <w:shd w:val="clear" w:color="auto" w:fill="FFFFFF"/>
        </w:rPr>
        <w:t>中共丽水市委关于大力推进跨山统筹全面加快区域协调发展的决定</w:t>
      </w:r>
      <w:r>
        <w:rPr>
          <w:rFonts w:hint="eastAsia" w:ascii="Times New Roman"/>
          <w:szCs w:val="32"/>
        </w:rPr>
        <w:t>》，高水平构建“一带三区”发展新格局，</w:t>
      </w:r>
      <w:r>
        <w:rPr>
          <w:rFonts w:hint="eastAsia" w:ascii="Times New Roman"/>
          <w:szCs w:val="32"/>
          <w:shd w:val="clear" w:color="auto" w:fill="FFFFFF"/>
        </w:rPr>
        <w:t>又好又快推进实现高水平生态文明建设和高质量绿色发展，</w:t>
      </w:r>
      <w:r>
        <w:rPr>
          <w:rFonts w:hint="eastAsia" w:ascii="Times New Roman"/>
          <w:szCs w:val="32"/>
        </w:rPr>
        <w:t>特编制本规划。</w:t>
      </w:r>
    </w:p>
    <w:p>
      <w:pPr>
        <w:pStyle w:val="6"/>
        <w:keepNext w:val="0"/>
        <w:keepLines w:val="0"/>
        <w:overflowPunct w:val="0"/>
        <w:spacing w:line="600" w:lineRule="exact"/>
        <w:ind w:firstLine="640"/>
        <w:rPr>
          <w:rFonts w:ascii="Times New Roman" w:hAnsi="Times New Roman" w:eastAsia="黑体"/>
          <w:b w:val="0"/>
        </w:rPr>
      </w:pPr>
      <w:r>
        <w:rPr>
          <w:rFonts w:hint="eastAsia" w:ascii="Times New Roman" w:hAnsi="Times New Roman" w:eastAsia="黑体"/>
          <w:b w:val="0"/>
        </w:rPr>
        <w:t>一、总体要求</w:t>
      </w:r>
      <w:bookmarkEnd w:id="0"/>
      <w:bookmarkEnd w:id="1"/>
      <w:bookmarkEnd w:id="2"/>
    </w:p>
    <w:p>
      <w:pPr>
        <w:pStyle w:val="7"/>
        <w:keepLines w:val="0"/>
        <w:overflowPunct w:val="0"/>
        <w:spacing w:line="600" w:lineRule="exact"/>
        <w:ind w:firstLine="640"/>
        <w:rPr>
          <w:rFonts w:ascii="Times New Roman" w:eastAsia="楷体_GB2312"/>
          <w:b w:val="0"/>
        </w:rPr>
      </w:pPr>
      <w:bookmarkStart w:id="3" w:name="_Toc1316164987"/>
      <w:bookmarkStart w:id="4" w:name="_Toc57903637"/>
      <w:bookmarkStart w:id="5" w:name="_Toc37102829"/>
      <w:r>
        <w:rPr>
          <w:rFonts w:hint="eastAsia" w:ascii="Times New Roman" w:eastAsia="楷体_GB2312"/>
          <w:b w:val="0"/>
        </w:rPr>
        <w:t>（一）指导思想</w:t>
      </w:r>
      <w:bookmarkEnd w:id="3"/>
      <w:bookmarkEnd w:id="4"/>
    </w:p>
    <w:p>
      <w:pPr>
        <w:overflowPunct w:val="0"/>
        <w:spacing w:line="600" w:lineRule="exact"/>
        <w:ind w:firstLine="640"/>
        <w:rPr>
          <w:rFonts w:ascii="Times New Roman"/>
          <w:spacing w:val="-6"/>
          <w:szCs w:val="32"/>
        </w:rPr>
      </w:pPr>
      <w:r>
        <w:rPr>
          <w:rFonts w:hint="eastAsia" w:ascii="Times New Roman"/>
          <w:szCs w:val="32"/>
        </w:rPr>
        <w:t>坚持以习近平新时代中国特色社会主义思想为指导，全面贯彻党的十九大和十九届二中、三中、四中、五中全会精神，坚定不移走创新实践“绿水青山就是金山银山”理念发展道路，创新运用跨山统筹“金钥匙”，建设统筹有力、协同有方、竞争有序、合作有效的区域协调发展新机制，构建主体功能聚焦、特色优势互补、整体协同并进的区域经济社会发展新格局，实现跨越式发展，成为全省新发展格局中的新增长极，建成全面展示浙江高水</w:t>
      </w:r>
      <w:r>
        <w:rPr>
          <w:rFonts w:hint="eastAsia" w:ascii="Times New Roman"/>
          <w:spacing w:val="-6"/>
          <w:szCs w:val="32"/>
        </w:rPr>
        <w:t>平生态文明建设和高质量绿色发展两方面成果和经验的重要窗口。</w:t>
      </w:r>
    </w:p>
    <w:p>
      <w:pPr>
        <w:pStyle w:val="7"/>
        <w:keepLines w:val="0"/>
        <w:overflowPunct w:val="0"/>
        <w:spacing w:line="600" w:lineRule="exact"/>
        <w:ind w:firstLine="640"/>
        <w:rPr>
          <w:rFonts w:ascii="Times New Roman" w:eastAsia="楷体_GB2312"/>
          <w:b w:val="0"/>
        </w:rPr>
      </w:pPr>
      <w:bookmarkStart w:id="6" w:name="_Toc57903638"/>
      <w:bookmarkStart w:id="7" w:name="_Toc1944180347"/>
      <w:r>
        <w:rPr>
          <w:rFonts w:hint="eastAsia" w:ascii="Times New Roman" w:eastAsia="楷体_GB2312"/>
          <w:b w:val="0"/>
        </w:rPr>
        <w:t>（二）发展原则</w:t>
      </w:r>
      <w:bookmarkEnd w:id="6"/>
      <w:bookmarkEnd w:id="7"/>
    </w:p>
    <w:p>
      <w:pPr>
        <w:pStyle w:val="21"/>
        <w:overflowPunct w:val="0"/>
        <w:spacing w:line="600" w:lineRule="exact"/>
        <w:ind w:firstLine="627" w:firstLineChars="196"/>
        <w:jc w:val="both"/>
        <w:rPr>
          <w:rFonts w:ascii="Times New Roman" w:hAnsi="Times New Roman" w:eastAsia="仿宋_GB2312" w:cs="Times New Roman"/>
          <w:color w:val="auto"/>
          <w:kern w:val="2"/>
          <w:sz w:val="32"/>
          <w:szCs w:val="32"/>
        </w:rPr>
      </w:pPr>
      <w:r>
        <w:rPr>
          <w:rFonts w:hint="eastAsia" w:ascii="Times New Roman" w:hAnsi="Times New Roman" w:eastAsia="仿宋_GB2312" w:cs="Times New Roman"/>
          <w:bCs/>
          <w:color w:val="auto"/>
          <w:kern w:val="2"/>
          <w:sz w:val="32"/>
          <w:szCs w:val="32"/>
        </w:rPr>
        <w:t>坚持生态优先。</w:t>
      </w:r>
      <w:r>
        <w:rPr>
          <w:rFonts w:hint="eastAsia" w:ascii="Times New Roman" w:hAnsi="Times New Roman" w:eastAsia="仿宋_GB2312" w:cs="Times New Roman"/>
          <w:color w:val="auto"/>
          <w:kern w:val="2"/>
          <w:sz w:val="32"/>
          <w:szCs w:val="32"/>
        </w:rPr>
        <w:t>践行“绿水青山就是金山银山”理念，</w:t>
      </w:r>
      <w:bookmarkStart w:id="8" w:name="_Hlk59191039"/>
      <w:r>
        <w:rPr>
          <w:rFonts w:hint="eastAsia" w:hAnsi="Times New Roman" w:eastAsia="仿宋_GB2312" w:cs="Times New Roman"/>
          <w:color w:val="auto"/>
          <w:kern w:val="2"/>
          <w:sz w:val="32"/>
        </w:rPr>
        <w:t>全方位、全地域、全过程开展生态文明建设，</w:t>
      </w:r>
      <w:bookmarkEnd w:id="8"/>
      <w:r>
        <w:rPr>
          <w:rFonts w:hint="eastAsia" w:ascii="Times New Roman" w:hAnsi="Times New Roman" w:eastAsia="仿宋_GB2312" w:cs="Times New Roman"/>
          <w:color w:val="auto"/>
          <w:kern w:val="2"/>
          <w:sz w:val="32"/>
          <w:szCs w:val="32"/>
        </w:rPr>
        <w:t>对标世界一流，推进生态环境共保联治，提升生态环境治理体系和治理能力现代化水平，生态环境质量保持全国领先。</w:t>
      </w:r>
    </w:p>
    <w:p>
      <w:pPr>
        <w:pStyle w:val="21"/>
        <w:overflowPunct w:val="0"/>
        <w:spacing w:line="600" w:lineRule="exact"/>
        <w:ind w:firstLine="627" w:firstLineChars="196"/>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Cs/>
          <w:color w:val="auto"/>
          <w:kern w:val="2"/>
          <w:sz w:val="32"/>
          <w:szCs w:val="32"/>
        </w:rPr>
        <w:t>坚持全域统筹。以一</w:t>
      </w:r>
      <w:r>
        <w:rPr>
          <w:rFonts w:hint="eastAsia" w:ascii="Times New Roman" w:hAnsi="Times New Roman" w:eastAsia="仿宋_GB2312" w:cs="Times New Roman"/>
          <w:color w:val="auto"/>
          <w:kern w:val="2"/>
          <w:sz w:val="32"/>
          <w:szCs w:val="32"/>
        </w:rPr>
        <w:t>体化、协同化、差异化的发展思维，统筹全域生产力要素布局、资源开发、设施配套、交通建设，优化生产要素配置和主体功能区划。统筹全域空间人口布局，推动生产力由散到聚、以聚促变，实现区域协调发展全国领先。</w:t>
      </w:r>
    </w:p>
    <w:p>
      <w:pPr>
        <w:pStyle w:val="21"/>
        <w:overflowPunct w:val="0"/>
        <w:spacing w:line="600" w:lineRule="exact"/>
        <w:ind w:firstLine="627" w:firstLineChars="196"/>
        <w:jc w:val="both"/>
        <w:rPr>
          <w:rFonts w:ascii="Times New Roman" w:hAnsi="Times New Roman" w:eastAsia="仿宋_GB2312" w:cs="Times New Roman"/>
          <w:bCs/>
          <w:color w:val="auto"/>
          <w:kern w:val="2"/>
          <w:sz w:val="32"/>
          <w:szCs w:val="32"/>
        </w:rPr>
      </w:pPr>
      <w:r>
        <w:rPr>
          <w:rFonts w:hint="eastAsia" w:ascii="Times New Roman" w:hAnsi="Times New Roman" w:eastAsia="仿宋_GB2312" w:cs="Times New Roman"/>
          <w:bCs/>
          <w:color w:val="auto"/>
          <w:kern w:val="2"/>
          <w:sz w:val="32"/>
          <w:szCs w:val="32"/>
        </w:rPr>
        <w:t>坚持创新引领。实施创新驱动发展战略，把创新作为推动丽水高质量绿色发展的核心关键，深刻把握“生态经济化、经济生态化”的基本内涵，以创新架起通往现代化生态经济体系的桥梁，实现绿色发展全国领先。</w:t>
      </w:r>
    </w:p>
    <w:p>
      <w:pPr>
        <w:pStyle w:val="21"/>
        <w:overflowPunct w:val="0"/>
        <w:spacing w:line="600" w:lineRule="exact"/>
        <w:ind w:firstLine="627" w:firstLineChars="196"/>
        <w:jc w:val="both"/>
        <w:rPr>
          <w:rFonts w:ascii="Times New Roman" w:hAnsi="Times New Roman" w:eastAsia="仿宋_GB2312" w:cs="Times New Roman"/>
          <w:bCs/>
          <w:color w:val="auto"/>
          <w:kern w:val="2"/>
          <w:sz w:val="32"/>
          <w:szCs w:val="32"/>
        </w:rPr>
      </w:pPr>
      <w:r>
        <w:rPr>
          <w:rFonts w:hint="eastAsia" w:ascii="Times New Roman" w:hAnsi="Times New Roman" w:eastAsia="仿宋_GB2312" w:cs="Times New Roman"/>
          <w:bCs/>
          <w:color w:val="auto"/>
          <w:kern w:val="2"/>
          <w:sz w:val="32"/>
          <w:szCs w:val="32"/>
        </w:rPr>
        <w:t>坚持以人为本。牢固树立以人民为中心的发展思想，加快经济发展促进人民增收致富，增加</w:t>
      </w:r>
      <w:r>
        <w:rPr>
          <w:rFonts w:hint="eastAsia" w:ascii="Times New Roman" w:hAnsi="Times New Roman" w:eastAsia="仿宋_GB2312"/>
          <w:color w:val="auto"/>
          <w:sz w:val="32"/>
          <w:szCs w:val="32"/>
        </w:rPr>
        <w:t>优质公共服务供给，不断保障和</w:t>
      </w:r>
      <w:r>
        <w:rPr>
          <w:rFonts w:hint="eastAsia" w:ascii="Times New Roman" w:hAnsi="Times New Roman" w:eastAsia="仿宋_GB2312" w:cs="Times New Roman"/>
          <w:bCs/>
          <w:color w:val="auto"/>
          <w:kern w:val="2"/>
          <w:sz w:val="32"/>
          <w:szCs w:val="32"/>
        </w:rPr>
        <w:t>改善民生，让全市人民在一体化发展中有更多获得感、安全感、幸福感，实现幸福宜居全国领先。</w:t>
      </w:r>
    </w:p>
    <w:p>
      <w:pPr>
        <w:pStyle w:val="21"/>
        <w:overflowPunct w:val="0"/>
        <w:spacing w:line="600" w:lineRule="exact"/>
        <w:ind w:firstLine="627" w:firstLineChars="196"/>
        <w:jc w:val="both"/>
        <w:rPr>
          <w:rFonts w:ascii="Times New Roman" w:hAnsi="Times New Roman" w:eastAsia="仿宋_GB2312"/>
          <w:color w:val="auto"/>
          <w:sz w:val="32"/>
          <w:szCs w:val="32"/>
        </w:rPr>
      </w:pPr>
      <w:r>
        <w:rPr>
          <w:rFonts w:hint="eastAsia" w:ascii="Times New Roman" w:hAnsi="Times New Roman" w:eastAsia="仿宋_GB2312" w:cs="Times New Roman"/>
          <w:bCs/>
          <w:color w:val="auto"/>
          <w:kern w:val="2"/>
          <w:sz w:val="32"/>
          <w:szCs w:val="32"/>
        </w:rPr>
        <w:t>坚持开放共赢。高质量融入长三角一体化、长江经济带和“一带一路”等国家战略，全面对接浙江省“四大建设”，加快打造“山海协作”工程升级版，实</w:t>
      </w:r>
      <w:r>
        <w:rPr>
          <w:rFonts w:hint="eastAsia" w:ascii="Times New Roman" w:hAnsi="Times New Roman" w:eastAsia="仿宋_GB2312"/>
          <w:color w:val="auto"/>
          <w:sz w:val="32"/>
          <w:szCs w:val="32"/>
        </w:rPr>
        <w:t>施华侨要素回流工程，完善丽水对外开放合作发展格局，在开放合作中实现共赢发展。</w:t>
      </w:r>
    </w:p>
    <w:bookmarkEnd w:id="5"/>
    <w:p>
      <w:pPr>
        <w:pStyle w:val="7"/>
        <w:keepLines w:val="0"/>
        <w:overflowPunct w:val="0"/>
        <w:spacing w:line="600" w:lineRule="exact"/>
        <w:ind w:firstLine="640"/>
        <w:rPr>
          <w:rFonts w:ascii="Times New Roman" w:eastAsia="楷体_GB2312"/>
          <w:b w:val="0"/>
        </w:rPr>
      </w:pPr>
      <w:bookmarkStart w:id="9" w:name="_Toc57903639"/>
      <w:bookmarkStart w:id="10" w:name="_Toc367783616"/>
      <w:bookmarkStart w:id="11" w:name="_Toc37102831"/>
      <w:r>
        <w:rPr>
          <w:rFonts w:hint="eastAsia" w:ascii="Times New Roman" w:eastAsia="楷体_GB2312"/>
          <w:b w:val="0"/>
        </w:rPr>
        <w:t>（三）发展定位</w:t>
      </w:r>
      <w:bookmarkEnd w:id="9"/>
      <w:bookmarkEnd w:id="10"/>
      <w:bookmarkEnd w:id="11"/>
    </w:p>
    <w:p>
      <w:pPr>
        <w:overflowPunct w:val="0"/>
        <w:spacing w:line="600" w:lineRule="exact"/>
        <w:ind w:firstLine="640"/>
        <w:rPr>
          <w:rFonts w:hAnsi="仿宋_GB2312" w:cs="仿宋_GB2312"/>
          <w:bCs/>
          <w:szCs w:val="32"/>
        </w:rPr>
      </w:pPr>
      <w:r>
        <w:rPr>
          <w:rFonts w:ascii="黑体" w:hAnsi="黑体" w:eastAsia="黑体" w:cs="黑体"/>
          <w:szCs w:val="32"/>
        </w:rPr>
        <w:t>——</w:t>
      </w:r>
      <w:r>
        <w:rPr>
          <w:rFonts w:hint="eastAsia" w:ascii="仿宋_GB2312"/>
          <w:bCs/>
          <w:szCs w:val="32"/>
        </w:rPr>
        <w:t>诗画浙江大花园最美</w:t>
      </w:r>
      <w:r>
        <w:rPr>
          <w:rFonts w:hint="eastAsia" w:ascii="仿宋_GB2312" w:hAnsi="仿宋_GB2312" w:cs="仿宋_GB2312"/>
          <w:bCs/>
          <w:szCs w:val="32"/>
        </w:rPr>
        <w:t>核心区。严格落实</w:t>
      </w:r>
      <w:r>
        <w:rPr>
          <w:rFonts w:hint="eastAsia" w:ascii="仿宋_GB2312" w:hAnsi="仿宋_GB2312" w:cs="仿宋_GB2312"/>
          <w:szCs w:val="32"/>
        </w:rPr>
        <w:t>“多规合一”，按照国家公园理念和标准，统筹推进大花园“1+3+N”建设，促</w:t>
      </w:r>
      <w:r>
        <w:rPr>
          <w:rFonts w:hint="eastAsia" w:hAnsi="仿宋_GB2312" w:cs="仿宋_GB2312"/>
          <w:szCs w:val="32"/>
        </w:rPr>
        <w:t>进美丽城市、美丽城镇、美丽乡村与美丽林相、美丽河湖、美丽田园等有机相融、打响“秀山丽水、诗画田园”品牌，争当大花园</w:t>
      </w:r>
      <w:r>
        <w:rPr>
          <w:rFonts w:hint="eastAsia" w:hAnsi="仿宋_GB2312" w:cs="仿宋_GB2312"/>
          <w:bCs/>
          <w:szCs w:val="32"/>
        </w:rPr>
        <w:t>建设的标准</w:t>
      </w:r>
      <w:r>
        <w:rPr>
          <w:rFonts w:hint="eastAsia" w:hAnsi="仿宋_GB2312" w:cs="仿宋_GB2312"/>
          <w:bCs/>
          <w:szCs w:val="32"/>
          <w:lang w:eastAsia="zh-CN"/>
        </w:rPr>
        <w:t>制订</w:t>
      </w:r>
      <w:r>
        <w:rPr>
          <w:rFonts w:hint="eastAsia" w:hAnsi="仿宋_GB2312" w:cs="仿宋_GB2312"/>
          <w:bCs/>
          <w:szCs w:val="32"/>
        </w:rPr>
        <w:t>者、实践地和示范区。</w:t>
      </w:r>
    </w:p>
    <w:p>
      <w:pPr>
        <w:overflowPunct w:val="0"/>
        <w:spacing w:line="600" w:lineRule="exact"/>
        <w:ind w:firstLine="640"/>
        <w:rPr>
          <w:rFonts w:ascii="Times New Roman"/>
          <w:bCs/>
          <w:szCs w:val="32"/>
        </w:rPr>
      </w:pPr>
      <w:r>
        <w:rPr>
          <w:rFonts w:ascii="黑体" w:hAnsi="黑体" w:eastAsia="黑体" w:cs="黑体"/>
          <w:szCs w:val="32"/>
        </w:rPr>
        <w:t>——</w:t>
      </w:r>
      <w:r>
        <w:rPr>
          <w:rFonts w:hint="eastAsia" w:ascii="Times New Roman"/>
          <w:bCs/>
          <w:szCs w:val="32"/>
        </w:rPr>
        <w:t>长三角知名的健康养生福地。依托“中国长寿之乡”品牌优势，加快发展独具特色、业态突出、融合发展的健康养生产业体系，打造集康养护理、专业理疗、健康培训为一体的长三角知名的健康养生福地。</w:t>
      </w:r>
    </w:p>
    <w:p>
      <w:pPr>
        <w:overflowPunct w:val="0"/>
        <w:spacing w:line="600" w:lineRule="exact"/>
        <w:ind w:firstLine="640"/>
        <w:rPr>
          <w:rFonts w:ascii="Times New Roman"/>
          <w:bCs/>
          <w:szCs w:val="32"/>
        </w:rPr>
      </w:pPr>
      <w:r>
        <w:rPr>
          <w:rFonts w:ascii="黑体" w:hAnsi="黑体" w:eastAsia="黑体" w:cs="黑体"/>
          <w:szCs w:val="32"/>
        </w:rPr>
        <w:t>——</w:t>
      </w:r>
      <w:r>
        <w:rPr>
          <w:rFonts w:hint="eastAsia" w:ascii="Times New Roman"/>
          <w:bCs/>
          <w:szCs w:val="32"/>
        </w:rPr>
        <w:t>全国高质量绿色发展引领区。厚植生态环境优势，健全生态产品价值实现机制，奋力开辟“绿水青山”向“金山银山”转化新通道，构筑现代化生态经济体系，全力打造高能级战略平台，为全国高质量绿色发展提供示范。</w:t>
      </w:r>
    </w:p>
    <w:p>
      <w:pPr>
        <w:overflowPunct w:val="0"/>
        <w:spacing w:line="600" w:lineRule="exact"/>
        <w:ind w:firstLine="640"/>
      </w:pPr>
      <w:r>
        <w:rPr>
          <w:rFonts w:ascii="黑体" w:hAnsi="黑体" w:eastAsia="黑体" w:cs="黑体"/>
          <w:szCs w:val="32"/>
        </w:rPr>
        <w:t>——</w:t>
      </w:r>
      <w:r>
        <w:rPr>
          <w:rFonts w:hint="eastAsia" w:ascii="Times New Roman"/>
          <w:bCs/>
          <w:szCs w:val="32"/>
        </w:rPr>
        <w:t>世界一流的生态旅游目的地。以高</w:t>
      </w:r>
      <w:r>
        <w:rPr>
          <w:rFonts w:hint="eastAsia"/>
        </w:rPr>
        <w:t>标准建设国家级全域旅游示范区为带动，</w:t>
      </w:r>
      <w:r>
        <w:rPr>
          <w:rFonts w:hint="eastAsia" w:hAnsi="仿宋"/>
          <w:szCs w:val="32"/>
        </w:rPr>
        <w:t>建成瓯江山水诗路，绘就现代版“丽水山居图”</w:t>
      </w:r>
      <w:r>
        <w:rPr>
          <w:rFonts w:hint="eastAsia" w:ascii="Times New Roman"/>
        </w:rPr>
        <w:t>，推动旅游产品体系全面升级，旅游管理和服务水平全面提升，旅游产业质量、效益达到国际先进水平。</w:t>
      </w:r>
    </w:p>
    <w:p>
      <w:pPr>
        <w:pStyle w:val="7"/>
        <w:keepLines w:val="0"/>
        <w:overflowPunct w:val="0"/>
        <w:spacing w:line="600" w:lineRule="exact"/>
        <w:ind w:firstLine="640"/>
        <w:rPr>
          <w:rFonts w:ascii="Times New Roman" w:eastAsia="楷体_GB2312"/>
          <w:b w:val="0"/>
        </w:rPr>
      </w:pPr>
      <w:bookmarkStart w:id="12" w:name="_Toc811064563"/>
      <w:bookmarkStart w:id="13" w:name="_Toc57903640"/>
      <w:bookmarkStart w:id="14" w:name="_Toc37102832"/>
      <w:r>
        <w:rPr>
          <w:rFonts w:hint="eastAsia" w:ascii="Times New Roman" w:eastAsia="楷体_GB2312"/>
          <w:b w:val="0"/>
        </w:rPr>
        <w:t>（四）发展目标</w:t>
      </w:r>
      <w:bookmarkEnd w:id="12"/>
      <w:bookmarkEnd w:id="13"/>
      <w:bookmarkEnd w:id="14"/>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1.近期目标</w:t>
      </w:r>
    </w:p>
    <w:p>
      <w:pPr>
        <w:overflowPunct w:val="0"/>
        <w:spacing w:line="600" w:lineRule="exact"/>
        <w:ind w:firstLine="640"/>
        <w:rPr>
          <w:rFonts w:ascii="仿宋_GB2312" w:hAnsi="仿宋_GB2312" w:cs="仿宋_GB2312"/>
          <w:bCs/>
          <w:szCs w:val="32"/>
        </w:rPr>
      </w:pPr>
      <w:r>
        <w:rPr>
          <w:rFonts w:hint="eastAsia" w:ascii="仿宋_GB2312" w:hAnsi="仿宋_GB2312" w:cs="仿宋_GB2312"/>
          <w:szCs w:val="32"/>
        </w:rPr>
        <w:t>到2025年，“一带三区”发展格局基本确立，市域一体化发展水平明显提升，完备有效的区域协调发展新机制基本成型，现代化生态经济体系建设取得突破性进展，区域协同创新体系基本建成，基础设施互联互通基本实现，基本公共服务均等化水平显著提高。全市地区生产总值达到2250亿元，常住人口城镇化率达70%以上；科技创新活力全面提升，浙西南科创中心初步建成，全社会R&amp;D经费支出占GDP比重达3%，生态环境状况指数保持全</w:t>
      </w:r>
      <w:r>
        <w:rPr>
          <w:rFonts w:hint="eastAsia" w:ascii="仿宋_GB2312" w:hAnsi="仿宋_GB2312" w:cs="仿宋_GB2312"/>
          <w:bCs/>
          <w:szCs w:val="32"/>
        </w:rPr>
        <w:t>省第一，城乡居民收入增速稳居全省前列。</w:t>
      </w:r>
    </w:p>
    <w:p>
      <w:pPr>
        <w:overflowPunct w:val="0"/>
        <w:spacing w:line="600" w:lineRule="exact"/>
        <w:ind w:firstLine="640"/>
        <w:rPr>
          <w:rFonts w:ascii="仿宋_GB2312" w:hAnsi="仿宋_GB2312" w:cs="仿宋_GB2312"/>
          <w:szCs w:val="32"/>
        </w:rPr>
      </w:pPr>
      <w:r>
        <w:rPr>
          <w:rFonts w:hint="eastAsia" w:ascii="黑体" w:hAnsi="黑体" w:eastAsia="黑体" w:cs="黑体"/>
          <w:szCs w:val="32"/>
        </w:rPr>
        <w:t>——</w:t>
      </w:r>
      <w:r>
        <w:rPr>
          <w:rFonts w:hint="eastAsia" w:ascii="仿宋_GB2312"/>
          <w:bCs/>
          <w:szCs w:val="32"/>
        </w:rPr>
        <w:t>“</w:t>
      </w:r>
      <w:r>
        <w:rPr>
          <w:rFonts w:hint="eastAsia" w:ascii="仿宋_GB2312" w:hAnsi="仿宋_GB2312" w:cs="仿宋_GB2312"/>
          <w:bCs/>
          <w:szCs w:val="32"/>
        </w:rPr>
        <w:t>一带”发展量质突破。“一带”地区基本实现同城化发展，经济规模适度高速度增长，地区生</w:t>
      </w:r>
      <w:r>
        <w:rPr>
          <w:rFonts w:hint="eastAsia" w:ascii="仿宋_GB2312" w:hAnsi="仿宋_GB2312" w:cs="仿宋_GB2312"/>
          <w:szCs w:val="32"/>
        </w:rPr>
        <w:t>产总值突破千亿；科技创新能力不断提升，全社会R&amp;D经费支出占GDP比重达到3.2%；生态工业总产值翻一番以上，占全市比重67%；高新技术产业增加值年均增长15%以上；人口加快集聚，城镇常住人口接近百万，常住人口城镇化率达73%以上。</w:t>
      </w:r>
    </w:p>
    <w:p>
      <w:pPr>
        <w:overflowPunct w:val="0"/>
        <w:spacing w:line="600" w:lineRule="exact"/>
        <w:ind w:firstLine="640"/>
        <w:rPr>
          <w:rFonts w:ascii="仿宋_GB2312"/>
          <w:szCs w:val="32"/>
        </w:rPr>
      </w:pPr>
      <w:r>
        <w:rPr>
          <w:rFonts w:hint="eastAsia" w:ascii="黑体" w:hAnsi="黑体" w:eastAsia="黑体" w:cs="黑体"/>
          <w:szCs w:val="32"/>
        </w:rPr>
        <w:t>——</w:t>
      </w:r>
      <w:r>
        <w:rPr>
          <w:rFonts w:hint="eastAsia" w:ascii="仿宋_GB2312" w:hAnsi="仿宋_GB2312" w:cs="仿宋_GB2312"/>
          <w:bCs/>
          <w:szCs w:val="32"/>
        </w:rPr>
        <w:t>“三区”发展特色彰显。特色产业加快发展，经典文创、生态农业、特色旅游规模和效益进一步提升，“丽水山耕”“丽水山居”“丽水山景”品牌效益凸显。</w:t>
      </w:r>
      <w:r>
        <w:rPr>
          <w:rFonts w:hint="eastAsia" w:ascii="仿宋_GB2312" w:hAnsi="仿宋_GB2312" w:cs="仿宋_GB2312"/>
          <w:szCs w:val="32"/>
        </w:rPr>
        <w:t>各项生态环境指标稳居全国前列，农村常住居民人均可支配收入增幅稳居全省前列。龙庆聚落发展区块依托剑瓷、铅笔等产业基础，延伸发展文创产业总产值达250亿元，旅游总收入五年累计达720亿元；遂松聚落发展区块的休闲农业、乡村旅游、农产品精深加工、智能制造产值实现翻一番，金属制品总产值达300亿元；云景聚落发展区块的旅游总收入五年累计达600亿元，木制玩具产业产值达160亿元。“三区”美丽城镇和美丽乡村建设成效突出。</w:t>
      </w:r>
    </w:p>
    <w:p>
      <w:pPr>
        <w:overflowPunct w:val="0"/>
        <w:spacing w:line="600" w:lineRule="exact"/>
        <w:ind w:firstLine="640"/>
        <w:rPr>
          <w:rFonts w:ascii="仿宋_GB2312"/>
          <w:szCs w:val="32"/>
        </w:rPr>
      </w:pPr>
      <w:r>
        <w:rPr>
          <w:rFonts w:hint="eastAsia" w:ascii="黑体" w:hAnsi="黑体" w:eastAsia="黑体" w:cs="黑体"/>
          <w:szCs w:val="32"/>
        </w:rPr>
        <w:t>——</w:t>
      </w:r>
      <w:r>
        <w:rPr>
          <w:rFonts w:hint="eastAsia" w:ascii="仿宋_GB2312"/>
          <w:bCs/>
          <w:szCs w:val="32"/>
        </w:rPr>
        <w:t>跨区交通互联更加便捷。“北承长</w:t>
      </w:r>
      <w:r>
        <w:rPr>
          <w:rFonts w:hint="eastAsia" w:ascii="仿宋_GB2312"/>
          <w:szCs w:val="32"/>
        </w:rPr>
        <w:t>三角、南接海西区、东通大江海、西连大山河”的综合交通大格局基本形成，水、陆、空综合立体交通网络进一步完善。三大交通圈初步形成，2小时内可到达长三角主要城市，1小时内中心城区可通达杭州以及所有县（市）和主要景区，实现“一带”地区内部半小时相互通达。</w:t>
      </w:r>
    </w:p>
    <w:p>
      <w:pPr>
        <w:overflowPunct w:val="0"/>
        <w:spacing w:line="600" w:lineRule="exact"/>
        <w:ind w:firstLine="640"/>
        <w:rPr>
          <w:rFonts w:ascii="仿宋_GB2312"/>
          <w:szCs w:val="32"/>
        </w:rPr>
      </w:pPr>
      <w:r>
        <w:rPr>
          <w:rFonts w:hint="eastAsia" w:ascii="黑体" w:hAnsi="黑体" w:eastAsia="黑体" w:cs="黑体"/>
          <w:szCs w:val="32"/>
        </w:rPr>
        <w:t>——</w:t>
      </w:r>
      <w:r>
        <w:rPr>
          <w:rFonts w:hint="eastAsia" w:ascii="仿宋_GB2312"/>
          <w:bCs/>
          <w:szCs w:val="32"/>
        </w:rPr>
        <w:t>市域统筹机制更加完善。全市统</w:t>
      </w:r>
      <w:r>
        <w:rPr>
          <w:rFonts w:hint="eastAsia" w:ascii="仿宋_GB2312"/>
          <w:szCs w:val="32"/>
        </w:rPr>
        <w:t>筹协调机制基本成型，共建共治共享的社会治理格局基本形成。全市重大产业、基础设施、公共服务布局形成“一盘棋”，国土空间、财政金融、教育资源、人才资源、产业招商等实现有效统筹。中心城区首位度和城市集聚辐射能力明显提升。</w:t>
      </w:r>
    </w:p>
    <w:p>
      <w:pPr>
        <w:pStyle w:val="7"/>
        <w:keepLines w:val="0"/>
        <w:overflowPunct w:val="0"/>
        <w:spacing w:line="600" w:lineRule="exact"/>
        <w:ind w:firstLine="640"/>
        <w:rPr>
          <w:rFonts w:ascii="仿宋_GB2312" w:hAnsi="仿宋_GB2312" w:cs="仿宋_GB2312"/>
          <w:b w:val="0"/>
        </w:rPr>
      </w:pPr>
      <w:r>
        <w:rPr>
          <w:rFonts w:hint="eastAsia" w:ascii="仿宋_GB2312" w:hAnsi="仿宋_GB2312" w:cs="仿宋_GB2312"/>
          <w:b w:val="0"/>
        </w:rPr>
        <w:t>2.中远期目标</w:t>
      </w:r>
    </w:p>
    <w:p>
      <w:pPr>
        <w:overflowPunct w:val="0"/>
        <w:spacing w:line="600" w:lineRule="exact"/>
        <w:ind w:firstLine="640"/>
        <w:rPr>
          <w:rFonts w:ascii="仿宋_GB2312" w:hAnsi="仿宋_GB2312" w:cs="仿宋_GB2312"/>
          <w:b/>
          <w:szCs w:val="32"/>
        </w:rPr>
      </w:pPr>
      <w:r>
        <w:rPr>
          <w:rFonts w:hint="eastAsia" w:ascii="仿宋_GB2312" w:hAnsi="仿宋_GB2312" w:cs="仿宋_GB2312"/>
          <w:szCs w:val="32"/>
        </w:rPr>
        <w:t>到2035年，“一带三区”发展格局全面形成，市域一体化发展达到较高水平，在区域协调发展基础上积累形成更加完备有效的制度体系，建成具有丽水鲜明特色的现代化生态经济体系和区域协同创新体系，建成浙西南综合交通枢纽，全面实现基础设施互联互通、基本公共服务均等化。全市经济发展水平、综合竞争力和可持续发展能力显著提升，地区生产总值力争比2025年翻一番，“一带”占比达到80%。中心城区常住人口超过100万，首位度和城市集聚辐射能力大幅增强，建成浙西南中心城市。</w:t>
      </w:r>
    </w:p>
    <w:p>
      <w:pPr>
        <w:pStyle w:val="6"/>
        <w:keepNext w:val="0"/>
        <w:keepLines w:val="0"/>
        <w:overflowPunct w:val="0"/>
        <w:spacing w:line="600" w:lineRule="exact"/>
        <w:ind w:firstLine="640"/>
        <w:rPr>
          <w:rFonts w:ascii="Times New Roman" w:hAnsi="Times New Roman" w:eastAsia="黑体"/>
          <w:b w:val="0"/>
        </w:rPr>
      </w:pPr>
      <w:bookmarkStart w:id="15" w:name="_Toc37102833"/>
      <w:bookmarkStart w:id="16" w:name="_Toc57903641"/>
      <w:bookmarkStart w:id="17" w:name="_Toc1945105064"/>
      <w:r>
        <w:rPr>
          <w:rFonts w:hint="eastAsia" w:ascii="Times New Roman" w:hAnsi="Times New Roman" w:eastAsia="黑体"/>
          <w:b w:val="0"/>
        </w:rPr>
        <w:t>二、</w:t>
      </w:r>
      <w:bookmarkEnd w:id="15"/>
      <w:r>
        <w:rPr>
          <w:rFonts w:hint="eastAsia" w:ascii="Times New Roman" w:hAnsi="Times New Roman" w:eastAsia="黑体"/>
          <w:b w:val="0"/>
        </w:rPr>
        <w:t>高站位统筹空间布局</w:t>
      </w:r>
      <w:bookmarkEnd w:id="16"/>
      <w:bookmarkEnd w:id="17"/>
    </w:p>
    <w:p>
      <w:pPr>
        <w:overflowPunct w:val="0"/>
        <w:spacing w:line="600" w:lineRule="exact"/>
        <w:ind w:firstLine="640"/>
        <w:rPr>
          <w:rFonts w:ascii="Times New Roman"/>
          <w:szCs w:val="32"/>
        </w:rPr>
      </w:pPr>
      <w:r>
        <w:rPr>
          <w:rFonts w:hint="eastAsia" w:ascii="Times New Roman"/>
          <w:szCs w:val="32"/>
        </w:rPr>
        <w:t>遵循丽水自然本底特色，加强跨区域协调互动、城乡融合发展，着力构筑“一心引领、两翼拓展、三区联动、全域美丽”的“一带三区”空间格局。</w:t>
      </w:r>
    </w:p>
    <w:p>
      <w:pPr>
        <w:pStyle w:val="7"/>
        <w:keepLines w:val="0"/>
        <w:overflowPunct w:val="0"/>
        <w:ind w:firstLine="640"/>
        <w:rPr>
          <w:rFonts w:ascii="Times New Roman" w:eastAsia="楷体_GB2312"/>
          <w:b w:val="0"/>
        </w:rPr>
      </w:pPr>
      <w:bookmarkStart w:id="18" w:name="_Toc579344890"/>
      <w:bookmarkStart w:id="19" w:name="_Toc37102834"/>
      <w:bookmarkStart w:id="20" w:name="_Toc57903642"/>
      <w:r>
        <w:rPr>
          <w:rFonts w:hint="eastAsia" w:ascii="Times New Roman" w:eastAsia="楷体_GB2312"/>
          <w:b w:val="0"/>
        </w:rPr>
        <w:t>（一）构筑市域发展核心带</w:t>
      </w:r>
      <w:bookmarkEnd w:id="18"/>
      <w:bookmarkEnd w:id="19"/>
      <w:bookmarkEnd w:id="20"/>
    </w:p>
    <w:p>
      <w:pPr>
        <w:overflowPunct w:val="0"/>
        <w:ind w:firstLine="640"/>
        <w:rPr>
          <w:rFonts w:ascii="仿宋_GB2312" w:hAnsi="仿宋_GB2312" w:cs="仿宋_GB2312"/>
          <w:szCs w:val="32"/>
        </w:rPr>
      </w:pPr>
      <w:r>
        <w:rPr>
          <w:rFonts w:hint="eastAsia" w:ascii="仿宋_GB2312" w:hAnsi="仿宋_GB2312" w:cs="仿宋_GB2312"/>
          <w:szCs w:val="32"/>
        </w:rPr>
        <w:t>围绕“百万常住人口、千亿GDP”发展目标，积极有序稳妥推动行政区划调整，高标准建成“丽水山居图”，全面推进莲青缙同城化发展，全力构筑集产业链、人才链、投资链、创新链、服务链于一体的创新创业生态，建设高端要素集聚、创新引领发展的高质量绿色发展领跑区。</w:t>
      </w:r>
    </w:p>
    <w:p>
      <w:pPr>
        <w:overflowPunct w:val="0"/>
        <w:ind w:firstLine="640"/>
        <w:rPr>
          <w:rFonts w:ascii="仿宋_GB2312" w:hAnsi="仿宋_GB2312" w:cs="仿宋_GB2312"/>
          <w:bCs/>
          <w:szCs w:val="32"/>
        </w:rPr>
      </w:pPr>
      <w:r>
        <w:rPr>
          <w:rFonts w:hint="eastAsia" w:ascii="仿宋_GB2312" w:hAnsi="仿宋_GB2312" w:cs="仿宋_GB2312"/>
          <w:bCs/>
          <w:szCs w:val="32"/>
        </w:rPr>
        <w:t>1.做强“一心”，打造新时代山水花园城市</w:t>
      </w:r>
    </w:p>
    <w:p>
      <w:pPr>
        <w:overflowPunct w:val="0"/>
        <w:ind w:firstLine="640"/>
        <w:rPr>
          <w:rFonts w:ascii="仿宋_GB2312" w:hAnsi="仿宋_GB2312" w:cs="仿宋_GB2312"/>
          <w:bCs/>
          <w:szCs w:val="32"/>
        </w:rPr>
      </w:pPr>
      <w:r>
        <w:rPr>
          <w:rFonts w:hint="eastAsia" w:ascii="仿宋_GB2312" w:hAnsi="仿宋_GB2312" w:cs="仿宋_GB2312"/>
          <w:bCs/>
          <w:szCs w:val="32"/>
        </w:rPr>
        <w:t>突出“生态优先、山水辉映、特色突出、幸福宜居”理念，加快拓展发展空间，加快推进“四网”融合发展，打造全市政治、经济、文化、科创中心。</w:t>
      </w:r>
    </w:p>
    <w:p>
      <w:pPr>
        <w:overflowPunct w:val="0"/>
        <w:ind w:firstLine="640"/>
        <w:rPr>
          <w:rFonts w:ascii="仿宋_GB2312" w:hAnsi="仿宋_GB2312" w:cs="仿宋_GB2312"/>
          <w:bCs/>
          <w:szCs w:val="32"/>
        </w:rPr>
      </w:pPr>
      <w:r>
        <w:rPr>
          <w:rFonts w:hint="eastAsia" w:ascii="仿宋_GB2312" w:hAnsi="仿宋_GB2312" w:cs="仿宋_GB2312"/>
          <w:bCs/>
          <w:szCs w:val="32"/>
        </w:rPr>
        <w:t>拓展中心城区发展空间。中心城区实施“东扩、西进、北展、南拓”发展战略，以瓯江为脉，激活北城、提升南城、开发碧湖新城，构筑“一脉三城”发展格局。重点推进高铁片区、联城片区建设开发，强化腊口片区、碧湖片区发展“一盘棋”意识，统筹交通、产业、公共服务、基础设施等生产力布局。莲都、青田、缙云三县（区）共建华侨“双创”试验区。</w:t>
      </w:r>
    </w:p>
    <w:tbl>
      <w:tblPr>
        <w:tblStyle w:val="15"/>
        <w:tblW w:w="8807"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8807" w:type="dxa"/>
          </w:tcPr>
          <w:p>
            <w:pPr>
              <w:overflowPunct w:val="0"/>
              <w:spacing w:line="480" w:lineRule="exact"/>
              <w:ind w:firstLine="560"/>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1</w:t>
            </w:r>
            <w:r>
              <w:rPr>
                <w:rFonts w:hint="eastAsia" w:ascii="黑体" w:hAnsi="黑体" w:eastAsia="黑体"/>
                <w:sz w:val="28"/>
                <w:szCs w:val="28"/>
              </w:rPr>
              <w:t>：中心城区“东扩、西进、北展、南拓”发展战略</w:t>
            </w:r>
          </w:p>
          <w:p>
            <w:pPr>
              <w:overflowPunct w:val="0"/>
              <w:spacing w:line="480" w:lineRule="exact"/>
              <w:ind w:firstLine="560"/>
              <w:rPr>
                <w:rFonts w:ascii="Times New Roman"/>
                <w:sz w:val="28"/>
                <w:szCs w:val="28"/>
              </w:rPr>
            </w:pPr>
            <w:r>
              <w:rPr>
                <w:rFonts w:hint="eastAsia" w:ascii="仿宋_GB2312"/>
                <w:sz w:val="28"/>
                <w:szCs w:val="28"/>
              </w:rPr>
              <w:t>“东扩”：向东扩展至青田县腊口片区，远期联动祯埠、海口、舒桥、海溪等城镇组团，打造产城融合的特色城镇组团。“西进”：向西延伸至松阳县裕溪片区、云和县石塘片区。“北展”：优化联城片区功能布局，远期谋划延展蛤蟆</w:t>
            </w:r>
            <w:r>
              <w:rPr>
                <w:rFonts w:hint="eastAsia" w:ascii="仿宋_GB2312" w:hAnsi="宋体" w:eastAsia="宋体"/>
                <w:sz w:val="28"/>
                <w:szCs w:val="28"/>
              </w:rPr>
              <w:t>垟</w:t>
            </w:r>
            <w:r>
              <w:rPr>
                <w:rFonts w:hint="eastAsia" w:ascii="仿宋_GB2312"/>
                <w:sz w:val="28"/>
                <w:szCs w:val="28"/>
              </w:rPr>
              <w:t>片区—老竹丽新片区一体化发展布局，打造雅溪、太平、仙渡等生态城镇组团。“南拓”：拓展</w:t>
            </w:r>
            <w:r>
              <w:rPr>
                <w:rFonts w:hint="eastAsia" w:ascii="仿宋_GB2312"/>
                <w:bCs/>
                <w:sz w:val="28"/>
                <w:szCs w:val="28"/>
              </w:rPr>
              <w:t>南城至利山—中溪片区、章村片区生态开发，探索山地空间生态开发新模式。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7" w:type="dxa"/>
          </w:tcPr>
          <w:p>
            <w:pPr>
              <w:overflowPunct w:val="0"/>
              <w:spacing w:line="520" w:lineRule="exact"/>
              <w:ind w:firstLine="560"/>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2</w:t>
            </w:r>
            <w:r>
              <w:rPr>
                <w:rFonts w:hint="eastAsia" w:ascii="黑体" w:hAnsi="黑体" w:eastAsia="黑体"/>
                <w:sz w:val="28"/>
                <w:szCs w:val="28"/>
              </w:rPr>
              <w:t>：中心城区“一脉三城”发展格局谋划</w:t>
            </w:r>
          </w:p>
          <w:p>
            <w:pPr>
              <w:overflowPunct w:val="0"/>
              <w:spacing w:line="520" w:lineRule="exact"/>
              <w:ind w:firstLine="560"/>
              <w:rPr>
                <w:rFonts w:ascii="仿宋_GB2312"/>
                <w:sz w:val="28"/>
                <w:szCs w:val="28"/>
              </w:rPr>
            </w:pPr>
            <w:r>
              <w:rPr>
                <w:rFonts w:ascii="仿宋_GB2312"/>
                <w:sz w:val="28"/>
                <w:szCs w:val="28"/>
              </w:rPr>
              <w:t>1.</w:t>
            </w:r>
            <w:r>
              <w:rPr>
                <w:rFonts w:hint="eastAsia" w:ascii="仿宋_GB2312"/>
                <w:sz w:val="28"/>
                <w:szCs w:val="28"/>
              </w:rPr>
              <w:t>激活北城。提高北城精细化、智能化空间治理水平，完善城市建设管控体系。完善</w:t>
            </w:r>
            <w:r>
              <w:rPr>
                <w:rFonts w:ascii="仿宋_GB2312"/>
                <w:sz w:val="28"/>
                <w:szCs w:val="28"/>
              </w:rPr>
              <w:t>15</w:t>
            </w:r>
            <w:r>
              <w:rPr>
                <w:rFonts w:hint="eastAsia" w:ascii="仿宋_GB2312"/>
                <w:sz w:val="28"/>
                <w:szCs w:val="28"/>
              </w:rPr>
              <w:t>分钟生活圈服务体系，推进公园、绿道、城市阳台等项目建设，建成丽阳街、花园路、丽青路城市迎宾道。优化联城片区、城东片区功能布局，推动老城片区有机更新。联通高铁片区、青田县西北部及缙云县南部区域，合力建设华侨“双创”试验区。</w:t>
            </w:r>
          </w:p>
          <w:p>
            <w:pPr>
              <w:overflowPunct w:val="0"/>
              <w:spacing w:line="520" w:lineRule="exact"/>
              <w:ind w:firstLine="560"/>
              <w:rPr>
                <w:rFonts w:ascii="仿宋_GB2312"/>
                <w:sz w:val="28"/>
                <w:szCs w:val="28"/>
              </w:rPr>
            </w:pPr>
            <w:r>
              <w:rPr>
                <w:rFonts w:ascii="仿宋_GB2312"/>
                <w:sz w:val="28"/>
                <w:szCs w:val="28"/>
              </w:rPr>
              <w:t>2.</w:t>
            </w:r>
            <w:r>
              <w:rPr>
                <w:rFonts w:hint="eastAsia" w:ascii="仿宋_GB2312"/>
                <w:sz w:val="28"/>
                <w:szCs w:val="28"/>
              </w:rPr>
              <w:t>提升南城。加快推进市本级工业园区整合，完成平台“二次创业”，打造全省高能级战略平台、全市生态工业主阵地。完善创新平台体系，建设浙西南科创走廊核心枢纽与浙西南科创中心首要载体。建设跨境电子商务综合试验区、综合保税区，推进产城融合发展与城市功能提升。</w:t>
            </w:r>
          </w:p>
          <w:p>
            <w:pPr>
              <w:overflowPunct w:val="0"/>
              <w:spacing w:line="520" w:lineRule="exact"/>
              <w:ind w:firstLine="560"/>
              <w:rPr>
                <w:rFonts w:ascii="Times New Roman"/>
                <w:sz w:val="28"/>
                <w:szCs w:val="28"/>
              </w:rPr>
            </w:pPr>
            <w:r>
              <w:rPr>
                <w:rFonts w:ascii="仿宋_GB2312"/>
                <w:sz w:val="28"/>
                <w:szCs w:val="28"/>
              </w:rPr>
              <w:t>3.</w:t>
            </w:r>
            <w:r>
              <w:rPr>
                <w:rFonts w:hint="eastAsia" w:ascii="仿宋_GB2312"/>
                <w:sz w:val="28"/>
                <w:szCs w:val="28"/>
              </w:rPr>
              <w:t>建设新城。推进瓯江流域生态治理、九龙湿地保护等工程，打造“丽水山居图”重要组成部分。加快古堰画乡创建国家</w:t>
            </w:r>
            <w:r>
              <w:rPr>
                <w:rFonts w:ascii="仿宋_GB2312"/>
                <w:sz w:val="28"/>
                <w:szCs w:val="28"/>
              </w:rPr>
              <w:t>5A</w:t>
            </w:r>
            <w:r>
              <w:rPr>
                <w:rFonts w:hint="eastAsia" w:ascii="仿宋_GB2312"/>
                <w:sz w:val="28"/>
                <w:szCs w:val="28"/>
              </w:rPr>
              <w:t>级旅游景区，打造碧湖国家级旅游度假区。推进通济堰保护修复、碧湖平原土地综合整治、农民集中居住，建成碧湖新城。</w:t>
            </w:r>
          </w:p>
        </w:tc>
      </w:tr>
    </w:tbl>
    <w:p>
      <w:pPr>
        <w:overflowPunct w:val="0"/>
        <w:spacing w:line="600" w:lineRule="exact"/>
        <w:ind w:firstLine="640"/>
        <w:rPr>
          <w:rFonts w:ascii="仿宋_GB2312"/>
          <w:szCs w:val="32"/>
        </w:rPr>
      </w:pPr>
      <w:r>
        <w:rPr>
          <w:rFonts w:hint="eastAsia" w:ascii="仿宋_GB2312"/>
          <w:szCs w:val="32"/>
        </w:rPr>
        <w:t>推进中心城区“四网”融合发展。以交通发展加快城市化进程，构建综合交通网。在现有绕城公路一环和二环的基础上，谋划建设</w:t>
      </w:r>
      <w:r>
        <w:rPr>
          <w:rFonts w:ascii="仿宋_GB2312"/>
          <w:szCs w:val="32"/>
        </w:rPr>
        <w:t>330</w:t>
      </w:r>
      <w:r>
        <w:rPr>
          <w:rFonts w:hint="eastAsia" w:ascii="仿宋_GB2312"/>
          <w:szCs w:val="32"/>
        </w:rPr>
        <w:t>国道莲都岩泉至青田船寮段、临安至苍南公路莲都区北互通至武义段等高等级公路，拓展绕城公路二环；谋划建设范围更广、带动更大的</w:t>
      </w:r>
      <w:r>
        <w:rPr>
          <w:rFonts w:ascii="仿宋_GB2312"/>
          <w:szCs w:val="32"/>
        </w:rPr>
        <w:t>180</w:t>
      </w:r>
      <w:r>
        <w:rPr>
          <w:rFonts w:hint="eastAsia" w:ascii="仿宋_GB2312"/>
          <w:szCs w:val="32"/>
        </w:rPr>
        <w:t>公里绕城公路三环，形成中心城区北跨莲都雅溪、西延松阳裕溪、南达青田章村、东至青田腊口的公路环线；推进大溪南路、括苍路南延等工程建设，谋划建设中闲观光轻型磁悬浮轨道项目。加快构建产业创新网，围绕产业综合竞争力提升，推动创新链、产业链、资金链加快融合，以高效的公共服务、先进的技术支撑、有机的产业配套，构筑更具活力的产业创新生态网络。加快完善公共服务网，以标准化促进基本公共服务均等化、普惠化、便捷化。全面提升山水公园网，以“丽水山居图”为核心，建设生态绿廊、城市花园、口袋公园三级公共绿地系统，加快瓯江绿道建设。</w:t>
      </w:r>
    </w:p>
    <w:p>
      <w:pPr>
        <w:overflowPunct w:val="0"/>
        <w:spacing w:line="600" w:lineRule="exact"/>
        <w:ind w:firstLine="640"/>
        <w:rPr>
          <w:rFonts w:ascii="仿宋_GB2312"/>
          <w:szCs w:val="32"/>
        </w:rPr>
      </w:pPr>
      <w:r>
        <w:rPr>
          <w:rFonts w:ascii="仿宋_GB2312"/>
          <w:szCs w:val="32"/>
        </w:rPr>
        <w:t>2.</w:t>
      </w:r>
      <w:r>
        <w:rPr>
          <w:rFonts w:hint="eastAsia" w:ascii="仿宋_GB2312"/>
          <w:szCs w:val="32"/>
        </w:rPr>
        <w:t>激活“南翼”，打造市域东大门</w:t>
      </w:r>
    </w:p>
    <w:p>
      <w:pPr>
        <w:overflowPunct w:val="0"/>
        <w:spacing w:line="600" w:lineRule="exact"/>
        <w:ind w:firstLine="640"/>
        <w:rPr>
          <w:rFonts w:ascii="仿宋_GB2312"/>
          <w:szCs w:val="32"/>
        </w:rPr>
      </w:pPr>
      <w:r>
        <w:rPr>
          <w:rFonts w:hint="eastAsia" w:ascii="仿宋_GB2312"/>
          <w:szCs w:val="32"/>
        </w:rPr>
        <w:t>以青田为“一带”地区的“南翼”，加快丽水南向通道建设，积极吸引温州都市区产业、金融、人才、创新等发展要素，发挥“侨乡”优势，着力推进瓯江城镇群建设，加快发展生态产业，建设现代商贸中心和对外开放高地，打造联动温州都市区发展的重要枢纽。</w:t>
      </w:r>
    </w:p>
    <w:p>
      <w:pPr>
        <w:overflowPunct w:val="0"/>
        <w:spacing w:line="600" w:lineRule="exact"/>
        <w:ind w:firstLine="640"/>
        <w:rPr>
          <w:rFonts w:ascii="仿宋_GB2312"/>
          <w:szCs w:val="32"/>
        </w:rPr>
      </w:pPr>
      <w:r>
        <w:rPr>
          <w:rFonts w:hint="eastAsia" w:ascii="仿宋_GB2312"/>
          <w:szCs w:val="32"/>
        </w:rPr>
        <w:t>打造特色精品瓯江城镇群。深度推进青田与莲都、缙云一体化发展，实现优质公共服务资源互联共享。彰显瓯江山水特色，建设“丽水山居图”青田段，加快温溪、船寮、海口等城镇融合发展，提升瓯江沿线城镇建设风貌与品质。</w:t>
      </w:r>
    </w:p>
    <w:p>
      <w:pPr>
        <w:overflowPunct w:val="0"/>
        <w:spacing w:line="600" w:lineRule="exact"/>
        <w:ind w:firstLine="640"/>
        <w:rPr>
          <w:rFonts w:ascii="仿宋_GB2312"/>
          <w:szCs w:val="32"/>
        </w:rPr>
      </w:pPr>
      <w:r>
        <w:rPr>
          <w:rFonts w:hint="eastAsia" w:ascii="仿宋_GB2312"/>
          <w:szCs w:val="32"/>
        </w:rPr>
        <w:t>加快生态产业创新发展。全面推动腊口片区融入市本级产业平台，加快推进温溪寺下、船寮赤岩、东源项村、舒桥、海溪等区块开发。重点发展时尚鞋服、高端不锈钢、精密阀门、新兴产业等主导产业，深化与温州生态产业合作。提升发展华侨总部经济，深入实施华侨要素回流工程，高标准建成浙江（青田）华侨经济文化合作试验区，合力推进华侨“双创”试验区建设。建设千峡湖国家级旅游度假区，联动章村、祯旺、祯埠和莲都峰源，打造“康养</w:t>
      </w:r>
      <w:r>
        <w:rPr>
          <w:rFonts w:ascii="仿宋_GB2312"/>
          <w:szCs w:val="32"/>
        </w:rPr>
        <w:t>600</w:t>
      </w:r>
      <w:r>
        <w:rPr>
          <w:rFonts w:hint="eastAsia" w:ascii="仿宋_GB2312"/>
          <w:szCs w:val="32"/>
        </w:rPr>
        <w:t>”小镇集群，加快发展大健康产业。</w:t>
      </w:r>
    </w:p>
    <w:tbl>
      <w:tblPr>
        <w:tblStyle w:val="15"/>
        <w:tblW w:w="8808"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8" w:type="dxa"/>
          </w:tcPr>
          <w:p>
            <w:pPr>
              <w:overflowPunct w:val="0"/>
              <w:spacing w:line="520" w:lineRule="exact"/>
              <w:ind w:firstLine="560"/>
              <w:rPr>
                <w:rFonts w:ascii="黑体" w:hAnsi="黑体" w:eastAsia="黑体"/>
                <w:sz w:val="28"/>
                <w:szCs w:val="32"/>
              </w:rPr>
            </w:pPr>
            <w:r>
              <w:rPr>
                <w:rFonts w:hint="eastAsia" w:ascii="黑体" w:hAnsi="黑体" w:eastAsia="黑体"/>
                <w:sz w:val="28"/>
                <w:szCs w:val="32"/>
              </w:rPr>
              <w:t>专栏</w:t>
            </w:r>
            <w:r>
              <w:rPr>
                <w:rFonts w:ascii="黑体" w:hAnsi="黑体" w:eastAsia="黑体"/>
                <w:sz w:val="28"/>
                <w:szCs w:val="32"/>
              </w:rPr>
              <w:t>3</w:t>
            </w:r>
            <w:r>
              <w:rPr>
                <w:rFonts w:hint="eastAsia" w:ascii="黑体" w:hAnsi="黑体" w:eastAsia="黑体"/>
                <w:sz w:val="28"/>
                <w:szCs w:val="32"/>
              </w:rPr>
              <w:t>：高标准建成浙江（青田）华侨经济文化合作试验区</w:t>
            </w:r>
          </w:p>
          <w:p>
            <w:pPr>
              <w:overflowPunct w:val="0"/>
              <w:spacing w:line="520" w:lineRule="exact"/>
              <w:ind w:firstLine="560"/>
              <w:rPr>
                <w:rFonts w:ascii="Times New Roman"/>
                <w:bCs/>
                <w:sz w:val="28"/>
                <w:szCs w:val="28"/>
              </w:rPr>
            </w:pPr>
            <w:r>
              <w:rPr>
                <w:rFonts w:hint="eastAsia" w:ascii="Times New Roman"/>
                <w:bCs/>
                <w:sz w:val="28"/>
                <w:szCs w:val="28"/>
              </w:rPr>
              <w:t>加快浙江（青田）华侨经济文化合作试验区建设，争取上升为国家级试验区。建设华侨经济产业园区，协同推进丽水跨境电商综合试验区建设，提供国际化高品质公共服务产品，创新华侨人才回流机制，推动引技、引资、引智有机结合。持续推进十大标志性工程建设开发，搭建华侨文化交流平台，拓展文化传播渠道，建设华侨旅游休闲中心和华侨文化交流、对外传播基地。推进华侨贸易与投资便利化。</w:t>
            </w:r>
          </w:p>
          <w:p>
            <w:pPr>
              <w:overflowPunct w:val="0"/>
              <w:spacing w:line="520" w:lineRule="exact"/>
              <w:ind w:firstLine="560"/>
              <w:rPr>
                <w:rFonts w:ascii="Times New Roman"/>
                <w:bCs/>
                <w:sz w:val="28"/>
                <w:szCs w:val="28"/>
              </w:rPr>
            </w:pPr>
            <w:r>
              <w:rPr>
                <w:rFonts w:hint="eastAsia" w:ascii="Times New Roman"/>
                <w:bCs/>
                <w:sz w:val="28"/>
                <w:szCs w:val="28"/>
              </w:rPr>
              <w:t>深化丽水与温州生态产业合作，对接温州时尚智造设计中心、环大罗山科创走廊、世界青年科学家峰会等创新平台，激发青田产业创新发展活力。加强两地景区和旅行社合作，拓展惠游政策，加快瓯江山水诗路沿线精品线路和浙西南生态旅游带建设。推动华侨资源要素整合，与世界华商综合发展试验区联动发展，合力扩大对外开放，将青田打造成为丽水对外开放合作的国际门户。</w:t>
            </w:r>
          </w:p>
        </w:tc>
      </w:tr>
    </w:tbl>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3.激活“北翼”，打造市域北大门</w:t>
      </w:r>
    </w:p>
    <w:p>
      <w:pPr>
        <w:overflowPunct w:val="0"/>
        <w:spacing w:line="600" w:lineRule="exact"/>
        <w:ind w:firstLine="640"/>
        <w:rPr>
          <w:rFonts w:ascii="仿宋_GB2312" w:hAnsi="仿宋_GB2312" w:cs="仿宋_GB2312"/>
          <w:bCs/>
          <w:szCs w:val="32"/>
        </w:rPr>
      </w:pPr>
      <w:r>
        <w:rPr>
          <w:rFonts w:hint="eastAsia" w:ascii="仿宋_GB2312" w:hAnsi="仿宋_GB2312" w:cs="仿宋_GB2312"/>
          <w:szCs w:val="32"/>
        </w:rPr>
        <w:t>以缙云为“一带”地区的“北翼”，通过创新驱动、城乡联动、山海互动，推动区域融合、红绿融合、产城融合，实施“一主一副”双核驱动发展战略，提升城乡区域核心竞争力，建设世界文</w:t>
      </w:r>
      <w:r>
        <w:rPr>
          <w:rFonts w:hint="eastAsia" w:ascii="仿宋_GB2312" w:hAnsi="仿宋_GB2312" w:cs="仿宋_GB2312"/>
          <w:bCs/>
          <w:szCs w:val="32"/>
        </w:rPr>
        <w:t>化旅游目的地、对外开放和生态工业发展重地，打造丽水联动金义都市区、融入长三角一体化发展的北大门。</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加快新型城镇化建设。加快构筑“一主一副、双核多点”新格局，深度推进缙云与莲都、青田一体化发展。提升缙云县城首位度，建设东渡南城，做</w:t>
      </w:r>
      <w:r>
        <w:rPr>
          <w:rFonts w:hint="eastAsia" w:ascii="仿宋_GB2312" w:hAnsi="仿宋_GB2312" w:cs="仿宋_GB2312"/>
          <w:szCs w:val="32"/>
        </w:rPr>
        <w:t>好缙云城区的公共服务功能配套。加快壶镇小</w:t>
      </w:r>
      <w:r>
        <w:rPr>
          <w:rFonts w:hint="eastAsia" w:ascii="仿宋_GB2312" w:hAnsi="仿宋_GB2312" w:cs="仿宋_GB2312"/>
          <w:bCs/>
          <w:szCs w:val="32"/>
        </w:rPr>
        <w:t>城市建设，打造县域经济增长副中心。重点打造新建、舒洪、大洋等一批特色小城镇。</w:t>
      </w:r>
    </w:p>
    <w:p>
      <w:pPr>
        <w:overflowPunct w:val="0"/>
        <w:spacing w:line="600" w:lineRule="exact"/>
        <w:ind w:firstLine="640"/>
        <w:rPr>
          <w:rFonts w:hAnsi="仿宋_GB2312" w:cs="仿宋_GB2312"/>
          <w:szCs w:val="32"/>
        </w:rPr>
      </w:pPr>
      <w:r>
        <w:rPr>
          <w:rFonts w:hint="eastAsia" w:ascii="仿宋_GB2312" w:hAnsi="仿宋_GB2312" w:cs="仿宋_GB2312"/>
          <w:bCs/>
          <w:szCs w:val="32"/>
        </w:rPr>
        <w:t>发展新经济新平台。以丽缙园和缙云经济开发区为核心平台，整合周边产业园区，创建“万亩千亿”新产业平台和国家级高新技术产业开发区，在做强高端装</w:t>
      </w:r>
      <w:r>
        <w:rPr>
          <w:rFonts w:hint="eastAsia" w:ascii="仿宋_GB2312" w:hAnsi="仿宋_GB2312" w:cs="仿宋_GB2312"/>
          <w:szCs w:val="32"/>
        </w:rPr>
        <w:t>备、新材料产业的基础上，形成现代装备产业集群。培育沸石产业，以智能家居、运动休闲、医疗器械为特色，形成健康医疗产业集群。以仙都国家5A级旅游景区为龙头，联通大洋、方溪、石笕、胡源，加快发展全域旅游、康养度假、农旅体验，合力推进华侨“双创”试验区建设</w:t>
      </w:r>
      <w:r>
        <w:rPr>
          <w:rFonts w:hint="eastAsia" w:hAnsi="仿宋_GB2312" w:cs="仿宋_GB2312"/>
          <w:szCs w:val="32"/>
        </w:rPr>
        <w:t>。</w:t>
      </w:r>
    </w:p>
    <w:tbl>
      <w:tblPr>
        <w:tblStyle w:val="15"/>
        <w:tblW w:w="8807"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7" w:type="dxa"/>
          </w:tcPr>
          <w:p>
            <w:pPr>
              <w:overflowPunct w:val="0"/>
              <w:spacing w:line="520" w:lineRule="exact"/>
              <w:ind w:firstLine="560"/>
              <w:rPr>
                <w:rFonts w:ascii="黑体" w:hAnsi="黑体" w:eastAsia="黑体"/>
                <w:sz w:val="28"/>
                <w:szCs w:val="32"/>
              </w:rPr>
            </w:pPr>
            <w:r>
              <w:rPr>
                <w:rFonts w:hint="eastAsia" w:ascii="黑体" w:hAnsi="黑体" w:eastAsia="黑体"/>
                <w:sz w:val="28"/>
                <w:szCs w:val="32"/>
              </w:rPr>
              <w:t>专栏</w:t>
            </w:r>
            <w:r>
              <w:rPr>
                <w:rFonts w:ascii="黑体" w:hAnsi="黑体" w:eastAsia="黑体"/>
                <w:sz w:val="28"/>
                <w:szCs w:val="32"/>
              </w:rPr>
              <w:t>4</w:t>
            </w:r>
            <w:r>
              <w:rPr>
                <w:rFonts w:hint="eastAsia" w:ascii="黑体" w:hAnsi="黑体" w:eastAsia="黑体"/>
                <w:sz w:val="28"/>
                <w:szCs w:val="32"/>
              </w:rPr>
              <w:t>：打造缙云特色生态经济体系</w:t>
            </w:r>
          </w:p>
          <w:p>
            <w:pPr>
              <w:overflowPunct w:val="0"/>
              <w:spacing w:line="520" w:lineRule="exact"/>
              <w:ind w:firstLine="560"/>
              <w:rPr>
                <w:rFonts w:ascii="仿宋_GB2312" w:hAnsi="仿宋_GB2312" w:cs="仿宋_GB2312"/>
                <w:bCs/>
                <w:sz w:val="28"/>
                <w:szCs w:val="28"/>
              </w:rPr>
            </w:pPr>
            <w:r>
              <w:rPr>
                <w:rFonts w:hint="eastAsia" w:ascii="仿宋_GB2312" w:hAnsi="仿宋_GB2312" w:cs="仿宋_GB2312"/>
                <w:sz w:val="28"/>
                <w:szCs w:val="28"/>
              </w:rPr>
              <w:t>1.培育先进制造业集群。</w:t>
            </w:r>
            <w:r>
              <w:rPr>
                <w:rFonts w:hint="eastAsia" w:ascii="仿宋_GB2312" w:hAnsi="仿宋_GB2312" w:cs="仿宋_GB2312"/>
                <w:bCs/>
                <w:sz w:val="28"/>
                <w:szCs w:val="28"/>
              </w:rPr>
              <w:t>以壶镇、新碧、五云为发展轴，融入金义都市区产业群，重点发展高端装备、电气机械、运动休闲等优势产业，推进县域产业园区整合，提升高新技术、战略性新兴产业发展水平，创建国家级高新技术产业开发区，打造“万亩千亿”新产业平台。</w:t>
            </w:r>
          </w:p>
          <w:p>
            <w:pPr>
              <w:overflowPunct w:val="0"/>
              <w:spacing w:line="520" w:lineRule="exact"/>
              <w:ind w:firstLine="560"/>
              <w:rPr>
                <w:rFonts w:ascii="仿宋_GB2312" w:hAnsi="仿宋_GB2312" w:cs="仿宋_GB2312"/>
                <w:bCs/>
                <w:sz w:val="28"/>
                <w:szCs w:val="28"/>
              </w:rPr>
            </w:pPr>
            <w:r>
              <w:rPr>
                <w:rFonts w:hint="eastAsia" w:ascii="仿宋_GB2312" w:hAnsi="仿宋_GB2312" w:cs="仿宋_GB2312"/>
                <w:sz w:val="28"/>
                <w:szCs w:val="28"/>
              </w:rPr>
              <w:t>2.发展高端服务业集群。发展</w:t>
            </w:r>
            <w:r>
              <w:rPr>
                <w:rFonts w:hint="eastAsia" w:ascii="仿宋_GB2312" w:hAnsi="仿宋_GB2312" w:cs="仿宋_GB2312"/>
                <w:bCs/>
                <w:sz w:val="28"/>
                <w:szCs w:val="28"/>
              </w:rPr>
              <w:t>以户外运动体验为主导，以康养度假、山耕体验为特色的体验经济产业集群。建设一批星级酒店、精品民宿、特色餐饮等高品质旅游接待设施，提升现代服务业接待能力。</w:t>
            </w:r>
          </w:p>
          <w:p>
            <w:pPr>
              <w:overflowPunct w:val="0"/>
              <w:spacing w:line="520" w:lineRule="exact"/>
              <w:ind w:firstLine="560"/>
              <w:rPr>
                <w:rFonts w:ascii="Times New Roman"/>
                <w:bCs/>
                <w:sz w:val="28"/>
                <w:szCs w:val="28"/>
              </w:rPr>
            </w:pPr>
            <w:r>
              <w:rPr>
                <w:rFonts w:hint="eastAsia" w:ascii="仿宋_GB2312" w:hAnsi="仿宋_GB2312" w:cs="仿宋_GB2312"/>
                <w:sz w:val="28"/>
                <w:szCs w:val="28"/>
              </w:rPr>
              <w:t>3.打造长三角山地精品农产</w:t>
            </w:r>
            <w:r>
              <w:rPr>
                <w:rFonts w:hint="eastAsia" w:ascii="仿宋_GB2312"/>
                <w:sz w:val="28"/>
                <w:szCs w:val="28"/>
              </w:rPr>
              <w:t>品基地。重点</w:t>
            </w:r>
            <w:r>
              <w:rPr>
                <w:rFonts w:hint="eastAsia" w:ascii="仿宋_GB2312"/>
                <w:bCs/>
                <w:sz w:val="28"/>
                <w:szCs w:val="28"/>
              </w:rPr>
              <w:t>推进大洋山高山精品农业示范基地、舒洪黄龙国家农村产业融合发展示范园、现代农业深加工园区建设。扩大特色农产品种植面积，发展仁岸杨梅、铁皮石斛等地方品牌，形成“丽水山耕”品牌下的缙云精品农业产品体系。</w:t>
            </w:r>
          </w:p>
        </w:tc>
      </w:tr>
    </w:tbl>
    <w:p>
      <w:pPr>
        <w:pStyle w:val="7"/>
        <w:keepLines w:val="0"/>
        <w:overflowPunct w:val="0"/>
        <w:spacing w:line="600" w:lineRule="exact"/>
        <w:ind w:firstLine="640"/>
        <w:rPr>
          <w:rFonts w:ascii="Times New Roman" w:eastAsia="楷体_GB2312"/>
          <w:b w:val="0"/>
        </w:rPr>
      </w:pPr>
      <w:bookmarkStart w:id="21" w:name="_Toc37102835"/>
      <w:bookmarkStart w:id="22" w:name="_Toc93137342"/>
      <w:bookmarkStart w:id="23" w:name="_Toc57903643"/>
      <w:r>
        <w:rPr>
          <w:rFonts w:hint="eastAsia" w:ascii="Times New Roman" w:eastAsia="楷体_GB2312"/>
          <w:b w:val="0"/>
        </w:rPr>
        <w:t>（二）加快建设龙庆聚落发展区</w:t>
      </w:r>
      <w:bookmarkEnd w:id="21"/>
      <w:r>
        <w:rPr>
          <w:rFonts w:hint="eastAsia" w:ascii="Times New Roman" w:eastAsia="楷体_GB2312"/>
          <w:b w:val="0"/>
        </w:rPr>
        <w:t>块</w:t>
      </w:r>
      <w:bookmarkEnd w:id="22"/>
      <w:bookmarkEnd w:id="23"/>
    </w:p>
    <w:p>
      <w:pPr>
        <w:overflowPunct w:val="0"/>
        <w:spacing w:line="600" w:lineRule="exact"/>
        <w:ind w:firstLine="640"/>
        <w:rPr>
          <w:rFonts w:ascii="仿宋_GB2312"/>
          <w:bCs/>
          <w:szCs w:val="32"/>
        </w:rPr>
      </w:pPr>
      <w:r>
        <w:rPr>
          <w:rFonts w:hint="eastAsia" w:ascii="仿宋_GB2312"/>
          <w:szCs w:val="32"/>
        </w:rPr>
        <w:t>以建设世界经典文创高地为发展目标，推进国家公园建设，构建环国家公园文创大走廊，建设文创特色小镇群，扩大丽水文创</w:t>
      </w:r>
      <w:r>
        <w:rPr>
          <w:rFonts w:hint="eastAsia" w:ascii="仿宋_GB2312"/>
          <w:bCs/>
          <w:szCs w:val="32"/>
        </w:rPr>
        <w:t>影响力，形成百亿文创产业集群。</w:t>
      </w:r>
    </w:p>
    <w:p>
      <w:pPr>
        <w:overflowPunct w:val="0"/>
        <w:spacing w:line="600" w:lineRule="exact"/>
        <w:ind w:firstLine="640"/>
        <w:rPr>
          <w:rFonts w:ascii="仿宋_GB2312"/>
          <w:bCs/>
          <w:szCs w:val="32"/>
        </w:rPr>
      </w:pPr>
      <w:r>
        <w:rPr>
          <w:rFonts w:hint="eastAsia" w:ascii="仿宋_GB2312" w:hAnsi="仿宋_GB2312" w:cs="仿宋_GB2312"/>
          <w:bCs/>
          <w:szCs w:val="32"/>
        </w:rPr>
        <w:t>1.统筹推进</w:t>
      </w:r>
      <w:bookmarkStart w:id="24" w:name="_Hlk55162818"/>
      <w:r>
        <w:rPr>
          <w:rFonts w:hint="eastAsia" w:ascii="仿宋_GB2312" w:hAnsi="仿宋_GB2312" w:cs="仿宋_GB2312"/>
          <w:bCs/>
          <w:szCs w:val="32"/>
        </w:rPr>
        <w:t>“一廊双城”</w:t>
      </w:r>
      <w:bookmarkEnd w:id="24"/>
      <w:r>
        <w:rPr>
          <w:rFonts w:hint="eastAsia" w:ascii="仿宋_GB2312" w:hAnsi="仿宋_GB2312" w:cs="仿宋_GB2312"/>
          <w:bCs/>
          <w:szCs w:val="32"/>
        </w:rPr>
        <w:t>建设。充分利用特色小镇嫁接现代文化功能，在国家公园外围整合建设多个特色小镇，通过文化引领产业发展、新业态复活传统文化、培育多元旅游业态、延展文创产业集群等举措，推动国家公园与特色小镇有机融合发展，建</w:t>
      </w:r>
      <w:r>
        <w:rPr>
          <w:rFonts w:hint="eastAsia" w:ascii="仿宋_GB2312"/>
          <w:bCs/>
          <w:szCs w:val="32"/>
        </w:rPr>
        <w:t>设环国家公园文创走廊。龙泉市以“青瓷宝剑、天下龙泉”为定位，构建“一园一带三景群”的城乡格局与“一江三城”的城市形态，打造龙庆聚落发展区块主中心。庆元县按照“城区+三叶片”的风扇状结构统筹城乡融合发展，提升县城现代化高端服务功能，建设国家公园综合服务承载区，打造聚落发展区块副中心。</w:t>
      </w:r>
    </w:p>
    <w:p>
      <w:pPr>
        <w:overflowPunct w:val="0"/>
        <w:spacing w:line="600" w:lineRule="exact"/>
        <w:ind w:firstLine="640"/>
        <w:rPr>
          <w:rFonts w:ascii="仿宋_GB2312"/>
          <w:bCs/>
          <w:szCs w:val="32"/>
        </w:rPr>
      </w:pPr>
      <w:bookmarkStart w:id="25" w:name="_Toc29287350"/>
      <w:bookmarkStart w:id="26" w:name="_Toc24669728"/>
      <w:bookmarkStart w:id="27" w:name="_Toc24591233"/>
      <w:bookmarkStart w:id="28" w:name="_Toc29312732"/>
      <w:bookmarkStart w:id="29" w:name="_Toc24591722"/>
      <w:bookmarkStart w:id="30" w:name="_Toc26033105"/>
      <w:r>
        <w:rPr>
          <w:rFonts w:hint="eastAsia" w:ascii="仿宋_GB2312" w:hAnsi="仿宋_GB2312" w:cs="仿宋_GB2312"/>
          <w:bCs/>
          <w:szCs w:val="32"/>
        </w:rPr>
        <w:t>2.高标准建设国家公园</w:t>
      </w:r>
      <w:bookmarkEnd w:id="25"/>
      <w:bookmarkEnd w:id="26"/>
      <w:bookmarkEnd w:id="27"/>
      <w:bookmarkEnd w:id="28"/>
      <w:bookmarkEnd w:id="29"/>
      <w:bookmarkEnd w:id="30"/>
      <w:r>
        <w:rPr>
          <w:rFonts w:hint="eastAsia" w:ascii="仿宋_GB2312" w:hAnsi="仿宋_GB2312" w:cs="仿宋_GB2312"/>
          <w:bCs/>
          <w:szCs w:val="32"/>
        </w:rPr>
        <w:t>。</w:t>
      </w:r>
      <w:r>
        <w:rPr>
          <w:rFonts w:hint="eastAsia" w:ascii="仿宋_GB2312" w:hAnsi="仿宋_GB2312" w:cs="仿宋_GB2312"/>
        </w:rPr>
        <w:t>按照“一园两区”创建体制，高标准创成百山祖国家公园。</w:t>
      </w:r>
      <w:r>
        <w:rPr>
          <w:rFonts w:hint="eastAsia" w:ascii="仿宋_GB2312" w:hAnsi="仿宋_GB2312" w:cs="仿宋_GB2312"/>
          <w:szCs w:val="32"/>
        </w:rPr>
        <w:t>健全</w:t>
      </w:r>
      <w:r>
        <w:rPr>
          <w:rFonts w:hint="eastAsia" w:ascii="仿宋_GB2312" w:hAnsi="仿宋_GB2312" w:cs="仿宋_GB2312"/>
          <w:szCs w:val="32"/>
          <w:shd w:val="clear" w:color="auto" w:fill="FFFFFF"/>
        </w:rPr>
        <w:t>产权管理、司法保障、政府保障、社会联动机制，提升护林联防、智控保护、社区共管、科技支撑体系</w:t>
      </w:r>
      <w:r>
        <w:rPr>
          <w:rFonts w:hint="eastAsia" w:ascii="仿宋_GB2312" w:hAnsi="仿宋_GB2312" w:cs="仿宋_GB2312"/>
          <w:szCs w:val="32"/>
        </w:rPr>
        <w:t>，</w:t>
      </w:r>
      <w:r>
        <w:rPr>
          <w:rFonts w:hint="eastAsia" w:ascii="仿宋_GB2312" w:hAnsi="仿宋_GB2312" w:cs="仿宋_GB2312"/>
          <w:szCs w:val="32"/>
          <w:shd w:val="clear" w:color="auto" w:fill="FFFFFF"/>
        </w:rPr>
        <w:t>统筹推进生态系统保护、科研监测、自然教育、基础设施建设、社区发展等工程项目</w:t>
      </w:r>
      <w:r>
        <w:rPr>
          <w:rFonts w:hint="eastAsia" w:ascii="仿宋_GB2312" w:hAnsi="仿宋_GB2312" w:cs="仿宋_GB2312"/>
          <w:szCs w:val="32"/>
        </w:rPr>
        <w:t>。深入开展世界生物圈保护区申</w:t>
      </w:r>
      <w:r>
        <w:rPr>
          <w:rFonts w:hint="eastAsia" w:ascii="仿宋_GB2312"/>
          <w:szCs w:val="32"/>
        </w:rPr>
        <w:t>报工作。</w:t>
      </w:r>
      <w:r>
        <w:rPr>
          <w:rFonts w:hint="eastAsia" w:ascii="仿宋_GB2312"/>
          <w:szCs w:val="32"/>
          <w:shd w:val="clear" w:color="auto" w:fill="FFFFFF"/>
        </w:rPr>
        <w:t>充分发挥国家公园品牌带动作用，构</w:t>
      </w:r>
      <w:r>
        <w:rPr>
          <w:rFonts w:hint="eastAsia" w:ascii="仿宋_GB2312"/>
          <w:szCs w:val="32"/>
          <w:shd w:val="clear" w:color="auto" w:fill="FFFFFF"/>
          <w:lang w:eastAsia="zh-CN"/>
        </w:rPr>
        <w:t>健全</w:t>
      </w:r>
      <w:r>
        <w:rPr>
          <w:rFonts w:hint="eastAsia" w:ascii="仿宋_GB2312"/>
          <w:szCs w:val="32"/>
          <w:shd w:val="clear" w:color="auto" w:fill="FFFFFF"/>
        </w:rPr>
        <w:t>域联动发展格局，建设科普教育、天文观测、自然体验等基地，开发森林康养、气</w:t>
      </w:r>
      <w:r>
        <w:rPr>
          <w:rFonts w:hint="eastAsia" w:ascii="仿宋_GB2312"/>
          <w:bCs/>
          <w:szCs w:val="32"/>
        </w:rPr>
        <w:t>候养生、有机食品等产品。</w:t>
      </w:r>
    </w:p>
    <w:p>
      <w:pPr>
        <w:overflowPunct w:val="0"/>
        <w:spacing w:line="600" w:lineRule="exact"/>
        <w:ind w:firstLine="640"/>
        <w:rPr>
          <w:rFonts w:ascii="仿宋_GB2312"/>
          <w:bCs/>
          <w:szCs w:val="32"/>
        </w:rPr>
      </w:pPr>
      <w:r>
        <w:rPr>
          <w:rFonts w:hint="eastAsia" w:ascii="仿宋_GB2312" w:hAnsi="仿宋_GB2312" w:cs="仿宋_GB2312"/>
          <w:bCs/>
          <w:szCs w:val="32"/>
        </w:rPr>
        <w:t>3.促进文创产业发展。加快青瓷遗址保护修缮和活化利用。促进青瓷工艺与时尚元素融合，培育瓷器行业领军企业。推动“青瓷+创意”融合发展，建设青瓷文化创</w:t>
      </w:r>
      <w:r>
        <w:rPr>
          <w:rFonts w:hint="eastAsia" w:ascii="仿宋_GB2312" w:hAnsi="仿宋_GB2312" w:cs="仿宋_GB2312"/>
          <w:szCs w:val="32"/>
        </w:rPr>
        <w:t>意创业孵化基地，完善“公司+工作室”经营模式，建设手工制作、工业</w:t>
      </w:r>
      <w:r>
        <w:fldChar w:fldCharType="begin"/>
      </w:r>
      <w:r>
        <w:instrText xml:space="preserve"> HYPERLINK "http://news.dichan.com/news/35/20.html" \t "_blank" </w:instrText>
      </w:r>
      <w:r>
        <w:fldChar w:fldCharType="separate"/>
      </w:r>
      <w:r>
        <w:rPr>
          <w:rFonts w:hint="eastAsia" w:ascii="仿宋_GB2312" w:hAnsi="仿宋_GB2312" w:cs="仿宋_GB2312"/>
          <w:szCs w:val="32"/>
        </w:rPr>
        <w:t>设计</w:t>
      </w:r>
      <w:r>
        <w:rPr>
          <w:rFonts w:hint="eastAsia" w:ascii="仿宋_GB2312" w:hAnsi="仿宋_GB2312" w:cs="仿宋_GB2312"/>
          <w:szCs w:val="32"/>
        </w:rPr>
        <w:fldChar w:fldCharType="end"/>
      </w:r>
      <w:r>
        <w:rPr>
          <w:rFonts w:hint="eastAsia" w:ascii="仿宋_GB2312" w:hAnsi="仿宋_GB2312" w:cs="仿宋_GB2312"/>
          <w:szCs w:val="32"/>
        </w:rPr>
        <w:t>、陶瓷艺术“三位一体”的文创综合体。推动宝剑产业进入高端艺术品、体育健</w:t>
      </w:r>
      <w:r>
        <w:rPr>
          <w:rFonts w:hint="eastAsia" w:ascii="仿宋_GB2312"/>
          <w:szCs w:val="32"/>
        </w:rPr>
        <w:t>身器材、高档实用刀具等领域。</w:t>
      </w:r>
      <w:r>
        <w:rPr>
          <w:rFonts w:hint="eastAsia" w:ascii="仿宋_GB2312"/>
          <w:bCs/>
          <w:szCs w:val="32"/>
        </w:rPr>
        <w:t>促进食用菌三产融合发展，建设香菇文化传承展示基地。</w:t>
      </w:r>
      <w:r>
        <w:rPr>
          <w:rFonts w:hint="eastAsia" w:ascii="仿宋_GB2312"/>
          <w:szCs w:val="32"/>
        </w:rPr>
        <w:t>培育竹木产业创业、创新、创意设计体系，</w:t>
      </w:r>
      <w:r>
        <w:rPr>
          <w:rFonts w:hint="eastAsia" w:ascii="仿宋_GB2312"/>
          <w:bCs/>
          <w:szCs w:val="32"/>
        </w:rPr>
        <w:t>打造全球铅笔制造之都。培育一批青瓷、宝剑、食用菌、竹木和铅笔等行业“隐形冠军”企业。</w:t>
      </w:r>
    </w:p>
    <w:p>
      <w:pPr>
        <w:overflowPunct w:val="0"/>
        <w:spacing w:line="600" w:lineRule="exact"/>
        <w:ind w:firstLine="640"/>
        <w:rPr>
          <w:rFonts w:ascii="仿宋_GB2312"/>
          <w:szCs w:val="32"/>
        </w:rPr>
      </w:pPr>
      <w:r>
        <w:rPr>
          <w:rFonts w:hint="eastAsia" w:ascii="仿宋_GB2312" w:hAnsi="仿宋_GB2312" w:cs="仿宋_GB2312"/>
          <w:bCs/>
          <w:szCs w:val="32"/>
        </w:rPr>
        <w:t>4.加快交通一体化发展。把交通一体化发展作为龙庆聚落区块实现协同发展的首要任务，合力谋划建设</w:t>
      </w:r>
      <w:r>
        <w:rPr>
          <w:rFonts w:hint="eastAsia" w:ascii="仿宋_GB2312" w:hAnsi="仿宋_GB2312" w:cs="仿宋_GB2312"/>
          <w:szCs w:val="32"/>
        </w:rPr>
        <w:t>联通连接浙皖闽赣区域的“山海通道”，打通两地断头路，开通跨区域公交线路，共</w:t>
      </w:r>
      <w:r>
        <w:rPr>
          <w:rFonts w:hint="eastAsia" w:ascii="仿宋_GB2312"/>
          <w:szCs w:val="32"/>
        </w:rPr>
        <w:t>建丽水市域西部综合交通枢纽，完善水陆空立体化的综合交通体系。积极对接杭广铁路、温武吉铁路等区域铁路大通道，推进龙泉、庆元一类通用航空机场建设，加快528国道、S209奉化至庆元等公路改造提升，全面提升对外联通能力。</w:t>
      </w:r>
    </w:p>
    <w:p>
      <w:pPr>
        <w:pStyle w:val="7"/>
        <w:keepLines w:val="0"/>
        <w:overflowPunct w:val="0"/>
        <w:spacing w:line="600" w:lineRule="exact"/>
        <w:ind w:firstLine="640"/>
        <w:rPr>
          <w:rFonts w:ascii="Times New Roman" w:eastAsia="楷体_GB2312"/>
          <w:b w:val="0"/>
        </w:rPr>
      </w:pPr>
      <w:bookmarkStart w:id="31" w:name="_Toc37102836"/>
      <w:bookmarkStart w:id="32" w:name="_Toc57903644"/>
      <w:bookmarkStart w:id="33" w:name="_Toc1499166812"/>
      <w:r>
        <w:rPr>
          <w:rFonts w:hint="eastAsia" w:ascii="Times New Roman" w:eastAsia="楷体_GB2312"/>
          <w:b w:val="0"/>
        </w:rPr>
        <w:t>（三）加快建设遂松聚落发展区</w:t>
      </w:r>
      <w:bookmarkEnd w:id="31"/>
      <w:r>
        <w:rPr>
          <w:rFonts w:hint="eastAsia" w:ascii="Times New Roman" w:eastAsia="楷体_GB2312"/>
          <w:b w:val="0"/>
        </w:rPr>
        <w:t>块</w:t>
      </w:r>
      <w:bookmarkEnd w:id="32"/>
      <w:bookmarkEnd w:id="33"/>
    </w:p>
    <w:p>
      <w:pPr>
        <w:overflowPunct w:val="0"/>
        <w:spacing w:line="600" w:lineRule="exact"/>
        <w:ind w:firstLine="640"/>
        <w:rPr>
          <w:rFonts w:ascii="仿宋_GB2312" w:hAnsi="仿宋_GB2312" w:cs="仿宋_GB2312"/>
          <w:szCs w:val="32"/>
        </w:rPr>
      </w:pPr>
      <w:r>
        <w:rPr>
          <w:rFonts w:hint="eastAsia" w:ascii="仿宋_GB2312"/>
          <w:szCs w:val="32"/>
        </w:rPr>
        <w:t>以建设全国乡村振兴样板区为发展目标，打造百里美丽河谷，推进科技创新、乡村振兴、精品旅游三条特色走廊建设，构建市</w:t>
      </w:r>
      <w:r>
        <w:rPr>
          <w:rFonts w:hint="eastAsia" w:ascii="仿宋_GB2312" w:hAnsi="仿宋_GB2312" w:cs="仿宋_GB2312"/>
          <w:szCs w:val="32"/>
        </w:rPr>
        <w:t>域联动金义都市区、融入长三角一体化发展的西大门。</w:t>
      </w:r>
    </w:p>
    <w:p>
      <w:pPr>
        <w:overflowPunct w:val="0"/>
        <w:spacing w:line="600" w:lineRule="exact"/>
        <w:ind w:firstLine="640"/>
        <w:rPr>
          <w:rFonts w:ascii="仿宋_GB2312"/>
          <w:bCs/>
          <w:szCs w:val="32"/>
        </w:rPr>
      </w:pPr>
      <w:r>
        <w:rPr>
          <w:rFonts w:hint="eastAsia" w:ascii="仿宋_GB2312" w:hAnsi="仿宋_GB2312" w:cs="仿宋_GB2312"/>
          <w:bCs/>
          <w:szCs w:val="32"/>
        </w:rPr>
        <w:t>1.构建“一谷三廊四区”发展格局。落实美丽大花园建设要求，推进松阴溪流域生态治理工程，统筹实施河谷地区生态修复工程，完善生态环境监管体系，打造百里美丽河谷。推进科技创</w:t>
      </w:r>
      <w:r>
        <w:rPr>
          <w:rFonts w:hint="eastAsia" w:ascii="仿宋_GB2312"/>
          <w:bCs/>
          <w:szCs w:val="32"/>
        </w:rPr>
        <w:t>新、乡村振兴、休闲度假精品旅游三条特色走廊建设，构建以传统村落为本底，融合数字经济、精品民宿、绿色农业等新经济业态的绿色发展载体。重点打造遂松乡村振兴示范区、遂昌城区、松阳城区、南部红色片区四大核心发展平台，实施“千年古城”复兴计划，统筹民生与基础设施布局建设，加强两地间以及两地与中心城区、金义都市区间交通联系。</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发展创新经济。加快建设“天工之城”，打造浙西南生态产品价值创新转化基地，全力推动“科创+文创+农创”深度融合，积极搭建数字产业加速平台、数字人才培训平台、数字户外集聚平台，合力打造长三角区域原生态“第二创新空间”、数字人才成长摇篮、山地休闲向往之地。加快推进“智能制造新城”建设，强化科技支撑，大力培育以企业为主体的新型研发机构，促进产业转型升级与平台“二次创业”，推动新旧动能转换。</w:t>
      </w:r>
    </w:p>
    <w:p>
      <w:pPr>
        <w:overflowPunct w:val="0"/>
        <w:spacing w:line="600" w:lineRule="exact"/>
        <w:ind w:firstLine="640"/>
        <w:rPr>
          <w:rFonts w:ascii="仿宋_GB2312"/>
          <w:bCs/>
          <w:szCs w:val="32"/>
        </w:rPr>
      </w:pPr>
      <w:r>
        <w:rPr>
          <w:rFonts w:hint="eastAsia" w:ascii="仿宋_GB2312" w:hAnsi="仿宋_GB2312" w:cs="仿宋_GB2312"/>
          <w:bCs/>
          <w:szCs w:val="32"/>
        </w:rPr>
        <w:t>3.激发乡村活力。以打造国家级传统村落公园为着力点，实施乡村产业振兴、美丽宜居、文化铸魂、治理提升、富民惠民等五大行动，激活土地、金融、人才等要素，撬动乡村“二次开发”，</w:t>
      </w:r>
      <w:r>
        <w:rPr>
          <w:rFonts w:hint="eastAsia" w:ascii="仿宋_GB2312" w:hAnsi="仿宋_GB2312" w:cs="仿宋_GB2312"/>
          <w:bCs/>
        </w:rPr>
        <w:t>激发乡村内在发展潜力，</w:t>
      </w:r>
      <w:r>
        <w:rPr>
          <w:rFonts w:hint="eastAsia" w:ascii="仿宋_GB2312" w:hAnsi="仿宋_GB2312" w:cs="仿宋_GB2312"/>
          <w:szCs w:val="32"/>
        </w:rPr>
        <w:t>打造未来乡村愿景地</w:t>
      </w:r>
      <w:r>
        <w:rPr>
          <w:rFonts w:hint="eastAsia" w:ascii="仿宋_GB2312" w:hAnsi="仿宋_GB2312" w:cs="仿宋_GB2312"/>
          <w:bCs/>
        </w:rPr>
        <w:t>。</w:t>
      </w:r>
      <w:r>
        <w:rPr>
          <w:rFonts w:hint="eastAsia" w:ascii="仿宋_GB2312" w:hAnsi="仿宋_GB2312" w:cs="仿宋_GB2312"/>
          <w:bCs/>
          <w:szCs w:val="32"/>
        </w:rPr>
        <w:t>合力做强茶叶、茶油、中药材等优势农产品，做优中蜂、长粽、菊米等</w:t>
      </w:r>
      <w:r>
        <w:rPr>
          <w:rFonts w:hint="eastAsia" w:ascii="仿宋_GB2312" w:hAnsi="仿宋_GB2312" w:cs="仿宋_GB2312"/>
          <w:szCs w:val="32"/>
        </w:rPr>
        <w:t>特色产业，构建绿色生态高效的生态农业体系。推进绿色食品标准化生产基地建设，发展数字农业。加快浙西南茶叶市场、美丽田园综合体</w:t>
      </w:r>
      <w:r>
        <w:rPr>
          <w:rFonts w:hint="eastAsia" w:ascii="仿宋_GB2312"/>
          <w:szCs w:val="32"/>
        </w:rPr>
        <w:t>等项目建设。合力完善革命遗产保护展示体系，建设浙西南干部培训中心、党史</w:t>
      </w:r>
      <w:r>
        <w:rPr>
          <w:rFonts w:hint="eastAsia" w:ascii="仿宋_GB2312"/>
          <w:szCs w:val="32"/>
          <w:lang w:eastAsia="zh-CN"/>
        </w:rPr>
        <w:t>学习</w:t>
      </w:r>
      <w:r>
        <w:rPr>
          <w:rFonts w:hint="eastAsia" w:ascii="仿宋_GB2312"/>
          <w:szCs w:val="32"/>
        </w:rPr>
        <w:t>教育基地、红色研学实践教育基地、红色文化旅游景区等，推动遂昌、松阳创建红色旅游示范县。</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加快交通一体化。加大交通基础设施投资力度，打破两地交通联通瓶颈，构建遂松综合交通走廊，共建综合交通枢纽。加快衢丽铁路、通用航空机场等重大交通设施建设，推进义乌至龙泉（庆元）高速、缙云至江山（广丰）高速、</w:t>
      </w:r>
      <w:r>
        <w:rPr>
          <w:rFonts w:hint="eastAsia" w:ascii="仿宋_GB2312" w:hAnsi="仿宋_GB2312" w:cs="仿宋_GB2312"/>
          <w:szCs w:val="32"/>
        </w:rPr>
        <w:t>235国道、</w:t>
      </w:r>
      <w:r>
        <w:rPr>
          <w:rFonts w:hint="eastAsia" w:ascii="仿宋_GB2312" w:hAnsi="仿宋_GB2312" w:cs="仿宋_GB2312"/>
          <w:bCs/>
          <w:szCs w:val="32"/>
        </w:rPr>
        <w:t>528国道、温岭至常山</w:t>
      </w:r>
      <w:r>
        <w:rPr>
          <w:rFonts w:hint="eastAsia" w:ascii="仿宋_GB2312" w:hAnsi="仿宋_GB2312" w:cs="仿宋_GB2312"/>
          <w:szCs w:val="32"/>
        </w:rPr>
        <w:t>省道</w:t>
      </w:r>
      <w:r>
        <w:rPr>
          <w:rFonts w:hint="eastAsia" w:ascii="仿宋_GB2312" w:hAnsi="仿宋_GB2312" w:cs="仿宋_GB2312"/>
          <w:bCs/>
          <w:szCs w:val="32"/>
        </w:rPr>
        <w:t>、</w:t>
      </w:r>
      <w:r>
        <w:rPr>
          <w:rFonts w:hint="eastAsia" w:ascii="仿宋_GB2312" w:hAnsi="仿宋_GB2312" w:cs="仿宋_GB2312"/>
          <w:szCs w:val="32"/>
        </w:rPr>
        <w:t>江北公路等工程建设，</w:t>
      </w:r>
      <w:r>
        <w:rPr>
          <w:rFonts w:hint="eastAsia" w:ascii="仿宋_GB2312" w:hAnsi="仿宋_GB2312" w:cs="仿宋_GB2312"/>
          <w:bCs/>
          <w:szCs w:val="32"/>
        </w:rPr>
        <w:t>谋划建设城际铁路</w:t>
      </w:r>
      <w:r>
        <w:rPr>
          <w:rFonts w:hint="eastAsia" w:ascii="仿宋_GB2312" w:hAnsi="仿宋_GB2312" w:cs="仿宋_GB2312"/>
          <w:szCs w:val="32"/>
        </w:rPr>
        <w:t>S1线遂昌湖山—松阳城区段</w:t>
      </w:r>
      <w:r>
        <w:rPr>
          <w:rFonts w:hint="eastAsia" w:ascii="仿宋_GB2312" w:hAnsi="仿宋_GB2312" w:cs="仿宋_GB2312"/>
          <w:bCs/>
          <w:szCs w:val="32"/>
        </w:rPr>
        <w:t>，推进农村公路、旅游公路、绿道互联互通，打造松古平原15分钟交通圈、遂松半小时交通圈。</w:t>
      </w:r>
    </w:p>
    <w:p>
      <w:pPr>
        <w:pStyle w:val="7"/>
        <w:keepLines w:val="0"/>
        <w:overflowPunct w:val="0"/>
        <w:spacing w:line="600" w:lineRule="exact"/>
        <w:ind w:firstLine="640"/>
        <w:rPr>
          <w:rFonts w:ascii="Times New Roman" w:eastAsia="楷体_GB2312"/>
          <w:b w:val="0"/>
        </w:rPr>
      </w:pPr>
      <w:bookmarkStart w:id="34" w:name="_Toc37102837"/>
      <w:bookmarkStart w:id="35" w:name="_Toc1532622611"/>
      <w:bookmarkStart w:id="36" w:name="_Toc57903645"/>
      <w:r>
        <w:rPr>
          <w:rFonts w:hint="eastAsia" w:ascii="Times New Roman" w:eastAsia="楷体_GB2312"/>
          <w:b w:val="0"/>
        </w:rPr>
        <w:t>（四）加快建设云景聚落发展区</w:t>
      </w:r>
      <w:bookmarkEnd w:id="34"/>
      <w:r>
        <w:rPr>
          <w:rFonts w:hint="eastAsia" w:ascii="Times New Roman" w:eastAsia="楷体_GB2312"/>
          <w:b w:val="0"/>
        </w:rPr>
        <w:t>块</w:t>
      </w:r>
      <w:bookmarkEnd w:id="35"/>
      <w:bookmarkEnd w:id="36"/>
    </w:p>
    <w:p>
      <w:pPr>
        <w:overflowPunct w:val="0"/>
        <w:spacing w:line="600" w:lineRule="exact"/>
        <w:ind w:firstLine="640"/>
        <w:rPr>
          <w:rFonts w:ascii="仿宋_GB2312" w:hAnsi="仿宋_GB2312" w:cs="仿宋_GB2312"/>
          <w:bCs/>
          <w:szCs w:val="32"/>
        </w:rPr>
      </w:pPr>
      <w:r>
        <w:rPr>
          <w:rFonts w:hint="eastAsia" w:ascii="仿宋_GB2312"/>
          <w:szCs w:val="32"/>
        </w:rPr>
        <w:t>以建设</w:t>
      </w:r>
      <w:r>
        <w:rPr>
          <w:rFonts w:hint="eastAsia" w:ascii="仿宋_GB2312" w:hAnsi="仿宋_GB2312" w:cs="仿宋_GB2312"/>
          <w:szCs w:val="32"/>
        </w:rPr>
        <w:t>全国民族地区城乡融合发展示范区、山区新型城镇化样板区</w:t>
      </w:r>
      <w:r>
        <w:rPr>
          <w:rFonts w:hint="eastAsia" w:ascii="仿宋_GB2312"/>
          <w:szCs w:val="32"/>
        </w:rPr>
        <w:t>为发展目标，聚力培育发展独具特色风情的优势产业，推进基础设施协商共建，建立健全城乡融合发展体制机制，打造民</w:t>
      </w:r>
      <w:r>
        <w:rPr>
          <w:rFonts w:hint="eastAsia" w:ascii="仿宋_GB2312" w:hAnsi="仿宋_GB2312" w:cs="仿宋_GB2312"/>
          <w:szCs w:val="32"/>
        </w:rPr>
        <w:t>族特色</w:t>
      </w:r>
      <w:r>
        <w:rPr>
          <w:rFonts w:hint="eastAsia" w:ascii="仿宋_GB2312" w:hAnsi="仿宋_GB2312" w:cs="仿宋_GB2312"/>
          <w:bCs/>
          <w:szCs w:val="32"/>
        </w:rPr>
        <w:t>风情样板。</w:t>
      </w:r>
    </w:p>
    <w:p>
      <w:pPr>
        <w:overflowPunct w:val="0"/>
        <w:adjustRightInd w:val="0"/>
        <w:spacing w:line="600" w:lineRule="exact"/>
        <w:ind w:firstLine="627" w:firstLineChars="196"/>
        <w:rPr>
          <w:rFonts w:ascii="仿宋_GB2312" w:hAnsi="仿宋_GB2312" w:cs="仿宋_GB2312"/>
          <w:bCs/>
          <w:szCs w:val="32"/>
        </w:rPr>
      </w:pPr>
      <w:r>
        <w:rPr>
          <w:rFonts w:hint="eastAsia" w:ascii="仿宋_GB2312" w:hAnsi="仿宋_GB2312" w:cs="仿宋_GB2312"/>
          <w:bCs/>
          <w:szCs w:val="32"/>
        </w:rPr>
        <w:t>1.构建</w:t>
      </w:r>
      <w:bookmarkStart w:id="37" w:name="_Hlk55163215"/>
      <w:r>
        <w:rPr>
          <w:rFonts w:hint="eastAsia" w:ascii="仿宋_GB2312" w:hAnsi="仿宋_GB2312" w:cs="仿宋_GB2312"/>
          <w:bCs/>
          <w:szCs w:val="32"/>
        </w:rPr>
        <w:t>“一廊三区”发展格局</w:t>
      </w:r>
      <w:bookmarkEnd w:id="37"/>
      <w:r>
        <w:rPr>
          <w:rFonts w:hint="eastAsia" w:ascii="仿宋_GB2312" w:hAnsi="仿宋_GB2312" w:cs="仿宋_GB2312"/>
          <w:bCs/>
          <w:szCs w:val="32"/>
        </w:rPr>
        <w:t>。统筹谋划区域发展战略，率先探索国土空间协同发展机制，推进</w:t>
      </w:r>
      <w:r>
        <w:rPr>
          <w:rFonts w:hint="eastAsia" w:ascii="仿宋_GB2312" w:hAnsi="仿宋_GB2312" w:cs="仿宋_GB2312"/>
          <w:szCs w:val="30"/>
        </w:rPr>
        <w:t>云景一体化发展。</w:t>
      </w:r>
      <w:r>
        <w:rPr>
          <w:rFonts w:hint="eastAsia" w:ascii="仿宋_GB2312" w:hAnsi="仿宋_GB2312" w:cs="仿宋_GB2312"/>
          <w:bCs/>
          <w:szCs w:val="32"/>
        </w:rPr>
        <w:t>打造南北纵贯两县的特色风情走廊，形成北起云和仙宫，南联云上天池，统筹云景一体化发展的空间脊梁。</w:t>
      </w:r>
      <w:r>
        <w:rPr>
          <w:rFonts w:hint="eastAsia" w:ascii="仿宋_GB2312" w:hAnsi="仿宋_GB2312" w:cs="仿宋_GB2312"/>
          <w:szCs w:val="32"/>
        </w:rPr>
        <w:t>加快城区景区化建设，打造云和城区、景宁城区、</w:t>
      </w:r>
      <w:r>
        <w:rPr>
          <w:rFonts w:hint="eastAsia" w:ascii="仿宋_GB2312" w:hAnsi="仿宋_GB2312" w:cs="仿宋_GB2312"/>
          <w:szCs w:val="30"/>
        </w:rPr>
        <w:t>云景特色风情示范区</w:t>
      </w:r>
      <w:r>
        <w:rPr>
          <w:rFonts w:hint="eastAsia" w:ascii="仿宋_GB2312" w:hAnsi="仿宋_GB2312" w:cs="仿宋_GB2312"/>
          <w:szCs w:val="32"/>
        </w:rPr>
        <w:t>三大核心发展平台。</w:t>
      </w:r>
      <w:r>
        <w:rPr>
          <w:rFonts w:hint="eastAsia" w:ascii="仿宋_GB2312" w:hAnsi="仿宋_GB2312" w:cs="仿宋_GB2312"/>
          <w:bCs/>
          <w:szCs w:val="32"/>
        </w:rPr>
        <w:t>云和城区加快生态工业、现代服务业联动发展</w:t>
      </w:r>
      <w:r>
        <w:rPr>
          <w:rFonts w:hint="eastAsia" w:ascii="仿宋_GB2312" w:hAnsi="仿宋_GB2312" w:cs="仿宋_GB2312"/>
          <w:kern w:val="0"/>
          <w:szCs w:val="32"/>
        </w:rPr>
        <w:t>，全面提升公共服务功能；</w:t>
      </w:r>
      <w:r>
        <w:rPr>
          <w:rFonts w:hint="eastAsia" w:ascii="仿宋_GB2312" w:hAnsi="仿宋_GB2312" w:cs="仿宋_GB2312"/>
          <w:szCs w:val="30"/>
        </w:rPr>
        <w:t>景宁城区加快创建5A级景区城，推进城区品质提升，打造美丽城镇样板；云和崇头、雾溪与景宁大均联合建设云景特色</w:t>
      </w:r>
      <w:r>
        <w:rPr>
          <w:rFonts w:hint="eastAsia" w:ascii="仿宋_GB2312" w:hAnsi="仿宋_GB2312" w:cs="仿宋_GB2312"/>
          <w:bCs/>
          <w:szCs w:val="32"/>
        </w:rPr>
        <w:t>风情示范区。</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2.加快全域旅游发展。以云和湖国家级旅游度假区、云和梯田、千峡畲寨风情旅游度假区</w:t>
      </w:r>
      <w:r>
        <w:rPr>
          <w:rFonts w:hint="eastAsia" w:ascii="仿宋_GB2312" w:hAnsi="仿宋_GB2312" w:cs="仿宋_GB2312"/>
          <w:szCs w:val="32"/>
        </w:rPr>
        <w:t>、环敕木山畲族风情旅游度假区等为重点，打造一批大花园“耀眼明珠”。建设云景旅游公路环线与</w:t>
      </w:r>
      <w:r>
        <w:rPr>
          <w:rFonts w:hint="eastAsia" w:ascii="仿宋_GB2312" w:hAnsi="仿宋_GB2312" w:cs="仿宋_GB2312"/>
          <w:bCs/>
          <w:szCs w:val="32"/>
        </w:rPr>
        <w:t>重点地区旅游交通“微循环”，</w:t>
      </w:r>
      <w:r>
        <w:rPr>
          <w:rFonts w:hint="eastAsia" w:ascii="仿宋_GB2312" w:hAnsi="仿宋_GB2312" w:cs="仿宋_GB2312"/>
          <w:szCs w:val="32"/>
        </w:rPr>
        <w:t>完善全域旅游集散体系，实现景区串珠成链。推进文旅融合发展，深入挖掘畲族文化、非遗文化、农耕文化、客家文化等地域文化资源，</w:t>
      </w:r>
      <w:r>
        <w:rPr>
          <w:rFonts w:hint="eastAsia" w:ascii="仿宋_GB2312" w:hAnsi="仿宋_GB2312" w:cs="仿宋_GB2312"/>
        </w:rPr>
        <w:t>开展</w:t>
      </w:r>
      <w:r>
        <w:rPr>
          <w:rFonts w:hint="eastAsia" w:ascii="仿宋_GB2312" w:hAnsi="仿宋_GB2312" w:cs="仿宋_GB2312"/>
          <w:szCs w:val="32"/>
        </w:rPr>
        <w:t>中国畲乡三月三、云和开犁节等特色</w:t>
      </w:r>
      <w:r>
        <w:rPr>
          <w:rFonts w:hint="eastAsia" w:ascii="仿宋_GB2312" w:hAnsi="仿宋_GB2312" w:cs="仿宋_GB2312"/>
        </w:rPr>
        <w:t>文化活动，</w:t>
      </w:r>
      <w:r>
        <w:rPr>
          <w:rFonts w:hint="eastAsia" w:ascii="仿宋_GB2312" w:hAnsi="仿宋_GB2312" w:cs="仿宋_GB2312"/>
          <w:szCs w:val="32"/>
        </w:rPr>
        <w:t>建设</w:t>
      </w:r>
      <w:r>
        <w:rPr>
          <w:rFonts w:hint="eastAsia" w:ascii="仿宋_GB2312" w:hAnsi="仿宋_GB2312" w:cs="仿宋_GB2312"/>
          <w:szCs w:val="32"/>
          <w:shd w:val="clear" w:color="auto" w:fill="FFFFFF"/>
        </w:rPr>
        <w:t>云和采真里、景宁畲乡之窗等文化创意街区</w:t>
      </w:r>
      <w:r>
        <w:rPr>
          <w:rFonts w:hint="eastAsia" w:ascii="仿宋_GB2312" w:hAnsi="仿宋_GB2312" w:cs="仿宋_GB2312"/>
          <w:szCs w:val="32"/>
        </w:rPr>
        <w:t>，建设富有少数民族风情的特色民宿，发展民俗风情旅游，打造具有鲜明辨识度的文旅品牌。</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3.构建特色生态产业体系。推进产业平台整合，重点发展木玩制造、金属加工、电器制造等生态制造业。推进木制玩具百亿</w:t>
      </w:r>
      <w:r>
        <w:rPr>
          <w:rFonts w:hint="eastAsia" w:ascii="仿宋_GB2312" w:hAnsi="仿宋_GB2312" w:cs="仿宋_GB2312"/>
          <w:szCs w:val="30"/>
        </w:rPr>
        <w:t>产业发展，加快打造木玩研发、生产、销售全产业链，构筑“木玩+”产业体系，培育自主品牌，建设国际木玩名城。</w:t>
      </w:r>
      <w:r>
        <w:rPr>
          <w:rFonts w:hint="eastAsia" w:ascii="仿宋_GB2312" w:hAnsi="仿宋_GB2312" w:cs="仿宋_GB2312"/>
          <w:bCs/>
          <w:szCs w:val="32"/>
        </w:rPr>
        <w:t>做优做特“景宁600”“云和师傅”等品牌，建设一批高山农业、精品农业示范园，推广</w:t>
      </w:r>
      <w:r>
        <w:rPr>
          <w:rFonts w:hint="eastAsia" w:ascii="仿宋_GB2312" w:hAnsi="仿宋_GB2312" w:cs="仿宋_GB2312"/>
          <w:szCs w:val="32"/>
        </w:rPr>
        <w:t>药稻轮作、稻鱼共生、</w:t>
      </w:r>
      <w:r>
        <w:rPr>
          <w:rFonts w:hint="eastAsia" w:ascii="仿宋_GB2312" w:hAnsi="仿宋_GB2312" w:cs="仿宋_GB2312"/>
          <w:szCs w:val="30"/>
        </w:rPr>
        <w:t>稻鳖共培等新型种养模式。积极发展数字经济、康养经济、创新经济等新兴产业，推动现代服</w:t>
      </w:r>
      <w:r>
        <w:rPr>
          <w:rFonts w:hint="eastAsia" w:ascii="仿宋_GB2312" w:hAnsi="仿宋_GB2312" w:cs="仿宋_GB2312"/>
          <w:bCs/>
          <w:szCs w:val="32"/>
        </w:rPr>
        <w:t>务业发展。</w:t>
      </w:r>
    </w:p>
    <w:p>
      <w:pPr>
        <w:overflowPunct w:val="0"/>
        <w:adjustRightInd w:val="0"/>
        <w:spacing w:line="600" w:lineRule="exact"/>
        <w:ind w:firstLine="627" w:firstLineChars="196"/>
        <w:rPr>
          <w:rFonts w:ascii="仿宋_GB2312" w:hAnsi="仿宋_GB2312" w:cs="仿宋_GB2312"/>
          <w:szCs w:val="32"/>
        </w:rPr>
      </w:pPr>
      <w:r>
        <w:rPr>
          <w:rFonts w:hint="eastAsia" w:ascii="仿宋_GB2312" w:hAnsi="仿宋_GB2312" w:cs="仿宋_GB2312"/>
          <w:bCs/>
          <w:szCs w:val="32"/>
        </w:rPr>
        <w:t>4.加快推进云景同城化发展。</w:t>
      </w:r>
      <w:bookmarkStart w:id="38" w:name="_Toc37102838"/>
      <w:r>
        <w:rPr>
          <w:rFonts w:hint="eastAsia" w:ascii="仿宋_GB2312" w:hAnsi="仿宋_GB2312" w:cs="仿宋_GB2312"/>
          <w:bCs/>
          <w:szCs w:val="32"/>
        </w:rPr>
        <w:t>协同共建文化、教育、卫生、体育等公共服务基础设施，探索建立教育</w:t>
      </w:r>
      <w:r>
        <w:rPr>
          <w:rFonts w:hint="eastAsia" w:ascii="仿宋_GB2312" w:hAnsi="仿宋_GB2312" w:cs="仿宋_GB2312"/>
          <w:szCs w:val="32"/>
        </w:rPr>
        <w:t>、医疗等领域一体化发展机制。统筹布局</w:t>
      </w:r>
      <w:r>
        <w:rPr>
          <w:rFonts w:hint="eastAsia" w:ascii="仿宋_GB2312" w:hAnsi="仿宋_GB2312" w:cs="仿宋_GB2312"/>
          <w:szCs w:val="32"/>
          <w:shd w:val="clear" w:color="auto" w:fill="FFFFFF"/>
        </w:rPr>
        <w:t>现代物流、信息、能源、环卫等城市基础设施，以及5G网络、工业互联网等新型基础设施。</w:t>
      </w:r>
      <w:r>
        <w:rPr>
          <w:rFonts w:hint="eastAsia" w:ascii="仿宋_GB2312" w:hAnsi="仿宋_GB2312" w:cs="仿宋_GB2312"/>
          <w:szCs w:val="32"/>
        </w:rPr>
        <w:t>推进云和、景宁主城区间交通一体化建设，探索</w:t>
      </w:r>
      <w:r>
        <w:rPr>
          <w:rFonts w:hint="eastAsia" w:ascii="仿宋_GB2312" w:hAnsi="仿宋_GB2312" w:cs="仿宋_GB2312"/>
          <w:szCs w:val="32"/>
          <w:lang w:eastAsia="zh-CN"/>
        </w:rPr>
        <w:t>制订</w:t>
      </w:r>
      <w:r>
        <w:rPr>
          <w:rFonts w:hint="eastAsia" w:ascii="仿宋_GB2312" w:hAnsi="仿宋_GB2312" w:cs="仿宋_GB2312"/>
          <w:szCs w:val="32"/>
        </w:rPr>
        <w:t>云和至景宁间高速公路差异化收费政策，谋划开通云和至景宁城际公交。</w:t>
      </w:r>
    </w:p>
    <w:p>
      <w:pPr>
        <w:pStyle w:val="7"/>
        <w:keepLines w:val="0"/>
        <w:overflowPunct w:val="0"/>
        <w:spacing w:line="600" w:lineRule="exact"/>
        <w:ind w:firstLine="640"/>
        <w:rPr>
          <w:rFonts w:ascii="Times New Roman" w:eastAsia="楷体_GB2312"/>
          <w:b w:val="0"/>
        </w:rPr>
      </w:pPr>
      <w:bookmarkStart w:id="39" w:name="_Toc57903646"/>
      <w:bookmarkStart w:id="40" w:name="_Toc1085979493"/>
      <w:r>
        <w:rPr>
          <w:rFonts w:hint="eastAsia" w:ascii="Times New Roman" w:eastAsia="楷体_GB2312"/>
          <w:b w:val="0"/>
        </w:rPr>
        <w:t>（五）加强区域合作联动</w:t>
      </w:r>
      <w:bookmarkEnd w:id="39"/>
      <w:bookmarkEnd w:id="40"/>
    </w:p>
    <w:p>
      <w:pPr>
        <w:overflowPunct w:val="0"/>
        <w:spacing w:line="600" w:lineRule="exact"/>
        <w:ind w:firstLine="640"/>
        <w:rPr>
          <w:rFonts w:ascii="Times New Roman"/>
          <w:szCs w:val="32"/>
        </w:rPr>
      </w:pPr>
      <w:r>
        <w:rPr>
          <w:rFonts w:hint="eastAsia" w:ascii="Times New Roman"/>
          <w:szCs w:val="32"/>
        </w:rPr>
        <w:t>强化“一带”和“三区”以及“三区”相互之间发展的协作互动，促进全域联动协调发展。加强规划衔接，统筹布局生产生活空间，共享公共服务设施，强化社会治安协同管理，加强重大环保安全事件联合管控与应急处置，共同推动跨区域产城融合发展；加强区域间重大基础设施统筹规划，加快大通道、大枢纽建设；引导区域市场联动发展，推动跨地域跨行业市场互联互通、资源共享；探索共建合作园区等模式，有序推动产业跨区域转移和生产要素双向流动，推动产业深度对接、集群发展。</w:t>
      </w:r>
    </w:p>
    <w:p>
      <w:pPr>
        <w:pStyle w:val="6"/>
        <w:keepNext w:val="0"/>
        <w:keepLines w:val="0"/>
        <w:overflowPunct w:val="0"/>
        <w:spacing w:line="600" w:lineRule="exact"/>
        <w:ind w:firstLine="640"/>
        <w:rPr>
          <w:rFonts w:ascii="Times New Roman" w:hAnsi="Times New Roman" w:eastAsia="黑体"/>
          <w:b w:val="0"/>
        </w:rPr>
      </w:pPr>
      <w:bookmarkStart w:id="41" w:name="_Toc57903647"/>
      <w:bookmarkStart w:id="42" w:name="_Toc2008398353"/>
      <w:r>
        <w:rPr>
          <w:rFonts w:hint="eastAsia" w:ascii="Times New Roman" w:hAnsi="Times New Roman" w:eastAsia="黑体"/>
          <w:b w:val="0"/>
        </w:rPr>
        <w:t>三、高质量发展生态经济</w:t>
      </w:r>
      <w:bookmarkEnd w:id="41"/>
      <w:bookmarkEnd w:id="42"/>
    </w:p>
    <w:p>
      <w:pPr>
        <w:overflowPunct w:val="0"/>
        <w:spacing w:line="600" w:lineRule="exact"/>
        <w:ind w:firstLine="640"/>
        <w:rPr>
          <w:bCs/>
          <w:szCs w:val="32"/>
        </w:rPr>
      </w:pPr>
      <w:r>
        <w:rPr>
          <w:rFonts w:hint="eastAsia"/>
          <w:bCs/>
          <w:szCs w:val="32"/>
        </w:rPr>
        <w:t>以加快建设现代化生态经济体系为目标，深入实施创新驱动发展战略，坚持以生态工业高质量发展为主攻方向，促进创新链与产业链深度融合，为市域统筹发展注入强劲动能。</w:t>
      </w:r>
    </w:p>
    <w:p>
      <w:pPr>
        <w:pStyle w:val="7"/>
        <w:keepLines w:val="0"/>
        <w:overflowPunct w:val="0"/>
        <w:spacing w:line="600" w:lineRule="exact"/>
        <w:ind w:firstLine="640"/>
        <w:rPr>
          <w:rFonts w:ascii="Times New Roman" w:eastAsia="楷体_GB2312"/>
          <w:b w:val="0"/>
        </w:rPr>
      </w:pPr>
      <w:bookmarkStart w:id="43" w:name="_Toc43608306"/>
      <w:bookmarkStart w:id="44" w:name="_Toc57903648"/>
      <w:r>
        <w:rPr>
          <w:rFonts w:hint="eastAsia" w:ascii="Times New Roman" w:eastAsia="楷体_GB2312"/>
          <w:b w:val="0"/>
        </w:rPr>
        <w:t>（一）构建浙西南区域协同创新体系</w:t>
      </w:r>
      <w:bookmarkEnd w:id="43"/>
      <w:bookmarkEnd w:id="44"/>
    </w:p>
    <w:p>
      <w:pPr>
        <w:overflowPunct w:val="0"/>
        <w:spacing w:line="600" w:lineRule="exact"/>
        <w:ind w:firstLine="640"/>
        <w:rPr>
          <w:rFonts w:ascii="仿宋_GB2312"/>
          <w:szCs w:val="32"/>
        </w:rPr>
      </w:pPr>
      <w:r>
        <w:rPr>
          <w:rFonts w:hint="eastAsia" w:ascii="仿宋_GB2312" w:hAnsi="仿宋_GB2312" w:cs="仿宋_GB2312"/>
          <w:bCs/>
          <w:szCs w:val="32"/>
        </w:rPr>
        <w:t>1.优化全市科创布局。加快实施浙西南科创中心发展规划，构建一心支撑、点面联动的浙西南区域创新体系。整合市域科创资源力量，在中心城区布局打造以服务全域孵化为基本特征的浙西南科创中心，加快</w:t>
      </w:r>
      <w:r>
        <w:rPr>
          <w:rFonts w:hint="eastAsia" w:ascii="仿宋_GB2312" w:hAnsi="仿宋_GB2312" w:cs="仿宋_GB2312"/>
          <w:szCs w:val="32"/>
          <w:shd w:val="clear" w:color="auto" w:fill="FFFFFF"/>
        </w:rPr>
        <w:t>建设浙西南生态科技城、科创产业园、科创走廊、科创小镇等重大科创平台</w:t>
      </w:r>
      <w:r>
        <w:rPr>
          <w:rFonts w:hint="eastAsia" w:ascii="仿宋_GB2312" w:hAnsi="仿宋_GB2312" w:cs="仿宋_GB2312"/>
          <w:szCs w:val="32"/>
        </w:rPr>
        <w:t>。</w:t>
      </w:r>
      <w:r>
        <w:rPr>
          <w:rFonts w:hint="eastAsia" w:ascii="仿宋_GB2312" w:hAnsi="仿宋_GB2312" w:cs="仿宋_GB2312"/>
          <w:szCs w:val="32"/>
          <w:shd w:val="clear" w:color="auto" w:fill="FFFFFF"/>
        </w:rPr>
        <w:t>市县联动谋划布局</w:t>
      </w:r>
      <w:r>
        <w:rPr>
          <w:rFonts w:hint="eastAsia" w:ascii="仿宋_GB2312"/>
          <w:szCs w:val="32"/>
          <w:shd w:val="clear" w:color="auto" w:fill="FFFFFF"/>
        </w:rPr>
        <w:t>和建设一批“科创+特色产业”</w:t>
      </w:r>
      <w:r>
        <w:rPr>
          <w:rFonts w:hint="eastAsia" w:ascii="仿宋_GB2312"/>
          <w:szCs w:val="32"/>
        </w:rPr>
        <w:t>综合</w:t>
      </w:r>
      <w:r>
        <w:rPr>
          <w:rFonts w:hint="eastAsia" w:ascii="仿宋_GB2312"/>
          <w:szCs w:val="32"/>
          <w:shd w:val="clear" w:color="auto" w:fill="FFFFFF"/>
        </w:rPr>
        <w:t>科创</w:t>
      </w:r>
      <w:r>
        <w:rPr>
          <w:rFonts w:hint="eastAsia" w:ascii="仿宋_GB2312"/>
          <w:szCs w:val="32"/>
        </w:rPr>
        <w:t>平台</w:t>
      </w:r>
      <w:r>
        <w:rPr>
          <w:rFonts w:hint="eastAsia" w:ascii="仿宋_GB2312"/>
          <w:szCs w:val="32"/>
          <w:shd w:val="clear" w:color="auto" w:fill="FFFFFF"/>
        </w:rPr>
        <w:t>，</w:t>
      </w:r>
      <w:r>
        <w:rPr>
          <w:rFonts w:hint="eastAsia" w:ascii="仿宋_GB2312"/>
          <w:szCs w:val="32"/>
        </w:rPr>
        <w:t>建立市县科创“飞地”机制，鼓励各县（市）在中心城区布局科创载体，推动“一带”聚力打造科创发展示范带，创成国家级高新技术产业开发区，支持“三区”聚力打造区域性科创基地。</w:t>
      </w:r>
    </w:p>
    <w:p>
      <w:pPr>
        <w:overflowPunct w:val="0"/>
        <w:spacing w:line="600" w:lineRule="exact"/>
        <w:ind w:firstLine="640"/>
        <w:rPr>
          <w:rFonts w:ascii="仿宋_GB2312"/>
          <w:bCs/>
          <w:szCs w:val="32"/>
        </w:rPr>
      </w:pPr>
      <w:r>
        <w:rPr>
          <w:rFonts w:hint="eastAsia" w:ascii="仿宋_GB2312" w:hAnsi="仿宋_GB2312" w:cs="仿宋_GB2312"/>
          <w:bCs/>
          <w:szCs w:val="32"/>
        </w:rPr>
        <w:t>2.统筹对外区域合作。主动参与长三角科创共同体建设，谋划建设上海丽水国际创新中心，构建“上海研发+丽水智造落地”协同创新格局，推动市内各类平台分类对接上海重点平台、园区、企业集团，力争省级以上开发区（园区）科技合作全覆盖。以“山海协作”结对城市为重点，在长三角、珠三角等重点区域重点城</w:t>
      </w:r>
      <w:r>
        <w:rPr>
          <w:rFonts w:hint="eastAsia" w:ascii="仿宋_GB2312"/>
          <w:bCs/>
          <w:szCs w:val="32"/>
        </w:rPr>
        <w:t>市打造科创“飞地”群。加强与国内外高端研发机构、科技创新主体合作，吸引长三角重要科创平台在丽设立分支机构。联合长三角多家大学成立“互联网大学”，共建国家级大学科技园。</w:t>
      </w:r>
    </w:p>
    <w:p>
      <w:pPr>
        <w:overflowPunct w:val="0"/>
        <w:spacing w:line="600" w:lineRule="exact"/>
        <w:ind w:firstLine="640"/>
        <w:rPr>
          <w:rFonts w:ascii="仿宋_GB2312"/>
          <w:bCs/>
          <w:szCs w:val="32"/>
        </w:rPr>
      </w:pPr>
      <w:r>
        <w:rPr>
          <w:rFonts w:hint="eastAsia" w:ascii="仿宋_GB2312" w:hAnsi="仿宋_GB2312" w:cs="仿宋_GB2312"/>
          <w:bCs/>
          <w:szCs w:val="32"/>
        </w:rPr>
        <w:t>3.壮大科创人才队伍。深化人才发展体制机制改革，全面落</w:t>
      </w:r>
      <w:r>
        <w:rPr>
          <w:rFonts w:hint="eastAsia" w:ascii="仿宋_GB2312" w:hAnsi="仿宋_GB2312" w:cs="仿宋_GB2312"/>
          <w:kern w:val="0"/>
          <w:szCs w:val="32"/>
        </w:rPr>
        <w:t>实人才科技新政，建设高质量绿色发展人才蓄水池。</w:t>
      </w:r>
      <w:r>
        <w:rPr>
          <w:rFonts w:hint="eastAsia" w:ascii="仿宋_GB2312" w:hAnsi="仿宋_GB2312" w:cs="仿宋_GB2312"/>
          <w:szCs w:val="32"/>
        </w:rPr>
        <w:t>统筹实施“绿谷精英”创新引领行动计划，吸引高水平科创人才到丽水定居创业</w:t>
      </w:r>
      <w:r>
        <w:rPr>
          <w:rFonts w:hint="eastAsia" w:ascii="仿宋_GB2312" w:hAnsi="仿宋_GB2312" w:cs="仿宋_GB2312"/>
          <w:kern w:val="0"/>
          <w:szCs w:val="32"/>
        </w:rPr>
        <w:t>。</w:t>
      </w:r>
      <w:r>
        <w:rPr>
          <w:rFonts w:hint="eastAsia" w:ascii="仿宋_GB2312" w:hAnsi="仿宋_GB2312" w:cs="仿宋_GB2312"/>
          <w:szCs w:val="32"/>
        </w:rPr>
        <w:t>创新柔性引才用才机制，鼓励设立、引进或共建院士工作站、博士后工作站、省级大师工作室以及各级研发机构</w:t>
      </w:r>
      <w:r>
        <w:rPr>
          <w:rFonts w:hint="eastAsia" w:ascii="仿宋_GB2312" w:hAnsi="仿宋_GB2312" w:cs="仿宋_GB2312"/>
          <w:kern w:val="0"/>
          <w:szCs w:val="32"/>
        </w:rPr>
        <w:t>。</w:t>
      </w:r>
      <w:r>
        <w:rPr>
          <w:rFonts w:hint="eastAsia" w:ascii="仿宋_GB2312" w:hAnsi="仿宋_GB2312" w:cs="仿宋_GB2312"/>
          <w:szCs w:val="32"/>
        </w:rPr>
        <w:t>实施“银发人才”工程，鼓励各领域资深科创人才来丽工作。深入实施“绿</w:t>
      </w:r>
      <w:r>
        <w:rPr>
          <w:rFonts w:hint="eastAsia" w:ascii="仿宋_GB2312"/>
          <w:szCs w:val="32"/>
        </w:rPr>
        <w:t>谷英才”“绿谷工匠”等重点人才计划，着重完善青年人才引育工程，谋划建设双创人才特区，为青年人才留丽构筑更多干事创业的成长舞台。</w:t>
      </w:r>
      <w:r>
        <w:rPr>
          <w:rFonts w:hint="eastAsia" w:ascii="仿宋_GB2312" w:cs="仿宋_GB2312"/>
          <w:kern w:val="0"/>
          <w:szCs w:val="32"/>
        </w:rPr>
        <w:t>以“人才码”为载体优化整合人才政策和服务事项，</w:t>
      </w:r>
      <w:r>
        <w:rPr>
          <w:rFonts w:hint="eastAsia" w:ascii="仿宋_GB2312"/>
          <w:szCs w:val="32"/>
          <w:shd w:val="clear" w:color="auto" w:fill="FFFFFF"/>
        </w:rPr>
        <w:t>建设若干集招引、服务、赋能等功能的人才创新创业服务综</w:t>
      </w:r>
      <w:r>
        <w:rPr>
          <w:rFonts w:hint="eastAsia" w:ascii="仿宋_GB2312"/>
          <w:bCs/>
          <w:szCs w:val="32"/>
        </w:rPr>
        <w:t>合体。</w:t>
      </w:r>
    </w:p>
    <w:p>
      <w:pPr>
        <w:overflowPunct w:val="0"/>
        <w:spacing w:line="600" w:lineRule="exact"/>
        <w:ind w:firstLine="640"/>
        <w:rPr>
          <w:rFonts w:ascii="仿宋_GB2312"/>
          <w:szCs w:val="32"/>
        </w:rPr>
      </w:pPr>
      <w:r>
        <w:rPr>
          <w:rFonts w:hint="eastAsia" w:ascii="仿宋_GB2312" w:hAnsi="仿宋_GB2312" w:cs="仿宋_GB2312"/>
          <w:bCs/>
          <w:szCs w:val="32"/>
        </w:rPr>
        <w:t>4.营造协同创新生态。加大科技政策支持力度，建设功能完备、覆盖全域的科创服务网络。</w:t>
      </w:r>
      <w:r>
        <w:rPr>
          <w:rFonts w:hint="eastAsia" w:ascii="仿宋_GB2312" w:hAnsi="仿宋_GB2312" w:cs="仿宋_GB2312"/>
          <w:szCs w:val="32"/>
        </w:rPr>
        <w:t>推动市域创新主体与创新要素有机组合，统筹建设特色产业工程师协同创新中心，创新人才、技术、成果等要素资源共享机制，打造若干区域性产业创新服务综</w:t>
      </w:r>
      <w:r>
        <w:rPr>
          <w:rFonts w:hint="eastAsia" w:ascii="仿宋_GB2312"/>
          <w:szCs w:val="32"/>
        </w:rPr>
        <w:t>合体。探索建立市域统筹创新收益共享机制，推进“人才银行”建设，推广“创新券”“科创贷”“科创投”等科技金融产品，打造华侨风投创投中心，鼓励设立绿色产业、创业投资、科技创新、成果转化引导基金。完善科技成果转化、转让交易与监管体系，健全科技人才收益保障机制，对接长三角技术交易市场联盟，推动区域科技成果在丽水转化落地。促进人力资源服务产业发展，完善人才保障服务体系。</w:t>
      </w:r>
    </w:p>
    <w:p>
      <w:pPr>
        <w:pStyle w:val="7"/>
        <w:keepLines w:val="0"/>
        <w:overflowPunct w:val="0"/>
        <w:spacing w:line="600" w:lineRule="exact"/>
        <w:ind w:firstLine="640"/>
        <w:rPr>
          <w:rFonts w:ascii="Times New Roman" w:eastAsia="楷体_GB2312"/>
          <w:b w:val="0"/>
        </w:rPr>
      </w:pPr>
      <w:bookmarkStart w:id="45" w:name="_Toc57903649"/>
      <w:bookmarkStart w:id="46" w:name="_Toc1121933609"/>
      <w:r>
        <w:rPr>
          <w:rFonts w:hint="eastAsia" w:ascii="Times New Roman" w:eastAsia="楷体_GB2312"/>
          <w:b w:val="0"/>
        </w:rPr>
        <w:t>（二）协同构建现代化生态工业体系</w:t>
      </w:r>
      <w:bookmarkEnd w:id="45"/>
      <w:bookmarkEnd w:id="46"/>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1.聚力发展壮大五大主导产业</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加快培育半导体全产业链。以芯片制造为核心，瞄准半导体器件、材料、模组及终端制造与封测等产业链环节，构建半导体全链条。以丽水经济技术开发区为主体建设半导体核“芯”区、以杭州丽水数字大厦为主体打造前沿创新基地，形成“一芯一地”发展格局，重点建设丽水半导体产业园等项目。到2025年，全市半导体全链条产值达到150亿元。</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大力发展精密制造。按照集群化发展导向，聚焦高端装备、人工智能、节能环保、高端基础件四大领域。围绕直线导轨、轴承、传感器、传动装置生产制造，培育滚动功能部件产业集群；开发智能机床、仪表、专用装备等人工智能装备，打造特色机床小镇；培育高效节能电机、水源热泵、水污染治理等节能环保装备集群；加快提升发展高端不锈钢管、高性能阀门、汽摩配、电气机械和高品质金属新材料等高端基础件。提升钢压延产业，提高产品质量和附加值，着力将其打造成精密制造业的上游产业。到2025年，全市精密制造产值达到1000亿元。</w:t>
      </w:r>
    </w:p>
    <w:p>
      <w:pPr>
        <w:overflowPunct w:val="0"/>
        <w:spacing w:line="600" w:lineRule="exact"/>
        <w:ind w:firstLine="640"/>
        <w:rPr>
          <w:rFonts w:ascii="仿宋_GB2312" w:hAnsi="仿宋_GB2312" w:cs="仿宋_GB2312"/>
          <w:szCs w:val="18"/>
        </w:rPr>
      </w:pPr>
      <w:r>
        <w:rPr>
          <w:rFonts w:hint="eastAsia" w:ascii="仿宋_GB2312" w:hAnsi="仿宋_GB2312" w:cs="仿宋_GB2312"/>
          <w:bCs/>
          <w:szCs w:val="32"/>
        </w:rPr>
        <w:t>大力发展健康医药。聚焦现代中药、保健品及生物提取、高端化学制剂、生物技术药和保健休闲运动五大领域。重点开发中药饮片、中药配方颗粒、茶保健品、食用菌多糖、灵芝破壁孢子粉、中药茶饮和畲医药等产品，构建现代中药全产业链。鼓励企业开发植物牙膏、植物染料、植物香氛等具有功能性、养生性、食疗性的衍生产品，建设植物作物种植基地。做大做强阿奇霉素肠溶胶囊、红霉素肠</w:t>
      </w:r>
      <w:r>
        <w:rPr>
          <w:rFonts w:hint="eastAsia" w:ascii="仿宋_GB2312" w:hAnsi="仿宋_GB2312" w:cs="仿宋_GB2312"/>
          <w:szCs w:val="18"/>
        </w:rPr>
        <w:t>溶胶囊等高端化学制剂，开展二次专利仿制创新。积极引进一批抗体药物、重组蛋白、多肽、新型疫苗等生物制药企业。开展生物基因技术和生物保健品、化妆品、药品的研发和产业化。建成大梁山生命健康产业园等项目。到2025年，全市健康医药制造业产值达到100亿元。</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创新发展时尚产业。聚焦时尚革材、时尚鞋服、历史经典、传统优势产业四大领域。重点发展超细纤维合成革、水性生态合成革，打造国内最大水性生态革集群；以创意设计为引领，建设时尚创意设计平台，培育鞋革、羽绒、箱包等自主时尚品牌；突出龙泉宝剑、龙泉青瓷、青田石雕等历史经典产业优势，大力发展文化创意产业；推动木制玩具（教具）、文体用品、竹木制品、畲族工艺品向现代时尚产业集群转型提升。到2025年，全市时尚产业产值达到600亿元。</w:t>
      </w:r>
    </w:p>
    <w:p>
      <w:pPr>
        <w:overflowPunct w:val="0"/>
        <w:spacing w:line="600" w:lineRule="exact"/>
        <w:ind w:firstLine="640"/>
        <w:rPr>
          <w:rFonts w:ascii="仿宋_GB2312" w:hAnsi="仿宋_GB2312" w:cs="仿宋_GB2312"/>
          <w:bCs/>
          <w:szCs w:val="32"/>
        </w:rPr>
      </w:pPr>
      <w:r>
        <w:rPr>
          <w:rFonts w:hint="eastAsia" w:ascii="仿宋_GB2312"/>
          <w:bCs/>
          <w:szCs w:val="32"/>
        </w:rPr>
        <w:t>加快发展数字经济。聚焦“数字产业化、产业数字化”，打</w:t>
      </w:r>
      <w:r>
        <w:rPr>
          <w:rFonts w:hint="eastAsia" w:ascii="仿宋_GB2312" w:hAnsi="仿宋_GB2312" w:cs="仿宋_GB2312"/>
          <w:szCs w:val="32"/>
        </w:rPr>
        <w:t>造数字生态经济先行区、示范区和数字大花园。以物联网、互联网平台和数字文创为特色，统筹提高绿谷信息产业园、杭州丽水数字大厦、丽水数字经济双创园等园区效益，打造丽水数字经济发展主平台。发展5G新兴技术融合应用，打响网红直播经济品牌。推进“大数据+”制造应用，建设数字化车间和智能化工厂，推动</w:t>
      </w:r>
      <w:r>
        <w:rPr>
          <w:rFonts w:hint="eastAsia" w:ascii="仿宋_GB2312" w:hAnsi="仿宋_GB2312" w:cs="仿宋_GB2312"/>
          <w:bCs/>
          <w:szCs w:val="32"/>
        </w:rPr>
        <w:t>工业生产方式、管理模式全方位升级。到2025年，全市数字经济核心产业增加值达到100亿元。</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2.推进市域产业平台整合</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做强“一心”：市本级产业集聚平台。以丽水经济技术开发区为核心，整合南城片区、碧湖南山片区、青田腊口片区</w:t>
      </w:r>
      <w:r>
        <w:rPr>
          <w:rFonts w:hint="eastAsia" w:ascii="仿宋_GB2312" w:hAnsi="仿宋_GB2312" w:cs="仿宋_GB2312"/>
          <w:szCs w:val="32"/>
        </w:rPr>
        <w:t>以及丽水工业园区，打造“瓯江新城”市本级产业集聚平台。重点培育半导体全链条、精密制造、健康医药、时尚产业、数字经济五大主导产业及高端服务业，力争到2025年达到1000亿元产能规模，并在</w:t>
      </w:r>
      <w:r>
        <w:rPr>
          <w:rFonts w:hint="eastAsia" w:ascii="仿宋_GB2312" w:hAnsi="仿宋_GB2312" w:cs="仿宋_GB2312"/>
          <w:bCs/>
          <w:szCs w:val="32"/>
        </w:rPr>
        <w:t>全省高能级战略平台布局中占据一席之地。</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打造“两翼”：缙云产业集聚区和青田产业集聚区。打造全市产业发展核心经济带的“两翼”，以丽缙智能装备高新技术产业园区、缙云经济开发区为“北翼”的主力平台，以青田经济开发区为“南翼”的主力平台，大力整合周边乡镇工业板块，努力拓展平台发展空间，重点承接金义都市区和温州都市区产业转移，积极招引高端装备制造等产业，促进主导产业规模集聚。到2025年，力争“南北翼”平台均突破500亿元产能规模，在规模体量和发展水平上跻身全省高质量骨干平台前列。</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发展“三片区”：遂松片区、龙庆片区、云景片区。打造全市产业发展区域化支撑平台，以各县（市）省级开发区平台为基础，整合乡镇工业板块，推动跨区域产业集聚、组团式发展，大力培育基于比较生态优势的特色产业。遂松片区推进产业平台跨行政区域整合，实现发展效应共进；龙庆片区突出区域特色，个性培育，实现差异发展；云景片区注重产业培育，实现要素重组，提升规模效应。到2025年，力争各县（市）产业平台产能规模实现翻一番，使平台成为助推生态价值转化实现的主要驱动力。</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3.提高产业用地利用效率。提</w:t>
      </w:r>
      <w:r>
        <w:rPr>
          <w:rFonts w:hint="eastAsia" w:ascii="仿宋_GB2312" w:hAnsi="仿宋_GB2312" w:cs="仿宋_GB2312"/>
          <w:szCs w:val="32"/>
        </w:rPr>
        <w:t>高产业发展质量和效益，积极盘活存量工业用地。深化产业用地利用制度改革，按照“总量锁定、存量优化、增量提效、质量提高”原则，以土地利用效率提升促进产业转型升级。探索产业用地混合利用机制，创新产业用地出让和使用方式，在符合国土空间规划要求的前提下，探索混合产业用地供给。实施“亩均效益”综合评价，完善土地综合评价制度，充分运用市场机制盘活存量土地和低效用地，提高产业用地利用效率。</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4.搭建协同发展新平台。支持行业龙头企业、互联网企业建立共享平台，推动企业间订单、产能、渠道等方面共享，促进资源的高效协同。支持具有产业链带动能力的核心企业搭建网络化</w:t>
      </w:r>
      <w:r>
        <w:rPr>
          <w:rFonts w:hint="eastAsia" w:ascii="仿宋_GB2312" w:hAnsi="仿宋_GB2312" w:cs="仿宋_GB2312"/>
          <w:szCs w:val="32"/>
        </w:rPr>
        <w:t>协同平台，带动上下游企业加快数字化转型，促进产业链向更高层级跃升。鼓励以区域、行业、园区为整体，建立企业技术中心、产业创新中心和创新服务综合体，构建产业互联网平台，打通产业链上下游企业数据通道，促进全渠道、全链路供需适配和精准对接，以数据供应链引领物资链，促进产业链高效协同。</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47" w:name="_Toc57903650"/>
      <w:bookmarkStart w:id="48" w:name="_Toc742804908"/>
      <w:r>
        <w:rPr>
          <w:rFonts w:hint="eastAsia" w:ascii="Times New Roman" w:eastAsia="楷体_GB2312"/>
          <w:b w:val="0"/>
        </w:rPr>
        <w:t>（三）</w:t>
      </w:r>
      <w:bookmarkEnd w:id="47"/>
      <w:r>
        <w:rPr>
          <w:rFonts w:hint="eastAsia" w:ascii="Times New Roman" w:eastAsia="楷体_GB2312"/>
          <w:b w:val="0"/>
        </w:rPr>
        <w:t>协同打造生态安全农产品基地</w:t>
      </w:r>
      <w:bookmarkEnd w:id="48"/>
    </w:p>
    <w:p>
      <w:pPr>
        <w:overflowPunct w:val="0"/>
        <w:spacing w:line="600" w:lineRule="exact"/>
        <w:ind w:firstLine="640"/>
        <w:rPr>
          <w:rFonts w:ascii="仿宋_GB2312" w:hAnsi="仿宋_GB2312" w:cs="仿宋_GB2312"/>
          <w:szCs w:val="36"/>
        </w:rPr>
      </w:pPr>
      <w:r>
        <w:rPr>
          <w:rFonts w:hint="eastAsia" w:ascii="仿宋_GB2312" w:hAnsi="仿宋_GB2312" w:cs="仿宋_GB2312"/>
          <w:bCs/>
          <w:szCs w:val="32"/>
        </w:rPr>
        <w:t>1.优化农业生产布局。创建浙江（丽水）农业绿色发展先行市，持续推进省级精品绿色农产品基地和省级农产品标准化生产示范县创建。以系统建设“丽水山耕”“丽水山</w:t>
      </w:r>
      <w:r>
        <w:rPr>
          <w:rFonts w:hint="eastAsia" w:ascii="仿宋_GB2312" w:hAnsi="仿宋_GB2312" w:cs="仿宋_GB2312"/>
          <w:szCs w:val="32"/>
        </w:rPr>
        <w:t>居”“丽水山景”等品牌为牵引，统筹市域农业生态与资源保护和不同海拔、不同区域乡村产业差异化布局，创建5条现代乡村产业示范带、10个山地精品农业示范园区、20个现代农业园区和特色农业强镇。推进中国特色农产品优势区建设，大力发展农产品精深加工和综合利用加工，促进特色农产品“产加销”一体化。构建“一园三片”涉水产业发展布局，统筹建设若干特色水产业发展基地，加快发展水经济。</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2.壮大特色优势农业。把科技强农作为推进农业现代化的核心战略，按照“农业资源环境保护、要素投入精准环保、生产技术集约高效、产业模式生态循</w:t>
      </w:r>
      <w:r>
        <w:rPr>
          <w:rFonts w:hint="eastAsia" w:ascii="仿宋_GB2312" w:hAnsi="仿宋_GB2312" w:cs="仿宋_GB2312"/>
          <w:bCs/>
          <w:szCs w:val="36"/>
        </w:rPr>
        <w:t>环、质量标准规范完备”的要求，全面构建以生态安全为导向的农业技术体系，大幅度提高农业劳动生产率、资源利用率和全要素生产率，</w:t>
      </w:r>
      <w:r>
        <w:rPr>
          <w:rFonts w:hint="eastAsia" w:ascii="仿宋_GB2312" w:hAnsi="仿宋_GB2312" w:cs="仿宋_GB2312"/>
          <w:szCs w:val="32"/>
        </w:rPr>
        <w:t>创建国家农业高新技术产业示范区</w:t>
      </w:r>
      <w:r>
        <w:rPr>
          <w:rFonts w:hint="eastAsia" w:ascii="仿宋_GB2312" w:hAnsi="仿宋_GB2312" w:cs="仿宋_GB2312"/>
          <w:bCs/>
          <w:szCs w:val="36"/>
        </w:rPr>
        <w:t>。</w:t>
      </w:r>
      <w:r>
        <w:rPr>
          <w:rFonts w:hint="eastAsia" w:ascii="仿宋_GB2312" w:hAnsi="仿宋_GB2312" w:cs="仿宋_GB2312"/>
          <w:szCs w:val="32"/>
        </w:rPr>
        <w:t>深入实施“对标欧盟肥药”双控行动，推行高效互补、生态循环的种养模式，推广应用现代农业新技术新成果新模式，全面提升农业装备现代化水平。</w:t>
      </w:r>
      <w:r>
        <w:rPr>
          <w:rFonts w:hint="eastAsia" w:ascii="仿宋_GB2312" w:hAnsi="仿宋_GB2312" w:cs="仿宋_GB2312"/>
          <w:szCs w:val="36"/>
        </w:rPr>
        <w:t>大力发展农产品“三品一标”，鼓励和推动青田稻鱼、庆元香菇、松阳香茶、云和雪梨和“景宁600”“金奖惠明茶”“有缙道”等具有地方辨识度的特色产品（品牌）跨区域联合共建，</w:t>
      </w:r>
      <w:r>
        <w:rPr>
          <w:rFonts w:hint="eastAsia" w:ascii="仿宋_GB2312" w:hAnsi="仿宋_GB2312" w:cs="仿宋_GB2312"/>
          <w:szCs w:val="32"/>
        </w:rPr>
        <w:t>推出一批具有较强规模效应和市场竞争力的拳头产品。</w:t>
      </w:r>
      <w:r>
        <w:rPr>
          <w:rFonts w:hint="eastAsia" w:ascii="仿宋_GB2312" w:hAnsi="仿宋_GB2312" w:cs="仿宋_GB2312"/>
          <w:szCs w:val="36"/>
        </w:rPr>
        <w:t>打造“丽水山泉”品牌，</w:t>
      </w:r>
      <w:r>
        <w:rPr>
          <w:rFonts w:hint="eastAsia" w:ascii="仿宋_GB2312" w:hAnsi="仿宋_GB2312" w:cs="仿宋_GB2312"/>
          <w:szCs w:val="32"/>
        </w:rPr>
        <w:t>构建“一园三片”涉水产业发展布局，统筹建设若干特色水产业发展基地，加快发展水经济。</w:t>
      </w:r>
      <w:r>
        <w:rPr>
          <w:rFonts w:hint="eastAsia" w:ascii="仿宋_GB2312" w:hAnsi="仿宋_GB2312" w:cs="仿宋_GB2312"/>
          <w:szCs w:val="36"/>
        </w:rPr>
        <w:t>推动农地资源整合、农业资产运营、生态农业补贴、农业技术提升等方面创新发展，激发市场主体与农民投身农业生产的积极性。鼓</w:t>
      </w:r>
      <w:r>
        <w:rPr>
          <w:rFonts w:hint="eastAsia" w:ascii="仿宋_GB2312" w:hAnsi="仿宋_GB2312" w:cs="仿宋_GB2312"/>
          <w:bCs/>
          <w:szCs w:val="32"/>
        </w:rPr>
        <w:t>励农业龙头企业发展。建设以食用菌等高山特色农产品为主的种质资源库、种苗培育实验室等，打造国内重要育种基地。</w:t>
      </w:r>
    </w:p>
    <w:p>
      <w:pPr>
        <w:overflowPunct w:val="0"/>
        <w:spacing w:line="600" w:lineRule="exact"/>
        <w:ind w:firstLine="640"/>
        <w:rPr>
          <w:rFonts w:hAnsi="仿宋_GB2312" w:cs="仿宋_GB2312"/>
          <w:szCs w:val="36"/>
        </w:rPr>
      </w:pPr>
      <w:r>
        <w:rPr>
          <w:rFonts w:hint="eastAsia" w:ascii="仿宋_GB2312" w:hAnsi="仿宋_GB2312" w:cs="仿宋_GB2312"/>
          <w:bCs/>
          <w:szCs w:val="32"/>
        </w:rPr>
        <w:t>3.统筹建设农产品交易市场。联合建立“线下线上”相结合的农产品交易体系，拓展农产品大宗批发、</w:t>
      </w:r>
      <w:r>
        <w:rPr>
          <w:rFonts w:hint="eastAsia" w:ascii="仿宋_GB2312" w:hAnsi="仿宋_GB2312" w:cs="仿宋_GB2312"/>
          <w:szCs w:val="36"/>
        </w:rPr>
        <w:t>都市快销、高端订制、私人认购等多元化的销售渠道，做大农产品销售市场。统筹布局建设农产品冷链仓储、农产品加工物流园区和区域性骨干市场，加快浙西南茶叶市场、庆元香菇市场、青田侨乡农品城提档扩能。鼓励发展多类型的特色农产品主题店铺，建设多级实体展销平台；着力构建政府、企业、农户多方参与的“农村电商生态圈”。</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49" w:name="_Toc57903651"/>
      <w:bookmarkStart w:id="50" w:name="_Toc602957198"/>
      <w:r>
        <w:rPr>
          <w:rFonts w:hint="eastAsia" w:ascii="Times New Roman" w:eastAsia="楷体_GB2312"/>
          <w:b w:val="0"/>
        </w:rPr>
        <w:t>（四）协同打造康养休闲旅游目的地</w:t>
      </w:r>
      <w:bookmarkEnd w:id="49"/>
      <w:bookmarkEnd w:id="50"/>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1.构建五大生态旅游产业集群</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康养度假产业集群。促进传统观光旅游向康养度假迭代升级，充分发挥中医药、民族医药产业独特优势，整合珍贵药材、道地膏方、畲医畲药、生态食品等资源，培育</w:t>
      </w:r>
      <w:r>
        <w:rPr>
          <w:rFonts w:hint="eastAsia" w:ascii="仿宋_GB2312" w:hAnsi="仿宋_GB2312" w:cs="仿宋_GB2312"/>
          <w:szCs w:val="32"/>
        </w:rPr>
        <w:t>治未病调养、康复医疗、慢性病治疗、养生民宿等新旅游业态，融合“水养、体养、文养、食养、药养、气养”，大力发展“银发经济”；创新康养产业与互联</w:t>
      </w:r>
      <w:r>
        <w:rPr>
          <w:rFonts w:hint="eastAsia" w:ascii="仿宋_GB2312" w:hAnsi="仿宋_GB2312" w:cs="仿宋_GB2312"/>
          <w:bCs/>
          <w:szCs w:val="32"/>
        </w:rPr>
        <w:t>网、科技、金融等融合发展新模式，积极引进国内外高端医养机构，建设“康养600”小镇集群。</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户外运动产业集群。依托丽水优越的山水生态禀赋、丰富多样的地形地貌及绿道资源，建</w:t>
      </w:r>
      <w:r>
        <w:rPr>
          <w:rFonts w:hint="eastAsia" w:ascii="仿宋_GB2312" w:hAnsi="仿宋_GB2312" w:cs="仿宋_GB2312"/>
          <w:szCs w:val="32"/>
        </w:rPr>
        <w:t>设国家级运动训练基地、极限运动体验营、户外主题公园、徒步营地等体育项目，开展登山越野、汽车越野、低空飞行、徒步露营等户外主题活动，建设百山祖国家公园徒步基地和汽车越野基地、遂昌大柘汽车运动之城，打造“山水陆空”四位一体的中国最美户外运动天堂。与国际专业赛事</w:t>
      </w:r>
      <w:r>
        <w:rPr>
          <w:rFonts w:hint="eastAsia" w:ascii="仿宋_GB2312" w:hAnsi="仿宋_GB2312" w:cs="仿宋_GB2312"/>
          <w:bCs/>
          <w:szCs w:val="32"/>
        </w:rPr>
        <w:t>组织机构合作，举办国际超级马拉松、环丽水自行车赛、极限登山攀岩、国际廊桥越野赛等赛事。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亲子游学产业集群。引入</w:t>
      </w:r>
      <w:r>
        <w:rPr>
          <w:rFonts w:hint="eastAsia" w:ascii="仿宋_GB2312" w:hAnsi="仿宋_GB2312" w:cs="仿宋_GB2312"/>
          <w:szCs w:val="32"/>
        </w:rPr>
        <w:t>国家级自然地理研究院和国内外一流儿童拓展教育机构，针对长三角地区青少年需求，打造一批青少年游学和亲子活动基地。划定星空保护区，建设观星基地、生物主题公园、儿童训练中心等项目，营建儿童科普教育中心，打造区域性亲子旅游目的地。加快推进红色研学实践教育基地、爱</w:t>
      </w:r>
      <w:r>
        <w:rPr>
          <w:rFonts w:hint="eastAsia" w:ascii="仿宋_GB2312" w:hAnsi="仿宋_GB2312" w:cs="仿宋_GB2312"/>
          <w:bCs/>
          <w:szCs w:val="32"/>
        </w:rPr>
        <w:t>国主义教育基地等红色教育基地建设。依托特色产业发展基础，打造云和木玩、龙泉青瓷、传统戏曲等研学基地。</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艺术文创产业集群。完善文旅融合发展机制，建设瓯江文创产业带，打造千亿级艺术文</w:t>
      </w:r>
      <w:r>
        <w:rPr>
          <w:rFonts w:hint="eastAsia" w:ascii="仿宋_GB2312" w:hAnsi="仿宋_GB2312" w:cs="仿宋_GB2312"/>
          <w:szCs w:val="32"/>
        </w:rPr>
        <w:t>化产业集群。建设瓯江山水诗路，推进诗路文化保护和传承，串联国家公园、缙云仙都等重要资源，建设多条山水诗路游线，培育“旅游+新业态”项目集群，完善配套服务体系。做大“丽水国际摄影名城”品牌，建设丽水国际数码影像中心，开展艺术文化国际性交流活动，打造长三角文艺魅力名城。建设缙云仙都、古堰画乡、千峡湖、青瓷小镇、国家</w:t>
      </w:r>
      <w:r>
        <w:rPr>
          <w:rFonts w:hint="eastAsia" w:ascii="仿宋_GB2312" w:hAnsi="仿宋_GB2312" w:cs="仿宋_GB2312"/>
          <w:bCs/>
          <w:szCs w:val="32"/>
        </w:rPr>
        <w:t>公园、松阳古村落、遂昌南尖岩、云和梯田、畲乡村寨等多个写生基地，吸引美术院校师生在丽水取景写生，设立名家工作室及创作创意基地，打响丽水艺术文创品牌。</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乡愁体验产业集群。依托秀美山水、红色文化、畲乡民俗、生态田园、高山村落、特色美食</w:t>
      </w:r>
      <w:r>
        <w:rPr>
          <w:rFonts w:hint="eastAsia" w:ascii="仿宋_GB2312" w:hAnsi="仿宋_GB2312" w:cs="仿宋_GB2312"/>
          <w:szCs w:val="32"/>
        </w:rPr>
        <w:t>、生态农业等特色资源，以乡村田园综合体为载体，打造一批特色的田园体验集聚区，举办系列田园体验与民俗体验活动。完善乡愁体验旅游产品服务体系，积极引入和培育高端民宿品牌，培育特色精品民宿项目集群，打造长三角区域乡愁体验实景地。</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2.筑强全域旅游重大平台</w:t>
      </w:r>
    </w:p>
    <w:p>
      <w:pPr>
        <w:overflowPunct w:val="0"/>
        <w:spacing w:line="600" w:lineRule="exact"/>
        <w:ind w:firstLine="640"/>
        <w:rPr>
          <w:rFonts w:ascii="仿宋_GB2312" w:hAnsi="仿宋_GB2312" w:cs="仿宋_GB2312"/>
          <w:szCs w:val="32"/>
        </w:rPr>
      </w:pPr>
      <w:r>
        <w:rPr>
          <w:rFonts w:hint="eastAsia" w:ascii="仿宋_GB2312" w:hAnsi="仿宋_GB2312" w:cs="仿宋_GB2312"/>
          <w:szCs w:val="32"/>
        </w:rPr>
        <w:t>构建市域“一路一环三廊多区”全域旅游发展结构，“一带”地区重点建设“一路一环两区”，即瓯江山水诗路、市域东部特色旅游环、仙都景区、千峡湖景区；“三区”地区重点发展“三廊多区”，即遂松美丽河谷走廊、云景特色风情走廊、龙庆环国家公园走廊及多个特色景区。加快推进丽水—宁波山海协作生态旅游文化产业园建设，全力打造丽水瓯江风情、景宁畲族风情、松阳田园风情、遂昌金矿、龙泉青瓷、千峡湖、云和湖、大洋山、仙侠湖九大国家级旅游度假区。全力支持云和梯田、古堰画乡、遂昌金矿等景区创建国家5A级旅游景区。到2025年，力争新创成1家国家5A级旅游景区、1家国家级旅游度假区。主题化、簇群化打造十大引领性旅游项目、十条主题线路、十台特色节会、十大文创产品。推动市县联动、政企合作，打造主题鲜明的全域旅游发展平台，引进国内外知名旅游开发运营企业，开发一批具有衍生辐射效应的旅游龙头项目，打造兼具通达、游憩、康养、运动、文化、教育等复合功能的主题旅游线路。鼓励互联网平台和市场主体参与旅游交通大数据产品及增值服务开发。</w:t>
      </w:r>
    </w:p>
    <w:p>
      <w:pPr>
        <w:pStyle w:val="6"/>
        <w:keepNext w:val="0"/>
        <w:keepLines w:val="0"/>
        <w:overflowPunct w:val="0"/>
        <w:spacing w:line="600" w:lineRule="exact"/>
        <w:ind w:firstLine="640"/>
        <w:rPr>
          <w:rFonts w:ascii="Times New Roman" w:hAnsi="Times New Roman" w:eastAsia="黑体"/>
          <w:b w:val="0"/>
          <w:bCs/>
        </w:rPr>
      </w:pPr>
      <w:bookmarkStart w:id="51" w:name="_Toc57903652"/>
      <w:bookmarkStart w:id="52" w:name="_Toc1725555826"/>
      <w:r>
        <w:rPr>
          <w:rFonts w:hint="eastAsia" w:ascii="Times New Roman" w:hAnsi="Times New Roman" w:eastAsia="黑体"/>
          <w:b w:val="0"/>
        </w:rPr>
        <w:t>四、</w:t>
      </w:r>
      <w:bookmarkEnd w:id="38"/>
      <w:r>
        <w:rPr>
          <w:rFonts w:hint="eastAsia" w:ascii="Times New Roman" w:hAnsi="Times New Roman" w:eastAsia="黑体"/>
          <w:b w:val="0"/>
        </w:rPr>
        <w:t>高效率畅联交通网络</w:t>
      </w:r>
      <w:bookmarkEnd w:id="51"/>
      <w:bookmarkEnd w:id="52"/>
    </w:p>
    <w:p>
      <w:pPr>
        <w:overflowPunct w:val="0"/>
        <w:spacing w:line="600" w:lineRule="exact"/>
        <w:ind w:firstLine="640"/>
        <w:rPr>
          <w:rFonts w:ascii="仿宋_GB2312" w:hAnsi="仿宋_GB2312" w:cs="仿宋_GB2312"/>
          <w:szCs w:val="32"/>
        </w:rPr>
      </w:pPr>
      <w:r>
        <w:rPr>
          <w:rFonts w:hint="eastAsia" w:ascii="仿宋_GB2312" w:hAnsi="仿宋_GB2312" w:cs="仿宋_GB2312"/>
          <w:szCs w:val="32"/>
        </w:rPr>
        <w:t>按照“域外快达、内部畅通”要求，对接长三角综合交通与全省“大通道”建设，打造融沪连闽通粤的浙西南综合交通枢纽。构建三大交通圈层：2小时交通圈，即2小时内可达长三角核心城市；1小时交通圈，即1小时内中心城区可达杭州、宁波、温州、金义四大都市区及丽水市所有县（市）城区和主要景区；半小时交通圈，即实现“一带”地区半小时内相互通达。</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53" w:name="_Toc37102839"/>
      <w:bookmarkStart w:id="54" w:name="_Toc39278700"/>
      <w:bookmarkStart w:id="55" w:name="_Toc57903653"/>
      <w:r>
        <w:rPr>
          <w:rFonts w:hint="eastAsia" w:ascii="Times New Roman" w:eastAsia="楷体_GB2312"/>
          <w:b w:val="0"/>
        </w:rPr>
        <w:t>（一）</w:t>
      </w:r>
      <w:bookmarkEnd w:id="53"/>
      <w:r>
        <w:rPr>
          <w:rFonts w:hint="eastAsia" w:ascii="Times New Roman" w:eastAsia="楷体_GB2312"/>
          <w:b w:val="0"/>
        </w:rPr>
        <w:t>构建区域外联大通道</w:t>
      </w:r>
      <w:bookmarkEnd w:id="54"/>
      <w:bookmarkEnd w:id="55"/>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1.加快建设丽水机场。大力发展航空事业，加快丽水机场与配套设施建设，力争2022年机场建成通航。发挥机场带动效应，建设空港经济区，打造丽水绿色空港门户。</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构建对外铁路大通道。以前瞻眼光系统谋划和一体推进高速铁路、城际铁路、山地轨道建设，构建“两纵两横、四联八向”畅联铁路网，实现“县县通铁路”。推进衢丽铁路、衢宁铁路（复线）、金台铁路建设，加快杭丽铁路（义乌至缙云段）、温武吉铁路开工建设，融入杭州一小时交通圈，实现两小时联通长三角核心城市。谋划建设丽云、丽南、甬丽、嘉绍丽、金遂松龙高速铁路通道，进一步缩短丽水与宁波、上海、苏州等长三角主要城市的时空距离，打造长三角联通粤港澳大湾区、海西经济区的重要交通枢纽。</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3.加快构建市域高速公路环线。构建外接沪皖闽赣、内联“一带三区”的市域高速公路环线。加快建设</w:t>
      </w:r>
      <w:r>
        <w:rPr>
          <w:rFonts w:hint="eastAsia" w:ascii="仿宋_GB2312" w:hAnsi="仿宋_GB2312" w:cs="仿宋_GB2312"/>
          <w:szCs w:val="32"/>
        </w:rPr>
        <w:t>青田至文成、合肥至温州等高速公路项目，打造莲青缙市域发展核心带高速公路环线，助推莲缙青同城化发展。推进G4012溧宁高速公路景宁至文成、义乌至龙泉（庆元）、缙云至江山（广丰）等高速公路项目建设，构建“一带三区”高速公路内环线，实现“一带三区”快速联通。谋划建设乐清至青田、苍南至庆元等高速公路项目，形成“一带三区”高速公路外环线，带动“三区”协同发展。全力推进景区化高速公路建设，力争将景宁至文成高速公路建成全省首条景区化高速</w:t>
      </w:r>
      <w:r>
        <w:rPr>
          <w:rFonts w:hint="eastAsia" w:ascii="仿宋_GB2312" w:hAnsi="仿宋_GB2312" w:cs="仿宋_GB2312"/>
          <w:bCs/>
          <w:szCs w:val="32"/>
        </w:rPr>
        <w:t>公路示范项目。</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4.畅通瓯江“黄金水道”。以“东部物流提升、西部旅游拓展”为指导，共建港口、航运、旅游</w:t>
      </w:r>
      <w:r>
        <w:rPr>
          <w:rFonts w:hint="eastAsia" w:ascii="仿宋_GB2312" w:hAnsi="仿宋_GB2312" w:cs="仿宋_GB2312"/>
          <w:szCs w:val="32"/>
        </w:rPr>
        <w:t>联动发展的“一带两核七区”内河水运格局。高标准建成瓯江主干航道，联通温州港、宁波港，打造瓯江“河海联运”综合枢纽，建成通江达海“黄金水道”。做强温溪、腊口两大核心港区，打造温溪海河联运枢纽港；建设腊口“公铁水空”多式联运物流港，打造市域综合性物流货运基地。积</w:t>
      </w:r>
      <w:r>
        <w:rPr>
          <w:rFonts w:hint="eastAsia" w:ascii="仿宋_GB2312" w:hAnsi="仿宋_GB2312" w:cs="仿宋_GB2312"/>
          <w:bCs/>
          <w:szCs w:val="32"/>
        </w:rPr>
        <w:t>极培育中心城区、青田、云和、龙泉、景宁、松阳、遂昌等7个水上交通集散功能区。</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5.优化交通枢纽和物流网络布局。联通内外交通网络，加强多种交通方式快捷换乘。打造丽水机场—腊口港区“公、铁、水、空”多式联运、辐射全市的综合交通主枢</w:t>
      </w:r>
      <w:r>
        <w:rPr>
          <w:rFonts w:hint="eastAsia" w:ascii="仿宋_GB2312" w:hAnsi="仿宋_GB2312" w:cs="仿宋_GB2312"/>
          <w:szCs w:val="32"/>
        </w:rPr>
        <w:t>纽，形成遂昌—松阳、龙泉、云和—景宁三个市域综合交通次枢纽。加强与杭州、宁波、金义、温州四大都市区交通连接，打造内联大都市区、外接赣闽粤的浙西南综合交通枢纽。依托公路、铁路、港口和机场等重要物流集散节点，加快建设综合型和集散枢纽型的物流中心，加强县、镇、村三级邮政快递物流体系建设，构建以城区为中心，以园区为载体，以社区和村镇为基础的现代综合物流体系。</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56" w:name="_Toc37102840"/>
      <w:bookmarkStart w:id="57" w:name="_Toc1821308915"/>
      <w:bookmarkStart w:id="58" w:name="_Toc57903654"/>
      <w:r>
        <w:rPr>
          <w:rFonts w:hint="eastAsia" w:ascii="Times New Roman" w:eastAsia="楷体_GB2312"/>
          <w:b w:val="0"/>
        </w:rPr>
        <w:t>（二）完善全域畅行交通</w:t>
      </w:r>
      <w:bookmarkEnd w:id="56"/>
      <w:r>
        <w:rPr>
          <w:rFonts w:hint="eastAsia" w:ascii="Times New Roman" w:eastAsia="楷体_GB2312"/>
          <w:b w:val="0"/>
        </w:rPr>
        <w:t>网</w:t>
      </w:r>
      <w:bookmarkEnd w:id="57"/>
      <w:bookmarkEnd w:id="58"/>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1.建设特色智慧轨道网。谋划建设轻</w:t>
      </w:r>
      <w:r>
        <w:rPr>
          <w:rFonts w:hint="eastAsia" w:ascii="仿宋_GB2312" w:hAnsi="仿宋_GB2312" w:cs="仿宋_GB2312"/>
          <w:szCs w:val="32"/>
        </w:rPr>
        <w:t>型磁悬浮轨道线，提升中心城区通勤效率，布局连接丽水机场和千峡湖景区的“两山”通道，推动5G技术在轨道交通中的应用。积极推进老金丽温铁路电气化改造工程，谋划小编组运营以及开通旅游专列，提高“一带”地区通行效率，实现莲青缙半小时相互通达。研究谋划丽水—云和—景宁、丽水—松阳—遂昌、云和—龙泉—庆元、丽水—缙云—壶镇、丽水—青田—温溪5条放射型市域城际铁路建设，</w:t>
      </w:r>
      <w:r>
        <w:rPr>
          <w:rFonts w:hint="eastAsia" w:ascii="仿宋_GB2312" w:hAnsi="仿宋_GB2312" w:cs="仿宋_GB2312"/>
          <w:bCs/>
          <w:szCs w:val="32"/>
        </w:rPr>
        <w:t>构建串联各县（市、区）与重要旅游资源的特色交通体系。谋划市域铁路接入金义都市区、温州都市区城际轨道交通网络。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2.完善通用航空网络。构建“1+4+4+N”市域通用航空机场建设布局，以丽水机场为核心，建设龙泉、庆元、松阳、缙云4个A1通用航空机场，青田</w:t>
      </w:r>
      <w:r>
        <w:rPr>
          <w:rFonts w:hint="eastAsia" w:ascii="仿宋_GB2312" w:hAnsi="仿宋_GB2312" w:cs="仿宋_GB2312"/>
          <w:szCs w:val="32"/>
        </w:rPr>
        <w:t>、遂昌、景宁、云和4个A2通用航空机场，并在有条件的核心旅游景区、“康养600”小镇建设直升机起降点，打造快捷空中交通网络</w:t>
      </w:r>
      <w:r>
        <w:rPr>
          <w:rFonts w:hint="eastAsia" w:ascii="仿宋_GB2312" w:hAnsi="仿宋_GB2312" w:cs="仿宋_GB2312"/>
          <w:bCs/>
          <w:szCs w:val="32"/>
        </w:rPr>
        <w:t>。开通浙皖闽赣区域、市域低空航线，缩短丽水与区域城市、中心城区与市域主要节点的交通时间。</w:t>
      </w:r>
      <w:r>
        <w:rPr>
          <w:rFonts w:hint="eastAsia" w:ascii="仿宋_GB2312" w:hAnsi="仿宋_GB2312" w:cs="仿宋_GB2312"/>
          <w:szCs w:val="32"/>
        </w:rPr>
        <w:t>建设通用航空职业教育培训基地，建立通用航空应急救援体系，发展固定翼飞机、直升机、热气球、滑翔伞等航空产业集群。打造丽水空中游线，开通缙云仙都、古堰画乡、云和梯田、</w:t>
      </w:r>
      <w:r>
        <w:rPr>
          <w:rFonts w:hint="eastAsia" w:ascii="仿宋_GB2312" w:hAnsi="仿宋_GB2312" w:cs="仿宋_GB2312"/>
          <w:bCs/>
          <w:szCs w:val="32"/>
        </w:rPr>
        <w:t>遂昌金矿等主要景区间低空航线，开展飞行比赛、空中摄影、旅游观光等低空飞行活动。</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3.构建一体化的市域公路网。建设覆盖主要城镇和产业集聚区域的“十纵六横”普通国省道网络</w:t>
      </w:r>
      <w:r>
        <w:rPr>
          <w:rFonts w:hint="eastAsia" w:ascii="仿宋_GB2312" w:hAnsi="仿宋_GB2312" w:cs="仿宋_GB2312"/>
          <w:szCs w:val="32"/>
        </w:rPr>
        <w:t>，加快普通国省道提级扩容和城镇过境段绕行改造，提高公路建设标准，打通跨省域、跨市域、跨县域断头路，构建市域畅联公路网络。推进235国道、322国道、S324温岭至常山公路、S325洞头至庆元（庆景青公路）、S209奉化至庆元等公路建设，推动中心城区公路环线与城市快速路网加快成型，实现全市4A级以上景区基本开通二级公路。推进330国道东移、青田舒桥至高铁新城通道、缙云至青田快速通道等项目建设，加密“一带”内高等级公路密度，推动市域梗阻路、瓶颈路改造升级，推进公路景观提升工程，加强偏远地区农村</w:t>
      </w:r>
      <w:r>
        <w:rPr>
          <w:rFonts w:hint="eastAsia" w:ascii="仿宋_GB2312" w:hAnsi="仿宋_GB2312" w:cs="仿宋_GB2312"/>
          <w:bCs/>
          <w:szCs w:val="32"/>
        </w:rPr>
        <w:t>公路建设，提升农村公路网通达水平，建设“四好农村路”。</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4.打造水上特色交通体系。依</w:t>
      </w:r>
      <w:r>
        <w:rPr>
          <w:rFonts w:hint="eastAsia" w:ascii="仿宋_GB2312" w:hAnsi="仿宋_GB2312" w:cs="仿宋_GB2312"/>
          <w:szCs w:val="32"/>
        </w:rPr>
        <w:t>托瓯江干流及松阴溪支流，彰显深厚的“海丝之源”历史文化特色，建设省级瓯江上游（龙泉、遂昌至丽水）五级旅游航道，串联流域沿线的古码头、古航道以及自然保护地、人文遗产、特色小镇，打造山水人文相融的瓯江幸福河游线。依托南明湖、云和湖、千峡湖、兰溪桥水库、仙侠湖，形成以瓯江为主脉、统筹全域的精品水上旅游线，打造国内首个内河游艇全航段通行区域。</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5.构建大花园最美绿道交通体系。建成550公里瓯江绿道干流主线与505公里瓯江绿道支流主线，形成串联瓯江水系沿线城乡聚落、公园景区和特色资源的“瓯江翡翠绿链”大枝干。完善市域绿道网络，建成绿道精品线，建设多条精品支线和小循环绿道线，接入环浙江国家步道系统，力争成为浙江“最美绿道”。近期重点推进瓯江绿道串联、环湖绿道、千八户外徒步线、丽水古道修复等建设工程。结合现有乡镇、村落及景区服务设施，建设特色鲜明、数字智能的三级绿道服务驿站体系。</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6.完善交通旅游服务设施。全面推进“互联网+交通运输”融合发展，促进互联网与交通创新</w:t>
      </w:r>
      <w:r>
        <w:rPr>
          <w:rFonts w:hint="eastAsia" w:ascii="仿宋_GB2312" w:hAnsi="仿宋_GB2312" w:cs="仿宋_GB2312"/>
          <w:szCs w:val="32"/>
        </w:rPr>
        <w:t>业务的深度融合。优化车行、步行、骑行、舟行“四行合一”交通线路组织，实现全域公共交通站点、自行车驿站、步道休憩点、游船码头等交通服务设施一体化布局。参照“一般地区30—50公里、重点地区20—30公里建设一处服务基地”标准，建设游客中心、零售店、纪念品售卖点、餐饮住宿、医疗点、公共厕所、紧急维修点等服务设施，为游客提供集观光、休憩、购物休闲为一体的旅游配套服务。改造升级交通枢纽内旅游信息服务系统、标识引导系统等设施，增强自驾游服务等功能。</w:t>
      </w:r>
    </w:p>
    <w:p>
      <w:pPr>
        <w:pStyle w:val="6"/>
        <w:keepNext w:val="0"/>
        <w:keepLines w:val="0"/>
        <w:overflowPunct w:val="0"/>
        <w:spacing w:line="600" w:lineRule="exact"/>
        <w:ind w:firstLine="640"/>
        <w:rPr>
          <w:rFonts w:ascii="Times New Roman" w:hAnsi="Times New Roman" w:eastAsia="黑体"/>
          <w:b w:val="0"/>
        </w:rPr>
      </w:pPr>
      <w:bookmarkStart w:id="59" w:name="_Toc37102841"/>
      <w:bookmarkStart w:id="60" w:name="_Toc57903655"/>
      <w:bookmarkStart w:id="61" w:name="_Toc1606739090"/>
      <w:r>
        <w:rPr>
          <w:rFonts w:hint="eastAsia" w:ascii="Times New Roman" w:hAnsi="Times New Roman" w:eastAsia="黑体"/>
          <w:b w:val="0"/>
        </w:rPr>
        <w:t>五、高标准保护生态环境</w:t>
      </w:r>
      <w:bookmarkEnd w:id="59"/>
      <w:bookmarkEnd w:id="60"/>
      <w:bookmarkEnd w:id="61"/>
    </w:p>
    <w:p>
      <w:pPr>
        <w:overflowPunct w:val="0"/>
        <w:spacing w:line="600" w:lineRule="exact"/>
        <w:ind w:firstLine="640"/>
        <w:rPr>
          <w:rFonts w:ascii="Times New Roman"/>
          <w:szCs w:val="32"/>
        </w:rPr>
      </w:pPr>
      <w:r>
        <w:rPr>
          <w:rFonts w:hint="eastAsia" w:ascii="Times New Roman"/>
          <w:szCs w:val="32"/>
        </w:rPr>
        <w:t>坚持生态保护优先，把保护和修复生态环境摆在重要位置，加强生态空间共保，推动环境协同治理，夯实绿色发展生态本底。</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62" w:name="_Toc2020155860"/>
      <w:bookmarkStart w:id="63" w:name="_Toc57903656"/>
      <w:bookmarkStart w:id="64" w:name="_Toc37102842"/>
      <w:r>
        <w:rPr>
          <w:rFonts w:hint="eastAsia" w:ascii="Times New Roman" w:eastAsia="楷体_GB2312"/>
          <w:b w:val="0"/>
        </w:rPr>
        <w:t>（一）统筹加强生态保护修复</w:t>
      </w:r>
      <w:bookmarkEnd w:id="62"/>
      <w:bookmarkEnd w:id="63"/>
      <w:bookmarkEnd w:id="64"/>
    </w:p>
    <w:p>
      <w:pPr>
        <w:overflowPunct w:val="0"/>
        <w:spacing w:line="600" w:lineRule="exact"/>
        <w:ind w:firstLine="640"/>
        <w:rPr>
          <w:rFonts w:ascii="Times New Roman"/>
          <w:szCs w:val="32"/>
        </w:rPr>
      </w:pPr>
      <w:r>
        <w:rPr>
          <w:rFonts w:hint="eastAsia" w:ascii="Times New Roman"/>
          <w:szCs w:val="32"/>
        </w:rPr>
        <w:t>切实加强生态环境分区管治，强化生态红线区域保护和修复，实施瓯江流域山水林田湖草生态保护修复工程，争取将碧湖全域土地综合整治与生态修复工程列入国家试点并高标准推进实施。建设以百山祖国家公园为核心的自然保护地体系，建立生态资源科学保护与合理利用相结合的体制机制，创</w:t>
      </w:r>
      <w:r>
        <w:rPr>
          <w:rFonts w:hint="eastAsia" w:ascii="Times New Roman"/>
          <w:szCs w:val="32"/>
          <w:lang w:eastAsia="zh-CN"/>
        </w:rPr>
        <w:t>健全</w:t>
      </w:r>
      <w:r>
        <w:rPr>
          <w:rFonts w:hint="eastAsia" w:ascii="Times New Roman"/>
          <w:szCs w:val="32"/>
        </w:rPr>
        <w:t>国生物多样性保护引领区。高标准推进国土绿化美化行动，重点推进山地森林、坡地森林、城市森林、乡村森林和通道森林建设。健全生态安全保护机制和生态灾害预警机制，加强生态保护和生态补偿立法工作。</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65" w:name="_Toc37102843"/>
      <w:bookmarkStart w:id="66" w:name="_Toc672434330"/>
      <w:bookmarkStart w:id="67" w:name="_Toc57903657"/>
      <w:r>
        <w:rPr>
          <w:rFonts w:hint="eastAsia" w:ascii="Times New Roman" w:eastAsia="楷体_GB2312"/>
          <w:b w:val="0"/>
        </w:rPr>
        <w:t>（二）</w:t>
      </w:r>
      <w:bookmarkEnd w:id="65"/>
      <w:r>
        <w:rPr>
          <w:rFonts w:hint="eastAsia" w:ascii="Times New Roman" w:eastAsia="楷体_GB2312"/>
          <w:b w:val="0"/>
        </w:rPr>
        <w:t>深化生态环境协同治理</w:t>
      </w:r>
      <w:bookmarkEnd w:id="66"/>
      <w:bookmarkEnd w:id="67"/>
    </w:p>
    <w:p>
      <w:pPr>
        <w:overflowPunct w:val="0"/>
        <w:spacing w:line="600" w:lineRule="exact"/>
        <w:ind w:firstLine="640"/>
        <w:rPr>
          <w:rFonts w:ascii="Times New Roman"/>
          <w:szCs w:val="32"/>
        </w:rPr>
      </w:pPr>
      <w:r>
        <w:rPr>
          <w:rFonts w:hint="eastAsia" w:ascii="Times New Roman"/>
          <w:szCs w:val="32"/>
        </w:rPr>
        <w:t>合力提升生态环境质量，统筹推进空气质量改善、水环境质量提升、土壤污染遏制和固废污染防治。落实环保“三线一单”，探索建立环保治理地区性强制标准体系，探索将污染物排放纳入绿色产业认定的规则机制，共同推进“散乱污”企业整治。推进露天矿山扬尘整治工作，严厉打击非法采砂采矿，加强秸秆综合利用，深化工业废气治理，不断改善空气质量。推动跨界水体环境协同治理，共同推进江河湖库水系连通及流域综合治理，强化饮用水源和优良水体保护，改善水环境质量。统筹市域固废源头减量、分类收运、综合利用、污染防治工作，统筹垃圾、污水、污泥、危废等处理设施跨区域合理布局。应用物联网、卫星遥感、低空航测以及点位自动监测等技术，建设覆盖全市域的生态环境监测网络。推动环境污染联防共治，探索与实施环境污染强制责任保险、环境公益诉讼等机制，优化环境安全执法体系，切实防范化解重大生态安全风险。</w:t>
      </w:r>
      <w:bookmarkStart w:id="68" w:name="_Hlk55163364"/>
    </w:p>
    <w:bookmarkEnd w:id="68"/>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69" w:name="_Toc57903658"/>
      <w:bookmarkStart w:id="70" w:name="_Toc1596215911"/>
      <w:bookmarkStart w:id="71" w:name="_Toc37102844"/>
      <w:r>
        <w:rPr>
          <w:rFonts w:hint="eastAsia" w:ascii="Times New Roman" w:eastAsia="楷体_GB2312"/>
          <w:b w:val="0"/>
        </w:rPr>
        <w:t>（三）协同创新生态产品价值实现机制</w:t>
      </w:r>
      <w:bookmarkEnd w:id="69"/>
      <w:bookmarkEnd w:id="70"/>
      <w:bookmarkEnd w:id="71"/>
    </w:p>
    <w:p>
      <w:pPr>
        <w:overflowPunct w:val="0"/>
        <w:spacing w:line="600" w:lineRule="exact"/>
        <w:ind w:firstLine="640"/>
        <w:rPr>
          <w:rFonts w:ascii="Times New Roman"/>
          <w:szCs w:val="32"/>
        </w:rPr>
      </w:pPr>
      <w:r>
        <w:rPr>
          <w:rFonts w:hint="eastAsia" w:ascii="Times New Roman"/>
          <w:szCs w:val="32"/>
        </w:rPr>
        <w:t>全域开展生态产品价值核算评估，绘制全市生态产品价值底图，推进核算评估成果全面应用，</w:t>
      </w:r>
      <w:r>
        <w:rPr>
          <w:rFonts w:hint="eastAsia" w:hAnsi="仿宋_GB2312" w:cs="仿宋_GB2312"/>
          <w:szCs w:val="32"/>
        </w:rPr>
        <w:t>率先建设全国生态产品价值实现机制示范区</w:t>
      </w:r>
      <w:r>
        <w:rPr>
          <w:rFonts w:hint="eastAsia" w:ascii="Times New Roman"/>
          <w:szCs w:val="32"/>
        </w:rPr>
        <w:t>。推进自然生态空间确权登记，</w:t>
      </w:r>
      <w:r>
        <w:rPr>
          <w:rFonts w:hint="eastAsia" w:ascii="Times New Roman" w:hAnsi="Arial" w:cs="Arial"/>
        </w:rPr>
        <w:t>界定各类生态资产的所有权主体与边界，探索推进生态资产评估工作</w:t>
      </w:r>
      <w:r>
        <w:rPr>
          <w:rFonts w:hint="eastAsia" w:ascii="Times New Roman"/>
          <w:szCs w:val="32"/>
        </w:rPr>
        <w:t>。健全生态产品市场交易机制，建设国家级生态资产和生态产品交易中心，做强做大华东林业产权交易所，大力推进生态资产、生态产品交易，探索建立生态产品与用能权、排污权、用水权、碳排放权等环境权益的跨区域兑换机制。建立一批碳汇基地，争创中国碳中和先行示范区。健全生态信用制度体系，完善促进生态产品价值实现的金融体系。创建生态产品价值实现创新平台，优化产业扶持政策，支持绿色技术创新，引导和支持市场主体广泛参与发展生态产品利用型产业。健全政府购买生态产品制度，统筹市域各类生态补偿相关资金设立政府购买生态产品专项资金，建立瓯江全流域横向生态补偿机制。建设实体化运作的高端研究院和高端智库，提高中国（丽水）两山学院等研究机构科研能力，举办生态产品价值实现机制高端论坛、绿色发展二十国论坛。</w:t>
      </w:r>
    </w:p>
    <w:p>
      <w:pPr>
        <w:pStyle w:val="6"/>
        <w:keepNext w:val="0"/>
        <w:keepLines w:val="0"/>
        <w:overflowPunct w:val="0"/>
        <w:spacing w:line="600" w:lineRule="exact"/>
        <w:ind w:firstLine="640"/>
        <w:rPr>
          <w:rFonts w:ascii="Times New Roman" w:hAnsi="Times New Roman" w:eastAsia="黑体"/>
          <w:b w:val="0"/>
        </w:rPr>
      </w:pPr>
      <w:bookmarkStart w:id="72" w:name="_Toc37102850"/>
      <w:bookmarkStart w:id="73" w:name="_Toc1732165346"/>
      <w:bookmarkStart w:id="74" w:name="_Toc57903659"/>
      <w:r>
        <w:rPr>
          <w:rFonts w:hint="eastAsia" w:ascii="Times New Roman" w:hAnsi="Times New Roman" w:eastAsia="黑体"/>
          <w:b w:val="0"/>
        </w:rPr>
        <w:t>六、高品质提升城乡面貌</w:t>
      </w:r>
      <w:bookmarkEnd w:id="72"/>
      <w:bookmarkEnd w:id="73"/>
      <w:bookmarkEnd w:id="74"/>
    </w:p>
    <w:p>
      <w:pPr>
        <w:overflowPunct w:val="0"/>
        <w:spacing w:line="600" w:lineRule="exact"/>
        <w:ind w:firstLine="640"/>
        <w:rPr>
          <w:rFonts w:ascii="Times New Roman"/>
          <w:bCs/>
          <w:szCs w:val="32"/>
        </w:rPr>
      </w:pPr>
      <w:r>
        <w:rPr>
          <w:rFonts w:hint="eastAsia" w:ascii="Times New Roman"/>
          <w:szCs w:val="32"/>
        </w:rPr>
        <w:t>坚持以人民为中心，提升城乡公共服务水平，健全现代化城乡基础设施体系，不断满足人民群众日益增长的美好生活需要，全面提升城乡面貌。</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75" w:name="_Toc1525321145"/>
      <w:bookmarkStart w:id="76" w:name="_Toc37102851"/>
      <w:bookmarkStart w:id="77" w:name="_Toc57903660"/>
      <w:r>
        <w:rPr>
          <w:rFonts w:hint="eastAsia" w:ascii="Times New Roman" w:eastAsia="楷体_GB2312"/>
          <w:b w:val="0"/>
        </w:rPr>
        <w:t>（一）提升城乡基础设施</w:t>
      </w:r>
      <w:bookmarkEnd w:id="75"/>
      <w:bookmarkEnd w:id="76"/>
      <w:bookmarkEnd w:id="77"/>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打造新时代山水花园城市。按照“古城保护修复、旧城改造提升、新城加快建设”原则，推进历史文化街区保护与利用，重现瓯江“船帮”、处州孔庙、古城六门等历史文化符号，加快龙泉、松阳、缙云等府城（古城）复兴，推进“畲乡景宁”“童话云和”建设。全面提升城市文化品位，加快中央公园、南明山休闲小镇、白云森林康养小镇、三岩寺公园建设，</w:t>
      </w:r>
      <w:r>
        <w:rPr>
          <w:rFonts w:hint="eastAsia" w:ascii="仿宋_GB2312" w:hAnsi="仿宋_GB2312" w:cs="仿宋_GB2312"/>
          <w:szCs w:val="32"/>
        </w:rPr>
        <w:t>推进景观河道、微型绿地、口袋公园等城市生态系统建设</w:t>
      </w:r>
      <w:r>
        <w:rPr>
          <w:rFonts w:hint="eastAsia" w:ascii="仿宋_GB2312" w:hAnsi="仿宋_GB2312" w:cs="仿宋_GB2312"/>
          <w:bCs/>
          <w:szCs w:val="32"/>
        </w:rPr>
        <w:t>，加快城市周边山体、水系生态治理与景观提升。完善城市功能配套，推进未来社区建设，加快高品质商务楼宇、高星级酒店、大型商业综合体、高品质科技文化体育场馆及邻里中心等项目建设，完善“15分钟生活圈”，实现公共服务标准化、便利化。</w:t>
      </w:r>
      <w:r>
        <w:rPr>
          <w:rFonts w:hint="eastAsia" w:ascii="仿宋_GB2312" w:hAnsi="仿宋_GB2312" w:cs="仿宋_GB2312"/>
          <w:szCs w:val="32"/>
        </w:rPr>
        <w:t>到2025年，建成15家五星级标准酒店</w:t>
      </w:r>
      <w:r>
        <w:rPr>
          <w:rFonts w:hint="eastAsia" w:ascii="仿宋_GB2312" w:hAnsi="仿宋_GB2312" w:cs="仿宋_GB2312"/>
          <w:bCs/>
          <w:szCs w:val="32"/>
        </w:rPr>
        <w:t>。抓好省级美丽城镇样板镇建设工作，实现美丽城镇建设市域全覆盖。</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2.构建安全美丽水利网。以“活水进城、碧水映村”为目标，统筹全市流域治理工作，打造幸福</w:t>
      </w:r>
      <w:r>
        <w:rPr>
          <w:rFonts w:hint="eastAsia" w:ascii="仿宋_GB2312" w:hAnsi="仿宋_GB2312" w:cs="仿宋_GB2312"/>
          <w:szCs w:val="32"/>
        </w:rPr>
        <w:t>河丽水样板。实施通济堰生态修复与利用工程。全面提升城镇防洪标准，县城防洪标准基本达到50年一遇、乡镇基本达到20年一遇标准，强化分区设防措施，保障青田、缙云、大港头、海口、遂昌等防汛困难地区的城镇安全。建设浙西南大中水库群，推进水资源联库联网，推进北洪南</w:t>
      </w:r>
      <w:r>
        <w:rPr>
          <w:rFonts w:hint="eastAsia" w:ascii="仿宋_GB2312" w:hAnsi="仿宋_GB2312" w:cs="仿宋_GB2312"/>
          <w:bCs/>
          <w:szCs w:val="32"/>
        </w:rPr>
        <w:t>调工程建设，深化优质水资源分质分类开发利用。加强水源地生态保护，按照市区“两源一备”、县城“一源一备”要求，保障城市供水安全。持续推进农村饮水质量提升工程。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3.构建绿色高效能源网。建设</w:t>
      </w:r>
      <w:r>
        <w:rPr>
          <w:rFonts w:hint="eastAsia" w:ascii="仿宋_GB2312" w:hAnsi="仿宋_GB2312" w:cs="仿宋_GB2312"/>
          <w:szCs w:val="32"/>
        </w:rPr>
        <w:t>生态电网，加快500千伏丽西变及220千伏配套等工程建设，实现网源荷储协同发展，打造生态能源互联网。强化天然气供应保障，加快天然气利用提质扩面，实现天然气“县县通”。加快构建布局合理、功能综合、智慧便民的新型供能服务体系，建成一批综合供能服务站，基本实现新能源汽车充电设施市域全覆盖。打造华东抽水蓄能基地，谋划建设一批</w:t>
      </w:r>
      <w:r>
        <w:rPr>
          <w:rFonts w:hint="eastAsia" w:ascii="仿宋_GB2312" w:hAnsi="仿宋_GB2312" w:cs="仿宋_GB2312"/>
          <w:bCs/>
          <w:szCs w:val="32"/>
        </w:rPr>
        <w:t>抽水蓄能电站，探索柔性中小型抽水蓄能电站建设。</w:t>
      </w:r>
    </w:p>
    <w:p>
      <w:pPr>
        <w:overflowPunct w:val="0"/>
        <w:spacing w:line="600" w:lineRule="exact"/>
        <w:ind w:firstLine="640"/>
        <w:rPr>
          <w:rFonts w:hAnsi="仿宋_GB2312" w:cs="仿宋_GB2312"/>
          <w:szCs w:val="32"/>
        </w:rPr>
      </w:pPr>
      <w:r>
        <w:rPr>
          <w:rFonts w:hint="eastAsia" w:ascii="仿宋_GB2312" w:hAnsi="仿宋_GB2312" w:cs="仿宋_GB2312"/>
          <w:bCs/>
          <w:szCs w:val="32"/>
        </w:rPr>
        <w:t>4.超前布局新型基础设施。加快5G网络规模部署和天地一体化信息网络建设，促进工业互</w:t>
      </w:r>
      <w:r>
        <w:rPr>
          <w:rFonts w:hint="eastAsia" w:ascii="仿宋_GB2312" w:hAnsi="仿宋_GB2312" w:cs="仿宋_GB2312"/>
          <w:szCs w:val="32"/>
        </w:rPr>
        <w:t>联网、物联网、数据中心、IPv6等各类信息网络协同融合发展，建设高速泛在、畅通便捷、覆盖全域、互联互通、资源共享的现代化信息网络和服务体系。围绕公共卫生、工业生产、公共事业、公共安全、智慧城市、智慧教育、智慧农业、环境保护等重点领域和场景，推进新型基础设施拓展应用。推进“花园云”大数据平台建设，完善“城市大脑”，建设“雪亮工程”视频大数据中心，推进“智安小区”建设，形成全要素、多领域体系性的智慧大花园格局</w:t>
      </w:r>
      <w:r>
        <w:rPr>
          <w:rFonts w:hint="eastAsia" w:hAnsi="仿宋_GB2312" w:cs="仿宋_GB2312"/>
          <w:szCs w:val="32"/>
        </w:rPr>
        <w:t>。</w:t>
      </w:r>
    </w:p>
    <w:p>
      <w:pPr>
        <w:pStyle w:val="7"/>
        <w:keepNext w:val="0"/>
        <w:keepLines w:val="0"/>
        <w:tabs>
          <w:tab w:val="left" w:pos="4678"/>
          <w:tab w:val="left" w:pos="6379"/>
        </w:tabs>
        <w:overflowPunct w:val="0"/>
        <w:spacing w:line="600" w:lineRule="exact"/>
        <w:ind w:firstLine="640"/>
        <w:rPr>
          <w:rFonts w:ascii="Times New Roman" w:eastAsia="楷体_GB2312"/>
          <w:b w:val="0"/>
          <w:bCs/>
        </w:rPr>
      </w:pPr>
      <w:bookmarkStart w:id="78" w:name="_Toc37102852"/>
      <w:bookmarkStart w:id="79" w:name="_Toc57903661"/>
      <w:bookmarkStart w:id="80" w:name="_Toc1126273831"/>
      <w:r>
        <w:rPr>
          <w:rFonts w:hint="eastAsia" w:ascii="Times New Roman" w:eastAsia="楷体_GB2312"/>
          <w:b w:val="0"/>
        </w:rPr>
        <w:t>（二）完善城乡公共服务</w:t>
      </w:r>
      <w:bookmarkEnd w:id="78"/>
      <w:bookmarkEnd w:id="79"/>
      <w:bookmarkEnd w:id="80"/>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1.全面推进教育优质均衡发展。加大教</w:t>
      </w:r>
      <w:r>
        <w:rPr>
          <w:rFonts w:hint="eastAsia" w:ascii="仿宋_GB2312" w:hAnsi="仿宋_GB2312" w:cs="仿宋_GB2312"/>
          <w:szCs w:val="32"/>
        </w:rPr>
        <w:t>育投入力度，协同扩大优质教育供给，推进学前教育普惠健康发展，义务教育优质均衡发展，普通高中多元特色发展，职业教育产教融合发展，创</w:t>
      </w:r>
      <w:r>
        <w:rPr>
          <w:rFonts w:hint="eastAsia" w:ascii="仿宋_GB2312" w:hAnsi="仿宋_GB2312" w:cs="仿宋_GB2312"/>
          <w:szCs w:val="32"/>
          <w:lang w:eastAsia="zh-CN"/>
        </w:rPr>
        <w:t>健全</w:t>
      </w:r>
      <w:r>
        <w:rPr>
          <w:rFonts w:hint="eastAsia" w:ascii="仿宋_GB2312" w:hAnsi="仿宋_GB2312" w:cs="仿宋_GB2312"/>
          <w:szCs w:val="32"/>
        </w:rPr>
        <w:t>国义务教育优质均衡发展县。对接长三角等地区优质教育资源，提升高等教育办学水平，支持丽水学院建设服务高质量绿色发展的高水平应用型大学，推进丽水学院松阳校区二期、丽水职业技术学院中德合作办学、缙云技师学院、青瓷宝剑技师学院等建设。构建现代化教育治理体系，深化教育领域“放管服”改革，推进教育数字化转型与智慧校园建设，加强新时代教师队伍建设，构建丽水特色育人机制，打</w:t>
      </w:r>
      <w:r>
        <w:rPr>
          <w:rFonts w:hint="eastAsia" w:ascii="仿宋_GB2312" w:hAnsi="仿宋_GB2312" w:cs="仿宋_GB2312"/>
          <w:bCs/>
          <w:szCs w:val="32"/>
        </w:rPr>
        <w:t>造丽水特色德育品牌。</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2.合力共筑文化名城。促进区</w:t>
      </w:r>
      <w:r>
        <w:rPr>
          <w:rFonts w:hint="eastAsia" w:ascii="仿宋_GB2312" w:hAnsi="仿宋_GB2312" w:cs="仿宋_GB2312"/>
          <w:szCs w:val="32"/>
        </w:rPr>
        <w:t>域文化共融发展和资源优化配置，共同打造特色文化品牌，全面提升文化创造力、竞争力和影响力。弘扬践行浙西南革命精神，加强革命文物保护利用，深化红色资源价值转化研究和实践，推出一批浙西南革命题材的文艺精品，高质量建设若干国家级和省级红色旅游景点景区。继承中华人文始祖文明印记，扩大中国南方黄帝文化中心影响。大力弘扬生态文化，开展生态文化村、生态文化示范社区、生态文化示范企业等创建活动和生态文化体验活动，探索绿色生活标准体系建设，勇当“绿色生活领跑者城市”。加快宝剑文化、青瓷文化、石雕文化、香菇文化、畲族文化、廊桥文化、戏曲文化、中医药文化等的挖掘、保护与利用，谋划建设以青田、莲都、龙泉、松阳为主的市域东、中、西部国际经济文化合作交流平台。加快建</w:t>
      </w:r>
      <w:r>
        <w:rPr>
          <w:rFonts w:hint="eastAsia" w:ascii="仿宋_GB2312" w:hAnsi="仿宋_GB2312" w:cs="仿宋_GB2312"/>
          <w:bCs/>
          <w:szCs w:val="32"/>
        </w:rPr>
        <w:t>设丽水国际摄影名城，引导推进公共文化服务区域联动。</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3.推进医疗服务均质化发展。深化医共体建设，优化医疗资源配置，构建优质高效的整合型医疗卫生体系，持续提升人民健康生活水平。积极破解基层医疗卫</w:t>
      </w:r>
      <w:r>
        <w:rPr>
          <w:rFonts w:hint="eastAsia" w:ascii="仿宋_GB2312" w:hAnsi="仿宋_GB2312" w:cs="仿宋_GB2312"/>
          <w:szCs w:val="32"/>
        </w:rPr>
        <w:t>生健康发展难题，推进基层医疗卫生机构管理、补偿、运行等机制改革。推广中医</w:t>
      </w:r>
      <w:r>
        <w:rPr>
          <w:rFonts w:hint="eastAsia" w:ascii="仿宋_GB2312" w:hAnsi="仿宋_GB2312" w:cs="仿宋_GB2312"/>
          <w:szCs w:val="32"/>
          <w:lang w:eastAsia="zh-CN"/>
        </w:rPr>
        <w:t>辨证</w:t>
      </w:r>
      <w:r>
        <w:rPr>
          <w:rFonts w:hint="eastAsia" w:ascii="仿宋_GB2312" w:hAnsi="仿宋_GB2312" w:cs="仿宋_GB2312"/>
          <w:szCs w:val="32"/>
        </w:rPr>
        <w:t>论治综合创新平台，拓展深化中医养生保健治未病服务。积极引进长三角地区优质医疗机构，推广“互联网+医疗”应用，扩大优质医疗资源覆盖范围。统筹推进医疗保障制度改革，建成以基本医疗保险为主体，医疗救助为托底，补充医疗保险和商业健康保险、慈善捐赠等保障制度协同联动的医疗保障体系。提升应对突发公共卫生事件与重大传染病的防控体系和防控能力，建立灾害事件紧急医学救援合作联动机制。加快生态体育之城建设，完善全民健身运动公共设施体系，鼓励健身步道、骑行道、全民健身中心、体育</w:t>
      </w:r>
      <w:r>
        <w:rPr>
          <w:rFonts w:hint="eastAsia" w:ascii="仿宋_GB2312" w:hAnsi="仿宋_GB2312" w:cs="仿宋_GB2312"/>
          <w:bCs/>
          <w:szCs w:val="32"/>
        </w:rPr>
        <w:t>公园、社区多功能运动场等场地设施共建共享，鼓励居民住宅区配建公共体育设施。</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4.统筹健全社会保障体系。稳步推进养老保险制度改革发展，构建覆盖全民、城乡统筹、权责清</w:t>
      </w:r>
      <w:r>
        <w:rPr>
          <w:rFonts w:hint="eastAsia" w:ascii="仿宋_GB2312" w:hAnsi="仿宋_GB2312" w:cs="仿宋_GB2312"/>
          <w:szCs w:val="32"/>
        </w:rPr>
        <w:t>晰、保障适度、可持续的多层次社会保障体系。进一步完善城镇职工基本养老保险和城乡居民基本养老保险制度，健全基本养老金合理调整机制，实现更高水平精确管理和便捷服务。深入推进工伤宣传和预防，建立工伤预防常</w:t>
      </w:r>
      <w:r>
        <w:rPr>
          <w:rFonts w:hint="eastAsia" w:ascii="仿宋_GB2312" w:hAnsi="仿宋_GB2312" w:cs="仿宋_GB2312"/>
          <w:bCs/>
          <w:szCs w:val="32"/>
        </w:rPr>
        <w:t>态化工作机制。加快推进社会保险经办专业化、标准化、信息化建设，积极推行智慧大厅和综合柜员制，不断提升服务水平。</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5.统筹建设人民城市。深化人民城市建设内涵，把握人民城市的人本价值，满足</w:t>
      </w:r>
      <w:r>
        <w:rPr>
          <w:rFonts w:hint="eastAsia" w:ascii="仿宋_GB2312" w:hAnsi="仿宋_GB2312" w:cs="仿宋_GB2312"/>
          <w:bCs/>
          <w:szCs w:val="32"/>
          <w:lang w:eastAsia="zh-CN"/>
        </w:rPr>
        <w:t>人民对美好生活的向往</w:t>
      </w:r>
      <w:r>
        <w:rPr>
          <w:rFonts w:hint="eastAsia" w:ascii="仿宋_GB2312" w:hAnsi="仿宋_GB2312" w:cs="仿宋_GB2312"/>
          <w:bCs/>
          <w:szCs w:val="32"/>
        </w:rPr>
        <w:t>。围绕衣食住行、教育就业、医疗养老、文化体育</w:t>
      </w:r>
      <w:r>
        <w:rPr>
          <w:rFonts w:hint="eastAsia" w:ascii="仿宋_GB2312" w:hAnsi="仿宋_GB2312" w:cs="仿宋_GB2312"/>
          <w:szCs w:val="32"/>
        </w:rPr>
        <w:t>、生活环境等关乎人民群众切身利益的方面，推进城市社会治理水平提升，建设人民城市、幸福城市。提高城区现代服务业水平，完善基层社区养老、医疗教育、文化体育等便民型公共服务设施体系，建设“一站式”社区服务综合体。积极推动规划师、健康师、律师等社会专业力量进社区，探索设立“社区民生顾问”制度，系统提升基层社区社会治理能力。充分激发人民群众的主人翁意识，探索社区协商、居民联席会制度，鼓励居民参与老旧小区加装电梯、停车位分配等社区公共事务协商裁定。</w:t>
      </w:r>
    </w:p>
    <w:p>
      <w:pPr>
        <w:pStyle w:val="7"/>
        <w:keepNext w:val="0"/>
        <w:keepLines w:val="0"/>
        <w:tabs>
          <w:tab w:val="left" w:pos="4678"/>
          <w:tab w:val="left" w:pos="6379"/>
        </w:tabs>
        <w:overflowPunct w:val="0"/>
        <w:spacing w:line="600" w:lineRule="exact"/>
        <w:ind w:firstLine="640"/>
        <w:rPr>
          <w:rFonts w:ascii="楷体_GB2312" w:eastAsia="楷体_GB2312"/>
          <w:b w:val="0"/>
          <w:bCs/>
          <w:szCs w:val="32"/>
        </w:rPr>
      </w:pPr>
      <w:bookmarkStart w:id="81" w:name="_Toc76354324"/>
      <w:bookmarkStart w:id="82" w:name="_Hlk58519523"/>
      <w:bookmarkStart w:id="83" w:name="_Toc37102853"/>
      <w:bookmarkStart w:id="84" w:name="_Toc57903662"/>
      <w:r>
        <w:rPr>
          <w:rFonts w:hint="eastAsia" w:ascii="楷体_GB2312" w:eastAsia="楷体_GB2312"/>
          <w:b w:val="0"/>
          <w:szCs w:val="32"/>
        </w:rPr>
        <w:t>（三）优化人口空间布局</w:t>
      </w:r>
      <w:bookmarkEnd w:id="81"/>
    </w:p>
    <w:bookmarkEnd w:id="82"/>
    <w:bookmarkEnd w:id="83"/>
    <w:bookmarkEnd w:id="84"/>
    <w:p>
      <w:pPr>
        <w:overflowPunct w:val="0"/>
        <w:spacing w:line="600" w:lineRule="exact"/>
        <w:ind w:firstLine="640"/>
        <w:rPr>
          <w:rFonts w:ascii="仿宋_GB2312" w:hAnsi="仿宋_GB2312" w:cs="仿宋_GB2312"/>
          <w:bCs/>
          <w:szCs w:val="32"/>
        </w:rPr>
      </w:pPr>
      <w:bookmarkStart w:id="85" w:name="_Toc57903663"/>
      <w:bookmarkStart w:id="86" w:name="_Toc37102854"/>
      <w:r>
        <w:rPr>
          <w:rFonts w:hint="eastAsia" w:ascii="仿宋_GB2312" w:hAnsi="仿宋_GB2312" w:cs="仿宋_GB2312"/>
          <w:bCs/>
          <w:szCs w:val="32"/>
        </w:rPr>
        <w:t>1.推动“一带”集聚百万城镇人口。以人口向</w:t>
      </w:r>
      <w:r>
        <w:rPr>
          <w:rFonts w:hint="eastAsia" w:ascii="仿宋_GB2312" w:hAnsi="仿宋_GB2312" w:cs="仿宋_GB2312"/>
          <w:szCs w:val="32"/>
        </w:rPr>
        <w:t>“一带”地区集聚为导向，建立全市最优的人口集聚政策体系，使“一带”成为市域农业转移人口市民化的核心区域、外来流动人口首选集聚地。积极推进以人为核心的新型城镇化，优化“一带”地区的城镇体系，推进公共配套设施补短板强弱项，建立人口变动与城市有机更新联动调整机制，优化完善行政区功能定位、规划用地布局和人口布局指引。强化中心城区人口集聚能力，全面取消落户限制，以高端平台聚人、优质企业引人、贴心服务留人，强化待遇留人政策，深化以房留人举措，优化创新创业环境。建立财政转移支付同农业转移人口市民化挂钩机制，建立城镇建设用地增</w:t>
      </w:r>
      <w:r>
        <w:rPr>
          <w:rFonts w:hint="eastAsia" w:ascii="仿宋_GB2312" w:hAnsi="仿宋_GB2312" w:cs="仿宋_GB2312"/>
          <w:bCs/>
          <w:szCs w:val="32"/>
        </w:rPr>
        <w:t>加规模同吸纳农业转移人口落户数量挂钩机制，保障农业人口向城镇有序转移。</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2.促进“三区”城镇人口适度集聚。积极实施</w:t>
      </w:r>
      <w:r>
        <w:rPr>
          <w:rFonts w:hint="eastAsia" w:ascii="仿宋_GB2312" w:hAnsi="仿宋_GB2312" w:cs="仿宋_GB2312"/>
          <w:szCs w:val="32"/>
        </w:rPr>
        <w:t>“小县大城”发展战略，探索以县城为主载体的新型城镇化策略，引导“三区”人口向县城及中心镇集聚。增强县城人口集聚能力，实施“大搬快聚富民安居”工程，维护进城落户农民合法的农村权益，推动农村人口加快转移。破除龙庆、遂松、云景三个聚落发展区块内部人口流动障碍，探索一体化的基本公共服务体系，促进人口在区域间有效流动和优化配置。优化村庄布局，推动农村人口向中心村和新型农村社区集中。全面开展“乡村振兴十大激活行动”，建立高效完善的“两进两回”机制，进一步畅通人才、科技、资金、乡贤等下乡通道，让乡村成为投资兴业的沃土、创新创业的热土、安居乐业的净土。</w:t>
      </w:r>
    </w:p>
    <w:p>
      <w:pPr>
        <w:pStyle w:val="7"/>
        <w:keepNext w:val="0"/>
        <w:keepLines w:val="0"/>
        <w:tabs>
          <w:tab w:val="left" w:pos="4678"/>
          <w:tab w:val="left" w:pos="6379"/>
        </w:tabs>
        <w:overflowPunct w:val="0"/>
        <w:spacing w:line="600" w:lineRule="exact"/>
        <w:ind w:firstLine="640"/>
        <w:rPr>
          <w:rFonts w:ascii="黑体" w:hAnsi="黑体" w:eastAsia="黑体"/>
          <w:b w:val="0"/>
          <w:szCs w:val="32"/>
        </w:rPr>
      </w:pPr>
      <w:bookmarkStart w:id="87" w:name="_Toc313511300"/>
      <w:r>
        <w:rPr>
          <w:rFonts w:hint="eastAsia" w:ascii="黑体" w:hAnsi="黑体" w:eastAsia="黑体"/>
          <w:b w:val="0"/>
          <w:szCs w:val="32"/>
        </w:rPr>
        <w:t>七、高水平创新体制机制</w:t>
      </w:r>
      <w:bookmarkEnd w:id="85"/>
      <w:bookmarkEnd w:id="87"/>
    </w:p>
    <w:p>
      <w:pPr>
        <w:overflowPunct w:val="0"/>
        <w:spacing w:line="600" w:lineRule="exact"/>
        <w:ind w:firstLine="640"/>
        <w:rPr>
          <w:rFonts w:ascii="仿宋_GB2312"/>
          <w:szCs w:val="32"/>
        </w:rPr>
      </w:pPr>
      <w:r>
        <w:rPr>
          <w:rFonts w:hint="eastAsia" w:ascii="仿宋_GB2312"/>
          <w:szCs w:val="32"/>
        </w:rPr>
        <w:t>全面深化改革，坚决破除影响区域协调发展的政策制度障碍，消除阻碍生产要素自由有序流动的壁垒，构建国土空间、财政金融、教育资源、人才资源、产业招商等五方面的统筹协调发展新机制，为“一带三区”发展提供强劲动力。</w:t>
      </w:r>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88" w:name="_Toc57903664"/>
      <w:bookmarkStart w:id="89" w:name="_Toc596706909"/>
      <w:r>
        <w:rPr>
          <w:rFonts w:hint="eastAsia" w:ascii="楷体_GB2312" w:eastAsia="楷体_GB2312"/>
          <w:b w:val="0"/>
          <w:szCs w:val="32"/>
        </w:rPr>
        <w:t>（一）建立</w:t>
      </w:r>
      <w:bookmarkStart w:id="90" w:name="_Hlk55163728"/>
      <w:r>
        <w:rPr>
          <w:rFonts w:hint="eastAsia" w:ascii="楷体_GB2312" w:eastAsia="楷体_GB2312"/>
          <w:b w:val="0"/>
          <w:szCs w:val="32"/>
        </w:rPr>
        <w:t>国土空间统筹机制</w:t>
      </w:r>
      <w:bookmarkEnd w:id="88"/>
      <w:bookmarkEnd w:id="89"/>
      <w:bookmarkEnd w:id="90"/>
    </w:p>
    <w:p>
      <w:pPr>
        <w:overflowPunct w:val="0"/>
        <w:spacing w:line="600" w:lineRule="exact"/>
        <w:ind w:firstLine="640"/>
        <w:rPr>
          <w:rFonts w:ascii="仿宋_GB2312" w:hAnsi="仿宋_GB2312" w:cs="仿宋_GB2312"/>
          <w:kern w:val="0"/>
          <w:szCs w:val="32"/>
        </w:rPr>
      </w:pPr>
      <w:r>
        <w:rPr>
          <w:rFonts w:hint="eastAsia" w:ascii="仿宋_GB2312" w:hAnsi="仿宋_GB2312" w:cs="仿宋_GB2312"/>
          <w:szCs w:val="32"/>
        </w:rPr>
        <w:t>围绕构建“一带三区”发展新格局，市县联动编制国土空间总体规划，优化市域国土空间开发保护格局。以国土空间综合治理为抓手，统筹全域自然资源保护和利用、城镇发展布局、基础设施建设、生态产业发展，优化生态、农业与城镇空间控制线。统筹全域农业空间，以碧湖平原土地综合整治为试点，优化永久性基本农田规划布局，支撑碧湖新城开发建设。统筹全域600米以上高山台地空间，探索点状供地与农村集体建设用地入市实施路径，支撑“康养600”小镇建设。建立土地资源统筹机制，积极向上争取用地指标进行全市域统筹配置。</w:t>
      </w:r>
      <w:r>
        <w:rPr>
          <w:rFonts w:hint="eastAsia" w:ascii="仿宋_GB2312" w:hAnsi="仿宋_GB2312" w:cs="仿宋_GB2312"/>
          <w:kern w:val="0"/>
          <w:szCs w:val="32"/>
        </w:rPr>
        <w:t>推进城乡建设用地管理制度改革，实施建设用地全周期管理，严格执行土地使用权出让制度，加快批而未供土地消化处置，建立健全城市有机更新与闲置土地使用权收回机制，探索建立</w:t>
      </w:r>
      <w:r>
        <w:rPr>
          <w:rFonts w:hint="eastAsia" w:ascii="仿宋_GB2312" w:hAnsi="仿宋_GB2312" w:cs="仿宋_GB2312"/>
          <w:szCs w:val="32"/>
        </w:rPr>
        <w:t>土地使用权转让、出租、抵押二级市场</w:t>
      </w:r>
      <w:r>
        <w:rPr>
          <w:rFonts w:hint="eastAsia" w:ascii="仿宋_GB2312" w:hAnsi="仿宋_GB2312" w:cs="仿宋_GB2312"/>
          <w:kern w:val="0"/>
          <w:szCs w:val="32"/>
        </w:rPr>
        <w:t>。</w:t>
      </w:r>
    </w:p>
    <w:p>
      <w:pPr>
        <w:pStyle w:val="7"/>
        <w:keepNext w:val="0"/>
        <w:keepLines w:val="0"/>
        <w:tabs>
          <w:tab w:val="left" w:pos="4678"/>
          <w:tab w:val="left" w:pos="6379"/>
        </w:tabs>
        <w:overflowPunct w:val="0"/>
        <w:spacing w:line="600" w:lineRule="exact"/>
        <w:ind w:firstLine="640"/>
        <w:rPr>
          <w:rFonts w:ascii="楷体_GB2312" w:eastAsia="楷体_GB2312"/>
          <w:b w:val="0"/>
          <w:bCs/>
          <w:szCs w:val="32"/>
        </w:rPr>
      </w:pPr>
      <w:bookmarkStart w:id="91" w:name="_Toc57903665"/>
      <w:bookmarkStart w:id="92" w:name="_Toc320786172"/>
      <w:r>
        <w:rPr>
          <w:rFonts w:hint="eastAsia" w:ascii="楷体_GB2312" w:eastAsia="楷体_GB2312"/>
          <w:b w:val="0"/>
          <w:szCs w:val="32"/>
        </w:rPr>
        <w:t>（二）建立财政金融统筹机制</w:t>
      </w:r>
      <w:bookmarkEnd w:id="91"/>
      <w:bookmarkEnd w:id="92"/>
    </w:p>
    <w:p>
      <w:pPr>
        <w:overflowPunct w:val="0"/>
        <w:spacing w:line="600" w:lineRule="exact"/>
        <w:ind w:firstLine="640"/>
        <w:rPr>
          <w:rFonts w:ascii="仿宋_GB2312"/>
          <w:bCs/>
          <w:szCs w:val="32"/>
        </w:rPr>
      </w:pPr>
      <w:r>
        <w:rPr>
          <w:rFonts w:hint="eastAsia" w:ascii="仿宋_GB2312"/>
          <w:bCs/>
          <w:szCs w:val="32"/>
        </w:rPr>
        <w:t>建立全市资金统筹使用机制，提高资金使用效率，促进全市资金优化配置。</w:t>
      </w:r>
      <w:r>
        <w:rPr>
          <w:rFonts w:hint="eastAsia" w:ascii="仿宋_GB2312" w:hAnsi="仿宋_GB2312" w:cs="仿宋_GB2312"/>
          <w:bCs/>
          <w:kern w:val="0"/>
          <w:szCs w:val="32"/>
        </w:rPr>
        <w:t>探索市域统筹使用项目资金的路径，推进资金跨区域统筹使用</w:t>
      </w:r>
      <w:r>
        <w:rPr>
          <w:rFonts w:hint="eastAsia" w:ascii="仿宋_GB2312"/>
          <w:bCs/>
          <w:szCs w:val="32"/>
        </w:rPr>
        <w:t>，根据项目推进情况，动态调整项目资金，优先保障基础设施、科技、教育、生态、民生等领域的重大项目。探索建立地方性债务统筹机制。协调落实建设资金，积极争取省级各类专项资金支持重点项目建设。推进市县两级共同出资设立“一带三区”</w:t>
      </w:r>
      <w:r>
        <w:rPr>
          <w:rFonts w:hint="eastAsia" w:ascii="仿宋_GB2312" w:hAnsi="仿宋_GB2312" w:cs="仿宋_GB2312"/>
          <w:bCs/>
          <w:kern w:val="0"/>
          <w:szCs w:val="32"/>
        </w:rPr>
        <w:t>高质量绿色发展基金，</w:t>
      </w:r>
      <w:r>
        <w:rPr>
          <w:rFonts w:hint="eastAsia" w:ascii="仿宋_GB2312"/>
          <w:bCs/>
          <w:szCs w:val="32"/>
        </w:rPr>
        <w:t>加强与银行业金融机构的合作对接，谋划设立全市重点项目融资对接平台。建设金融小镇，大力引进培育标杆型资产管理、股权投资、创业投资、产业基金等各类金融机构，服务主导产业发展，构建创新、开放、共享的新型金融生态圈。</w:t>
      </w:r>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93" w:name="_Toc57903666"/>
      <w:bookmarkStart w:id="94" w:name="_Toc1600913272"/>
      <w:r>
        <w:rPr>
          <w:rFonts w:hint="eastAsia" w:ascii="楷体_GB2312" w:eastAsia="楷体_GB2312"/>
          <w:b w:val="0"/>
          <w:szCs w:val="32"/>
        </w:rPr>
        <w:t>（三）建立教育资源统筹机制</w:t>
      </w:r>
      <w:bookmarkEnd w:id="93"/>
      <w:bookmarkEnd w:id="94"/>
    </w:p>
    <w:p>
      <w:pPr>
        <w:overflowPunct w:val="0"/>
        <w:spacing w:line="600" w:lineRule="exact"/>
        <w:ind w:firstLine="640"/>
        <w:rPr>
          <w:rFonts w:ascii="仿宋_GB2312"/>
          <w:szCs w:val="32"/>
        </w:rPr>
      </w:pPr>
      <w:r>
        <w:rPr>
          <w:rFonts w:hint="eastAsia" w:ascii="仿宋_GB2312"/>
          <w:szCs w:val="32"/>
        </w:rPr>
        <w:t>加大全市教育统筹力度，形成区域教育整体优势。实施教育项目建设“百亿”工程和基础教育集团化、品质化提升工程，推动基础教育扩容均衡优质发展。统筹城乡教育资源配置，推动全市优质高中段资源共享，适度超前布局优质教育资源。建立全市教育大数据治理体系，建设教育大数据中心，统筹各级各类学校发展性评价。统筹市域校长、教师队伍建设，深化“绿谷名师名校长”培养工程，推进中小学校长职级制改革。统筹实施基础教育高水平人才培养，探索多种类型品牌化运作机制，建设一批高水平高中、初中学校，鼓励名校集团化发展。推进职业教育跨区域合作办学和协同差异发展，建设产教融合公共实训基地。</w:t>
      </w:r>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95" w:name="_Toc1788646410"/>
      <w:bookmarkStart w:id="96" w:name="_Toc57903667"/>
      <w:r>
        <w:rPr>
          <w:rFonts w:hint="eastAsia" w:ascii="楷体_GB2312" w:eastAsia="楷体_GB2312"/>
          <w:b w:val="0"/>
          <w:szCs w:val="32"/>
        </w:rPr>
        <w:t>（四）建立人才资源统筹机制</w:t>
      </w:r>
      <w:bookmarkEnd w:id="95"/>
      <w:bookmarkEnd w:id="96"/>
    </w:p>
    <w:p>
      <w:pPr>
        <w:overflowPunct w:val="0"/>
        <w:spacing w:line="600" w:lineRule="exact"/>
        <w:ind w:firstLine="640"/>
        <w:rPr>
          <w:rFonts w:ascii="仿宋_GB2312"/>
          <w:bCs/>
          <w:szCs w:val="32"/>
        </w:rPr>
      </w:pPr>
      <w:r>
        <w:rPr>
          <w:rFonts w:hint="eastAsia" w:ascii="仿宋_GB2312"/>
          <w:szCs w:val="32"/>
        </w:rPr>
        <w:t>全面落实人才科技新政，实施更加积极的创新创业人才支持政策。</w:t>
      </w:r>
      <w:r>
        <w:rPr>
          <w:rFonts w:hint="eastAsia" w:ascii="仿宋_GB2312"/>
          <w:bCs/>
          <w:szCs w:val="32"/>
        </w:rPr>
        <w:t>大力引进高层次创新人才，培育壮大优秀青年人才队伍，激发人才创新活力。</w:t>
      </w:r>
      <w:r>
        <w:rPr>
          <w:rFonts w:hint="eastAsia" w:ascii="仿宋_GB2312"/>
          <w:szCs w:val="32"/>
        </w:rPr>
        <w:t>畅通人才跨区域、跨层级、跨所有制流动渠道，促进劳动力、人才优化配置。创新人才统筹调剂使用方式，</w:t>
      </w:r>
      <w:r>
        <w:rPr>
          <w:rFonts w:hint="eastAsia" w:ascii="仿宋_GB2312"/>
          <w:bCs/>
          <w:szCs w:val="32"/>
        </w:rPr>
        <w:t>着力破解编制总量控制与刚性需求之间的矛盾，推行空编资源“周转使用、多次配置”，</w:t>
      </w:r>
      <w:r>
        <w:rPr>
          <w:rFonts w:hint="eastAsia" w:ascii="仿宋_GB2312"/>
          <w:szCs w:val="32"/>
        </w:rPr>
        <w:t>探索建立“人才编制池”，促进事业单位人员编制动态调剂、周转使用。</w:t>
      </w:r>
      <w:r>
        <w:rPr>
          <w:rFonts w:hint="eastAsia" w:ascii="仿宋_GB2312"/>
          <w:bCs/>
          <w:szCs w:val="32"/>
        </w:rPr>
        <w:t>重点开展教育领域跨区域、跨层级统筹调剂编制。</w:t>
      </w:r>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97" w:name="_Toc1636951160"/>
      <w:bookmarkStart w:id="98" w:name="_Toc57903668"/>
      <w:r>
        <w:rPr>
          <w:rFonts w:hint="eastAsia" w:ascii="楷体_GB2312" w:eastAsia="楷体_GB2312"/>
          <w:b w:val="0"/>
          <w:szCs w:val="32"/>
        </w:rPr>
        <w:t>（五）建立产业招商统筹机制</w:t>
      </w:r>
      <w:bookmarkEnd w:id="97"/>
      <w:bookmarkEnd w:id="98"/>
    </w:p>
    <w:p>
      <w:pPr>
        <w:overflowPunct w:val="0"/>
        <w:spacing w:line="600" w:lineRule="exact"/>
        <w:ind w:firstLine="640"/>
        <w:rPr>
          <w:rFonts w:ascii="仿宋_GB2312"/>
          <w:bCs/>
          <w:szCs w:val="32"/>
        </w:rPr>
      </w:pPr>
      <w:r>
        <w:rPr>
          <w:rFonts w:hint="eastAsia" w:ascii="仿宋_GB2312"/>
          <w:bCs/>
          <w:szCs w:val="32"/>
        </w:rPr>
        <w:t>以提升营商环境和强化要素保障为抓手，着力构</w:t>
      </w:r>
      <w:r>
        <w:rPr>
          <w:rFonts w:hint="eastAsia" w:ascii="仿宋_GB2312"/>
          <w:bCs/>
          <w:szCs w:val="32"/>
          <w:lang w:eastAsia="zh-CN"/>
        </w:rPr>
        <w:t>健全</w:t>
      </w:r>
      <w:r>
        <w:rPr>
          <w:rFonts w:hint="eastAsia" w:ascii="仿宋_GB2312"/>
          <w:bCs/>
          <w:szCs w:val="32"/>
        </w:rPr>
        <w:t>链条、全周期、立体化的招商引资体系。突出区域统筹协同发展的招商理念，通过全要素供给、综合性服务实现高质量招商、精准招商。建立全市“一盘棋”招商格局，根据产业园区主导产业定位，共同</w:t>
      </w:r>
      <w:r>
        <w:rPr>
          <w:rFonts w:hint="eastAsia" w:ascii="仿宋_GB2312"/>
          <w:bCs/>
          <w:szCs w:val="32"/>
          <w:lang w:eastAsia="zh-CN"/>
        </w:rPr>
        <w:t>制订</w:t>
      </w:r>
      <w:r>
        <w:rPr>
          <w:rFonts w:hint="eastAsia" w:ascii="仿宋_GB2312"/>
          <w:bCs/>
          <w:szCs w:val="32"/>
        </w:rPr>
        <w:t>产业规划、产业项目准入标准，</w:t>
      </w:r>
      <w:r>
        <w:rPr>
          <w:rFonts w:hint="eastAsia" w:ascii="仿宋_GB2312"/>
          <w:bCs/>
          <w:szCs w:val="32"/>
          <w:lang w:eastAsia="zh-CN"/>
        </w:rPr>
        <w:t>制订</w:t>
      </w:r>
      <w:r>
        <w:rPr>
          <w:rFonts w:hint="eastAsia" w:ascii="仿宋_GB2312"/>
          <w:bCs/>
          <w:szCs w:val="32"/>
        </w:rPr>
        <w:t>产业准入正负面清单，深入实施全市产业招商地图，推动一体化强链、补链、畅链。</w:t>
      </w:r>
      <w:r>
        <w:rPr>
          <w:rFonts w:hint="eastAsia" w:ascii="仿宋_GB2312"/>
          <w:bCs/>
          <w:szCs w:val="32"/>
          <w:lang w:eastAsia="zh-CN"/>
        </w:rPr>
        <w:t>健全</w:t>
      </w:r>
      <w:r>
        <w:rPr>
          <w:rFonts w:hint="eastAsia" w:ascii="仿宋_GB2312"/>
          <w:bCs/>
          <w:szCs w:val="32"/>
        </w:rPr>
        <w:t>产业链链长制，通过考核激励、要素配置、分类指导等方式，做好全市统筹招商工作。做大做强丽水（长三角）招商中心，整合组建开发区国有招商公司。</w:t>
      </w:r>
    </w:p>
    <w:p>
      <w:pPr>
        <w:pStyle w:val="6"/>
        <w:keepNext w:val="0"/>
        <w:keepLines w:val="0"/>
        <w:overflowPunct w:val="0"/>
        <w:spacing w:line="600" w:lineRule="exact"/>
        <w:ind w:firstLine="640"/>
        <w:rPr>
          <w:rFonts w:ascii="黑体" w:hAnsi="黑体" w:eastAsia="黑体"/>
          <w:b w:val="0"/>
          <w:szCs w:val="32"/>
        </w:rPr>
      </w:pPr>
      <w:bookmarkStart w:id="99" w:name="_Toc57903669"/>
      <w:bookmarkStart w:id="100" w:name="_Toc1397609972"/>
      <w:r>
        <w:rPr>
          <w:rFonts w:hint="eastAsia" w:ascii="黑体" w:hAnsi="黑体" w:eastAsia="黑体"/>
          <w:b w:val="0"/>
          <w:szCs w:val="32"/>
        </w:rPr>
        <w:t>八、高规格建设示范平台和标志工程</w:t>
      </w:r>
      <w:bookmarkEnd w:id="86"/>
      <w:bookmarkEnd w:id="99"/>
      <w:bookmarkEnd w:id="100"/>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101" w:name="_Toc8946378"/>
      <w:bookmarkStart w:id="102" w:name="_Toc57903670"/>
      <w:bookmarkStart w:id="103" w:name="_Toc37102855"/>
      <w:r>
        <w:rPr>
          <w:rFonts w:hint="eastAsia" w:ascii="楷体_GB2312" w:eastAsia="楷体_GB2312"/>
          <w:b w:val="0"/>
          <w:szCs w:val="32"/>
        </w:rPr>
        <w:t>（一）建设五大示范性平台</w:t>
      </w:r>
      <w:bookmarkEnd w:id="101"/>
      <w:bookmarkEnd w:id="102"/>
      <w:bookmarkEnd w:id="103"/>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发挥重点平台对区域统筹发展的牵引作用，高水平规划建设丽水南城生态工业统筹发展示范区、碧湖新城、龙庆经典文创示范区、遂松乡村振兴示范区、云景特色风情示范区等市域统筹示范平台，加快形成“一带三区”发展新格局。</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1.丽水南城生态工业统筹发展示范区</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以丽水经济技术开发区为核心，整合南城片区、碧湖南山片区，青田腊口片区以及丽水工业园区，探索统筹发展、政策共享、财税平衡等方面的体制机制。“统分结合”推进招商引资、项目审批、融资渠道、基础设施建设等工作。强化政策共享，提高各类园区政策共享化程度，形成“一区多园”管理体制机制。强化财税平衡，创新异地财税与投入资金结算机制，保障各主体基本利益。以建设浙西南科创中心主阵地为目标，高质量建设富岭生态科技城、七百秧综合服务中心、大梁山生命健康区等区块，集聚人才、资金、机构等科创要素，培育多个科创发展平台。</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2.碧湖新城统筹建设示范区</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探索未来城市和花园社区开发模式，整合生态、旅游资源，探索集聚型点状社区和松散型面状田园景观相结合的城市开发模式。承接北城片区行政服务、科创科教、商务服务、医疗康养等服务功能外溢，建设城市副中心。加强智慧、生态、人文等概念的植入，创建绿色宜居、智慧现代、幸福人文的田园城市和花园社区。探索“高能窄地”的经济业态，积极促进“生态+”“互联网+”“文化+”“共享+”等占地少且对环境要求高的新业态、新模式落地实施。推进道路、市政等城市基础设施建设，率先建设5G等新型基础设施建设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3.龙庆经典文创示范区</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坚持“国家公园+”理念，建设国家公园入口社区小镇，联动整合龙泉、庆元的文化资源，串联宝剑小镇、青瓷小镇、铅笔小镇、香菇小镇等特色小镇，联动打造兰巨氧吧长寿小镇、龙南农耕小镇、屏南天空越野小镇、百山祖避暑乐氧小镇、斋郎军旅小镇、贤良慢生活小镇、龙溪茶香小镇等新平台，共建环国家公园文创大走廊。大力发展文创产业，推动文旅融合、农旅融合发展，建设文创产业集聚区。加快谋划建设与旅游交通、产业完备、民生保障等相关的优质项目。</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4.遂松乡村振兴示范区</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发挥遂松地缘相近、人缘相亲优势，以遂昌云峰街道和松阳古市镇、赤寿乡为空间载体，整合两</w:t>
      </w:r>
      <w:r>
        <w:rPr>
          <w:rFonts w:hint="eastAsia" w:ascii="仿宋_GB2312" w:hAnsi="仿宋_GB2312" w:cs="仿宋_GB2312"/>
          <w:szCs w:val="32"/>
        </w:rPr>
        <w:t>县优质产业要素，着力推动两县一体化建设。统筹两县财税体制，协调两县基础设施共建共享，重点培育精密制造产业集群、绿色能源基地及绿色农产品精深加工集聚平台，</w:t>
      </w:r>
      <w:r>
        <w:rPr>
          <w:rFonts w:hint="eastAsia" w:ascii="仿宋_GB2312" w:hAnsi="仿宋_GB2312" w:cs="仿宋_GB2312"/>
          <w:bCs/>
          <w:szCs w:val="32"/>
        </w:rPr>
        <w:t>合力打造遂松绿色经济新平台。创新体制机制，探索“两县一体”的管理体制，重点在乡村振兴、产业协同、要素配置、空间布局、基础设施与公共服务事业等领域实现一体化统筹发展。</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5.云景特色风情示范区</w:t>
      </w:r>
    </w:p>
    <w:p>
      <w:pPr>
        <w:overflowPunct w:val="0"/>
        <w:spacing w:line="600" w:lineRule="exact"/>
        <w:ind w:firstLine="640"/>
        <w:rPr>
          <w:rFonts w:ascii="仿宋_GB2312" w:hAnsi="仿宋_GB2312" w:cs="仿宋_GB2312"/>
          <w:szCs w:val="32"/>
        </w:rPr>
      </w:pPr>
      <w:r>
        <w:rPr>
          <w:rFonts w:hint="eastAsia" w:ascii="仿宋_GB2312" w:hAnsi="仿宋_GB2312" w:cs="仿宋_GB2312"/>
          <w:bCs/>
          <w:szCs w:val="32"/>
        </w:rPr>
        <w:t>以彰显畲乡风情、全域旅游协作、生态价值实现为重点，谋划云和崇头镇、雾溪乡与景宁大均乡联动发展，推进云和梯田、畲乡之窗、畲族村寨等景区统筹发展，全力打通“跨乡连村”公路，共建一批高品质旅游服务接待设施项目，合力创建</w:t>
      </w:r>
      <w:r>
        <w:rPr>
          <w:rFonts w:hint="eastAsia" w:ascii="仿宋_GB2312" w:hAnsi="仿宋_GB2312" w:cs="仿宋_GB2312"/>
          <w:szCs w:val="32"/>
        </w:rPr>
        <w:t>国家5A级旅游景区</w:t>
      </w:r>
      <w:r>
        <w:rPr>
          <w:rFonts w:hint="eastAsia" w:ascii="仿宋_GB2312" w:hAnsi="仿宋_GB2312" w:cs="仿宋_GB2312"/>
          <w:bCs/>
          <w:szCs w:val="32"/>
        </w:rPr>
        <w:t>。深化生态产品价值实现示范乡镇建设，深入探索以畲医药全产业链、畲乡旅游、高山农业、生态信用为主要特色的生态价值实现路径。</w:t>
      </w:r>
    </w:p>
    <w:p>
      <w:pPr>
        <w:pStyle w:val="7"/>
        <w:keepNext w:val="0"/>
        <w:keepLines w:val="0"/>
        <w:tabs>
          <w:tab w:val="left" w:pos="4678"/>
          <w:tab w:val="left" w:pos="6379"/>
        </w:tabs>
        <w:overflowPunct w:val="0"/>
        <w:spacing w:line="600" w:lineRule="exact"/>
        <w:ind w:firstLine="640"/>
        <w:rPr>
          <w:rFonts w:ascii="楷体_GB2312" w:eastAsia="楷体_GB2312"/>
          <w:b w:val="0"/>
          <w:szCs w:val="32"/>
        </w:rPr>
      </w:pPr>
      <w:bookmarkStart w:id="104" w:name="_Toc37102856"/>
      <w:bookmarkStart w:id="105" w:name="_Toc300532075"/>
      <w:bookmarkStart w:id="106" w:name="_Toc57903671"/>
      <w:r>
        <w:rPr>
          <w:rFonts w:hint="eastAsia" w:ascii="楷体_GB2312" w:eastAsia="楷体_GB2312"/>
          <w:b w:val="0"/>
          <w:szCs w:val="32"/>
        </w:rPr>
        <w:t>（二）实施八大标志性工程</w:t>
      </w:r>
      <w:bookmarkEnd w:id="104"/>
      <w:bookmarkEnd w:id="105"/>
      <w:bookmarkEnd w:id="106"/>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1.“万亩千亿”新产业平台建设工程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坚持高起点规划、高标准建设、高水平管理、高效能运营，以丽水经济技术开发区和丽缙园—缙云经济开发区为主，打造以数字经济、智能装备、新材料、健康产业为主导的两个“万亩千亿”新产业平台。预计总投资约1000亿元。</w:t>
      </w:r>
    </w:p>
    <w:p>
      <w:pPr>
        <w:overflowPunct w:val="0"/>
        <w:spacing w:line="600" w:lineRule="exact"/>
        <w:ind w:firstLine="640"/>
        <w:rPr>
          <w:rFonts w:ascii="仿宋_GB2312"/>
          <w:bCs/>
          <w:szCs w:val="32"/>
        </w:rPr>
      </w:pPr>
      <w:r>
        <w:rPr>
          <w:rFonts w:hint="eastAsia" w:ascii="仿宋_GB2312" w:hAnsi="仿宋_GB2312" w:cs="仿宋_GB2312"/>
          <w:bCs/>
          <w:szCs w:val="32"/>
        </w:rPr>
        <w:t>建设重点：加强新产业培育引进，力争引进一批产品技术达到国际领先水平、行业领军型企业投资的项目。建设数字化新产</w:t>
      </w:r>
      <w:r>
        <w:rPr>
          <w:rFonts w:hint="eastAsia" w:ascii="仿宋_GB2312"/>
          <w:bCs/>
          <w:szCs w:val="32"/>
        </w:rPr>
        <w:t>业平台、数字化工厂、数字化车间，实现智慧化管理。坚持国际化，集聚全球高端创新要素，建立具有国际竞争力的产业集群。坚持绿色化，建设绿色工厂、绿色建筑，单位增加值污染物排放量、单位增加值综合能耗处于全省领先水平。坚持共享化，加强企业间创新资源、生产资源的共享，打造研发设计、检测试验、生产能力的共享服务体系。</w:t>
      </w:r>
    </w:p>
    <w:p>
      <w:pPr>
        <w:overflowPunct w:val="0"/>
        <w:spacing w:line="600" w:lineRule="exact"/>
        <w:ind w:firstLine="640"/>
        <w:rPr>
          <w:rFonts w:ascii="仿宋_GB2312" w:hAnsi="仿宋_GB2312" w:cs="仿宋_GB2312"/>
          <w:bCs/>
          <w:szCs w:val="32"/>
        </w:rPr>
      </w:pPr>
      <w:r>
        <w:rPr>
          <w:rFonts w:hint="eastAsia" w:ascii="仿宋_GB2312"/>
          <w:bCs/>
          <w:szCs w:val="32"/>
        </w:rPr>
        <w:t>责任单位：市发改委、市经信局、市科技局、市自然资源局、丽水开发区管委会、丽水机场建设指挥部，青田县、缙云县、景宁</w:t>
      </w:r>
      <w:r>
        <w:rPr>
          <w:rFonts w:hint="eastAsia" w:ascii="仿宋_GB2312" w:hAnsi="仿宋_GB2312" w:cs="仿宋_GB2312"/>
          <w:bCs/>
          <w:szCs w:val="32"/>
        </w:rPr>
        <w:t>县政府。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2.水经济发展示范工程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创新水生态产品价值实现机制，建设水能源、水养殖、水制品、水文旅等多类型“水经济”产业项目。建设水能源、水养殖、水制品、水文旅等多类型“水经济”产业项目，完善水经济特色产业结构链群。预计总投资约240亿元。</w:t>
      </w:r>
    </w:p>
    <w:p>
      <w:pPr>
        <w:overflowPunct w:val="0"/>
        <w:spacing w:line="600" w:lineRule="exact"/>
        <w:ind w:firstLine="640"/>
        <w:rPr>
          <w:rFonts w:ascii="仿宋_GB2312"/>
          <w:bCs/>
          <w:szCs w:val="32"/>
        </w:rPr>
      </w:pPr>
      <w:r>
        <w:rPr>
          <w:rFonts w:hint="eastAsia" w:ascii="仿宋_GB2312" w:hAnsi="仿宋_GB2312" w:cs="仿宋_GB2312"/>
          <w:bCs/>
          <w:szCs w:val="32"/>
        </w:rPr>
        <w:t>建设重点：壮大水电产业，推进浙西南水库群、华东抽水蓄</w:t>
      </w:r>
      <w:r>
        <w:rPr>
          <w:rFonts w:hint="eastAsia" w:ascii="仿宋_GB2312"/>
          <w:bCs/>
          <w:szCs w:val="32"/>
        </w:rPr>
        <w:t>能基地等重大水利工程谋划，创建华东绿色能源基地。科学划定水库渔业、河道养殖等特色养殖基地，打造特色水产品牌。深化水资源开发利用研究，发展“高端水”开发利用项目，开发高端饮用水、医用针剂、美容护肤、生物萃取、健康日化、酒水软饮料等产业项目。发展水边经济和水上经济，建设水美城镇、水美乡村、清凉小镇等多类型旅游项目，形成沿水域岸线经济带，发展水上皮划艇、滑水、垂钓等水上运动，建设高品质水旅融合集聚区，打造长三角新兴“水文旅”旅游目的地。建设城市直饮水项目，拓展区域供水线；依托水冷资源优势，发展大数据云中心等高科技项目，形成涉水工业项目集群。</w:t>
      </w:r>
    </w:p>
    <w:p>
      <w:pPr>
        <w:overflowPunct w:val="0"/>
        <w:spacing w:line="600" w:lineRule="exact"/>
        <w:ind w:firstLine="640"/>
        <w:rPr>
          <w:rFonts w:ascii="仿宋_GB2312" w:hAnsi="仿宋_GB2312" w:cs="仿宋_GB2312"/>
          <w:bCs/>
          <w:szCs w:val="32"/>
        </w:rPr>
      </w:pPr>
      <w:r>
        <w:rPr>
          <w:rFonts w:hint="eastAsia" w:ascii="仿宋_GB2312"/>
          <w:bCs/>
          <w:szCs w:val="32"/>
        </w:rPr>
        <w:t>责任单位：市水利局、市生态环境局、市发改委、市文广旅</w:t>
      </w:r>
      <w:r>
        <w:rPr>
          <w:rFonts w:hint="eastAsia" w:ascii="仿宋_GB2312"/>
          <w:szCs w:val="32"/>
        </w:rPr>
        <w:t>体局、</w:t>
      </w:r>
      <w:r>
        <w:rPr>
          <w:rFonts w:hint="eastAsia" w:ascii="仿宋_GB2312"/>
          <w:bCs/>
          <w:szCs w:val="32"/>
        </w:rPr>
        <w:t>市自然资源局、</w:t>
      </w:r>
      <w:r>
        <w:rPr>
          <w:rFonts w:hint="eastAsia" w:ascii="仿宋_GB2312"/>
          <w:szCs w:val="32"/>
        </w:rPr>
        <w:t>市建设局、市经信局、</w:t>
      </w:r>
      <w:r>
        <w:rPr>
          <w:rFonts w:hint="eastAsia" w:ascii="仿宋_GB2312"/>
          <w:bCs/>
          <w:szCs w:val="32"/>
        </w:rPr>
        <w:t>市农业农村局，各</w:t>
      </w:r>
      <w:r>
        <w:rPr>
          <w:rFonts w:hint="eastAsia" w:ascii="仿宋_GB2312" w:hAnsi="仿宋_GB2312" w:cs="仿宋_GB2312"/>
          <w:bCs/>
          <w:szCs w:val="32"/>
        </w:rPr>
        <w:t>县（市、区）政府。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3.丽水瓯江山水诗路建设工程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以打造丽水瓯江山水诗路“四带四地”为目标，挖掘古城、山水、名人、佛道等文化资源，推进诗路文化保护和传承。擦亮诗路“珍珠”，联动国家公园、缙云仙都等旅游资源，打造高能级旅游平台，实现“串珠成链”统筹发展。打造四大主题13条诗路旅游精品线路，培育“旅游+新业态”六大项目集群，完善交通网络、旅游集散、智慧旅游配套设施。预计总投资约1000亿元。</w:t>
      </w:r>
    </w:p>
    <w:p>
      <w:pPr>
        <w:overflowPunct w:val="0"/>
        <w:spacing w:line="600" w:lineRule="exact"/>
        <w:ind w:firstLine="640"/>
        <w:rPr>
          <w:rFonts w:ascii="仿宋_GB2312"/>
          <w:bCs/>
          <w:szCs w:val="32"/>
        </w:rPr>
      </w:pPr>
      <w:r>
        <w:rPr>
          <w:rFonts w:hint="eastAsia" w:ascii="仿宋_GB2312" w:hAnsi="仿宋_GB2312" w:cs="仿宋_GB2312"/>
          <w:bCs/>
          <w:szCs w:val="32"/>
        </w:rPr>
        <w:t>建设重点：建设一批中国山水画实景与江南原乡生活图景的空间载体，打造中国山水诗实景地。加快城市周边山水环境提升，</w:t>
      </w:r>
      <w:r>
        <w:rPr>
          <w:rFonts w:hint="eastAsia" w:ascii="仿宋_GB2312"/>
          <w:bCs/>
          <w:szCs w:val="32"/>
        </w:rPr>
        <w:t>推进城市生态系统建设，加快碧湖、四都、古堰画乡等片区开发，开展诗路古村落保护与活化工作，建成现代“富春山居图”丽水样板。推进青瓷文化旅游度假区、慧明禅茶文化产业园、中国（青田）欧陆风情体验区、全国红色旅游示范小镇等项目建设，促进红色文化、华侨文化、剑瓷文化、畲乡风情与诗路遗产融合发展。建设诗词主题城市文化公共空间、城市“山水诗”文化中心、山水诗研学旅游基地等项目，举办瓯江山水诗词国际学术研讨会等文化活动，打造中国山水诗研学圣地。实施“彩色林相”“绿谷花海”“增花添彩”专项行动，建成万里骑行绿道工程。建立“数字诗路”大数据平台，完善智慧旅游、绿道e站服务体系，打造瓯江山水网红打卡地。</w:t>
      </w:r>
    </w:p>
    <w:p>
      <w:pPr>
        <w:overflowPunct w:val="0"/>
        <w:spacing w:line="600" w:lineRule="exact"/>
        <w:ind w:firstLine="640"/>
        <w:rPr>
          <w:rFonts w:ascii="仿宋_GB2312" w:hAnsi="仿宋_GB2312" w:cs="仿宋_GB2312"/>
          <w:bCs/>
          <w:szCs w:val="32"/>
        </w:rPr>
      </w:pPr>
      <w:r>
        <w:rPr>
          <w:rFonts w:hint="eastAsia" w:ascii="仿宋_GB2312"/>
          <w:bCs/>
          <w:szCs w:val="32"/>
        </w:rPr>
        <w:t>责任单位：市委宣传部、市民宗局、市发改委、市文广旅体局、市水利局、市生态环境局、市建设局、市自然资源局、市经</w:t>
      </w:r>
      <w:r>
        <w:rPr>
          <w:rFonts w:hint="eastAsia" w:ascii="仿宋_GB2312" w:hAnsi="仿宋_GB2312" w:cs="仿宋_GB2312"/>
          <w:bCs/>
          <w:szCs w:val="32"/>
        </w:rPr>
        <w:t>信局、市商务局、市农业农村局，各县（市、区）政府。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4.“康养600”小镇建设工程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建设思路：依托丽水600米以上高山台地优势，突出特色、强化优势，结合独特的历史文化、生态旅游等资源，发展康养支柱产业，打造功能齐备、优势互补的“康养600”小镇集群。预计总投资约231亿元。</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重点：建设白云森林康养小镇、灵康杏福康旅小镇、壶镇古韵新潮小镇、中国畲乡东坑民俗爱情小镇、举水文旅风情小镇、祯埠“天湖溪游”小镇、黄家畲清凉小镇、松阳安民红绿寻迹小镇、氧吧长寿小镇、高坪花林天府小镇10个特色小镇。</w:t>
      </w:r>
    </w:p>
    <w:p>
      <w:pPr>
        <w:overflowPunct w:val="0"/>
        <w:spacing w:line="600" w:lineRule="exact"/>
        <w:ind w:firstLine="640"/>
        <w:rPr>
          <w:rFonts w:ascii="仿宋_GB2312"/>
          <w:bCs/>
          <w:szCs w:val="32"/>
        </w:rPr>
      </w:pPr>
      <w:r>
        <w:rPr>
          <w:rFonts w:hint="eastAsia" w:ascii="仿宋_GB2312" w:hAnsi="仿宋_GB2312" w:cs="仿宋_GB2312"/>
          <w:bCs/>
          <w:szCs w:val="32"/>
        </w:rPr>
        <w:t>责任单位：市发改委、市建设局、市经信局、市文广旅体局、</w:t>
      </w:r>
      <w:r>
        <w:rPr>
          <w:rFonts w:hint="eastAsia" w:ascii="仿宋_GB2312"/>
          <w:bCs/>
          <w:szCs w:val="32"/>
        </w:rPr>
        <w:t>市生态林业中心，各县（市、区）政府。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5．“一带三区”通道大畅联工程</w:t>
      </w:r>
    </w:p>
    <w:p>
      <w:pPr>
        <w:overflowPunct w:val="0"/>
        <w:spacing w:line="600" w:lineRule="exact"/>
        <w:ind w:firstLine="640"/>
        <w:rPr>
          <w:rFonts w:ascii="仿宋_GB2312"/>
          <w:bCs/>
          <w:szCs w:val="32"/>
        </w:rPr>
      </w:pPr>
      <w:r>
        <w:rPr>
          <w:rFonts w:hint="eastAsia" w:ascii="仿宋_GB2312" w:hAnsi="仿宋_GB2312" w:cs="仿宋_GB2312"/>
          <w:bCs/>
          <w:szCs w:val="32"/>
        </w:rPr>
        <w:t>建设思路：全力对接全省</w:t>
      </w:r>
      <w:r>
        <w:rPr>
          <w:rFonts w:hint="eastAsia" w:ascii="仿宋_GB2312" w:hAnsi="仿宋_GB2312" w:cs="仿宋_GB2312"/>
          <w:szCs w:val="32"/>
        </w:rPr>
        <w:t>“大通道”</w:t>
      </w:r>
      <w:r>
        <w:rPr>
          <w:rFonts w:hint="eastAsia" w:ascii="仿宋_GB2312" w:hAnsi="仿宋_GB2312" w:cs="仿宋_GB2312"/>
          <w:bCs/>
          <w:szCs w:val="32"/>
        </w:rPr>
        <w:t>建设，加快实施谋划一批重大交通基础设施项目，强化土地、资金等要素保障，积极创新项目运营模式，构建现代化、全域化、多元化的“快达畅通”交</w:t>
      </w:r>
      <w:r>
        <w:rPr>
          <w:rFonts w:hint="eastAsia" w:ascii="仿宋_GB2312"/>
          <w:bCs/>
          <w:szCs w:val="32"/>
        </w:rPr>
        <w:t>通体系。预计总投资约2720亿元。</w:t>
      </w:r>
    </w:p>
    <w:p>
      <w:pPr>
        <w:overflowPunct w:val="0"/>
        <w:spacing w:line="600" w:lineRule="exact"/>
        <w:ind w:firstLine="640"/>
        <w:rPr>
          <w:rFonts w:ascii="仿宋_GB2312"/>
          <w:bCs/>
          <w:szCs w:val="32"/>
        </w:rPr>
      </w:pPr>
      <w:r>
        <w:rPr>
          <w:rFonts w:hint="eastAsia" w:ascii="仿宋_GB2312"/>
          <w:bCs/>
          <w:szCs w:val="32"/>
        </w:rPr>
        <w:t>建设重点：优化对外综合交通通道，加快建设丽水机场；加快杭丽铁路、衢丽铁路、温武吉铁路等项目建设，构建“三横三纵”铁路网；重点推进市域发展核心带高速环、一带三区高速内环建设，形成“四纵三横”高速公路体系，打造丽水市域交通主枢纽、遂松、云景、龙泉三个交通次枢纽。建设全域畅行交通体系，推进丽水—云和—景宁城际铁路建设、金丽温铁路电气化改造及小班组运营，建设市域特色城际铁路网；完善通用航空网络，建设龙泉、缙云等通用航空机场，形成“1+4+4+N”通用机场体</w:t>
      </w:r>
      <w:r>
        <w:rPr>
          <w:rFonts w:hint="eastAsia" w:ascii="仿宋_GB2312" w:hAnsi="仿宋_GB2312" w:cs="仿宋_GB2312"/>
          <w:bCs/>
          <w:szCs w:val="32"/>
        </w:rPr>
        <w:t>系；推进330国道青田温溪至船寮段、S325洞头至庆元、S219临安至苍南等公路建设，形成“十纵六横”普通国省道网络；推进瓯江航道建设工程，畅通瓯江“黄金水道”，建设温溪港、腊口港，形成市域“一带两核七区”内河水运布局；打造南明湖、</w:t>
      </w:r>
      <w:r>
        <w:rPr>
          <w:rFonts w:hint="eastAsia" w:ascii="仿宋_GB2312"/>
          <w:bCs/>
          <w:szCs w:val="32"/>
        </w:rPr>
        <w:t>千峡湖、云和湖、仙宫湖、仙侠湖五条精品水上游线；推进瓯江绿道贯通及国家公园徒步道建设，串联全域绿道慢行交通体系，完善旅游服务基础设施建设。</w:t>
      </w:r>
    </w:p>
    <w:p>
      <w:pPr>
        <w:overflowPunct w:val="0"/>
        <w:spacing w:line="600" w:lineRule="exact"/>
        <w:ind w:firstLine="640"/>
        <w:rPr>
          <w:rFonts w:ascii="仿宋_GB2312"/>
          <w:bCs/>
          <w:szCs w:val="32"/>
        </w:rPr>
      </w:pPr>
      <w:r>
        <w:rPr>
          <w:rFonts w:hint="eastAsia" w:ascii="仿宋_GB2312"/>
          <w:bCs/>
          <w:szCs w:val="32"/>
        </w:rPr>
        <w:t>责任单位：市交通运输局、市自然资源局、市建设局、丽水机场建设指挥部、市水利局、市铁委办、市文广旅体局、市体育发展中心、丽水开发区管委会、市交投公司、市旅投公司，各县（市、区）政府。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6.百山祖国家公园建设工程</w:t>
      </w:r>
    </w:p>
    <w:p>
      <w:pPr>
        <w:widowControl/>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以实现重要自然资源统一管理、全民共享、世代传承为目标，以保护原真完整的中亚热带森林生态系统、孑遗植物百山祖冷杉全球唯一分布区、野生大型真菌种质资源重要分布区及珍稀濒危野生动植物等生物多样性为基础，坚持系统修复、科学管控、合理布局、全民参与、保护传承的原则，统筹山水林田湖草系统治理，推进人与自然和谐共生，努力建成具有国际水准的国家公园。预计总投资约144亿元。</w:t>
      </w:r>
    </w:p>
    <w:p>
      <w:pPr>
        <w:widowControl/>
        <w:overflowPunct w:val="0"/>
        <w:spacing w:line="600" w:lineRule="exact"/>
        <w:ind w:firstLine="640"/>
        <w:rPr>
          <w:rFonts w:ascii="仿宋_GB2312"/>
          <w:bCs/>
          <w:szCs w:val="32"/>
        </w:rPr>
      </w:pPr>
      <w:r>
        <w:rPr>
          <w:rFonts w:hint="eastAsia" w:ascii="仿宋_GB2312" w:hAnsi="仿宋_GB2312" w:cs="仿宋_GB2312"/>
          <w:bCs/>
          <w:szCs w:val="32"/>
        </w:rPr>
        <w:t>建设重点：在保护方面，建立管护体系、森林生态系统保护修复、湿地生态系统保护修复、生物多样性保护和文化遗产保护。</w:t>
      </w:r>
      <w:r>
        <w:rPr>
          <w:rFonts w:hint="eastAsia" w:ascii="仿宋_GB2312"/>
          <w:bCs/>
          <w:szCs w:val="32"/>
        </w:rPr>
        <w:t>在科研监测方面，加快推进科研监测体系、监测队伍、科研监测工程等项目建设。在自然教育方面，突出生态体验与环境教育，建立解说标识系统。在基础设施建设方面，重点推进管理设施、公用工程、环卫设施、安全工程等，建设洞头至庆元公路丽水段。始终坚持全域联动发展的原则，统筹推进国家公园建设。</w:t>
      </w:r>
    </w:p>
    <w:p>
      <w:pPr>
        <w:overflowPunct w:val="0"/>
        <w:spacing w:line="600" w:lineRule="exact"/>
        <w:ind w:firstLine="640"/>
        <w:rPr>
          <w:rFonts w:ascii="仿宋_GB2312" w:hAnsi="仿宋_GB2312" w:cs="仿宋_GB2312"/>
          <w:bCs/>
          <w:szCs w:val="32"/>
        </w:rPr>
      </w:pPr>
      <w:r>
        <w:rPr>
          <w:rFonts w:hint="eastAsia" w:ascii="仿宋_GB2312"/>
          <w:bCs/>
          <w:szCs w:val="32"/>
        </w:rPr>
        <w:t>责任单位：市生态林业中心、市农业农村局、市委编办、市自然资源局、市发改委、市生态环境局、市文广旅体局，庆元县、</w:t>
      </w:r>
      <w:r>
        <w:rPr>
          <w:rFonts w:hint="eastAsia" w:ascii="仿宋_GB2312" w:hAnsi="仿宋_GB2312" w:cs="仿宋_GB2312"/>
          <w:bCs/>
          <w:szCs w:val="32"/>
        </w:rPr>
        <w:t>龙泉市、景宁县政府。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7.瓯江流域山水林田湖草生态保护修复工程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建设思路：坚持“绿水青山就是金山银山”理念，通过山水林田湖草生态保护与修复工程，将瓯江流域打造成为丽水标志性优质生态产品，推进生态价值转化。预计总投资约268亿元。</w:t>
      </w:r>
    </w:p>
    <w:p>
      <w:pPr>
        <w:overflowPunct w:val="0"/>
        <w:spacing w:line="600" w:lineRule="exact"/>
        <w:ind w:firstLine="640"/>
        <w:rPr>
          <w:rFonts w:ascii="仿宋_GB2312"/>
          <w:bCs/>
          <w:szCs w:val="32"/>
        </w:rPr>
      </w:pPr>
      <w:r>
        <w:rPr>
          <w:rFonts w:hint="eastAsia" w:ascii="仿宋_GB2312" w:hAnsi="仿宋_GB2312" w:cs="仿宋_GB2312"/>
          <w:bCs/>
          <w:szCs w:val="32"/>
        </w:rPr>
        <w:t>建设重点：优化瓯江流域生态空间格局，划定生态保护与修</w:t>
      </w:r>
      <w:r>
        <w:rPr>
          <w:rFonts w:hint="eastAsia" w:ascii="仿宋_GB2312"/>
          <w:bCs/>
          <w:szCs w:val="32"/>
        </w:rPr>
        <w:t>复分区。实施农村土地综合整治，实施农村全域土地综合整治与生态修复工程，建设生态型土地综合整治项目，建设整洁田园。加强区域矿山生态环境保护，全面建设绿色矿山，加大废弃矿山治理力度，推进地质灾害防治。推进流域水环境综合整治和河湖生态修复提升工程，协同保护区域饮用水安全，推进城乡环保基础设施建设。推进污染与退化土地修复治理工程，实施土壤污染防治工程和水土流失防治工程。加强生物多样性保护，实施生物多样性保护示范工程，实施珍稀濒危生物保护工程，加大物种</w:t>
      </w:r>
      <w:r>
        <w:rPr>
          <w:rFonts w:hint="eastAsia" w:ascii="仿宋_GB2312"/>
          <w:bCs/>
          <w:szCs w:val="32"/>
          <w:lang w:eastAsia="zh-CN"/>
        </w:rPr>
        <w:t>环境</w:t>
      </w:r>
      <w:r>
        <w:rPr>
          <w:rFonts w:hint="eastAsia" w:ascii="仿宋_GB2312"/>
          <w:bCs/>
          <w:szCs w:val="32"/>
        </w:rPr>
        <w:t>保护力度。大力实施“大搬快聚富民安居”工程。</w:t>
      </w:r>
    </w:p>
    <w:p>
      <w:pPr>
        <w:overflowPunct w:val="0"/>
        <w:spacing w:line="600" w:lineRule="exact"/>
        <w:ind w:firstLine="640"/>
        <w:rPr>
          <w:rFonts w:ascii="仿宋_GB2312"/>
          <w:bCs/>
          <w:szCs w:val="32"/>
        </w:rPr>
      </w:pPr>
      <w:r>
        <w:rPr>
          <w:rFonts w:hint="eastAsia" w:ascii="仿宋_GB2312"/>
          <w:bCs/>
          <w:szCs w:val="32"/>
        </w:rPr>
        <w:t>责任单位：市自然资源局、市农业农村局、市水利局、市生态环境局、市建设局、市生态林业中心，各县（市、区）政府。</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8.新型基础设施建设工程</w:t>
      </w:r>
    </w:p>
    <w:p>
      <w:pPr>
        <w:overflowPunct w:val="0"/>
        <w:spacing w:line="600" w:lineRule="exact"/>
        <w:ind w:firstLine="640"/>
        <w:rPr>
          <w:rFonts w:ascii="仿宋_GB2312" w:hAnsi="仿宋_GB2312" w:cs="仿宋_GB2312"/>
          <w:bCs/>
          <w:szCs w:val="32"/>
        </w:rPr>
      </w:pPr>
      <w:r>
        <w:rPr>
          <w:rFonts w:hint="eastAsia" w:ascii="仿宋_GB2312" w:hAnsi="仿宋_GB2312" w:cs="仿宋_GB2312"/>
          <w:bCs/>
          <w:szCs w:val="32"/>
        </w:rPr>
        <w:t>建设思路：抓住国家布局新型基础设施建设的重大机遇，超前规划建设以5G、人工智能、工业互联网、物联网为代表的新型基础设施，奠定丽水高质量绿色发展新基础。预计总投资约138亿元。</w:t>
      </w:r>
    </w:p>
    <w:p>
      <w:pPr>
        <w:overflowPunct w:val="0"/>
        <w:spacing w:line="600" w:lineRule="exact"/>
        <w:ind w:firstLine="640"/>
        <w:rPr>
          <w:rFonts w:ascii="仿宋_GB2312"/>
          <w:bCs/>
          <w:szCs w:val="32"/>
        </w:rPr>
      </w:pPr>
      <w:r>
        <w:rPr>
          <w:rFonts w:hint="eastAsia" w:ascii="仿宋_GB2312" w:hAnsi="仿宋_GB2312" w:cs="仿宋_GB2312"/>
          <w:bCs/>
          <w:szCs w:val="32"/>
        </w:rPr>
        <w:t>建设重点：布局5G基建。布局5G基站、物联网、IPv6等新型基础设施，构建市域高速网络基础设施，打造高速畅通、覆盖全域的现代化网络体系。加快电力基础设施建设。加快推进丽西500千伏输变电、220千伏及以下配网建设与改造等工程，提升我市电网供电能力，为丽水人民享受更美好的生活提供电网支撑。建设大数据中心。加快推进丽水大数据中心、国网浙江紧水滩绿色数据中心建设，形成全要素、多领域的智慧大</w:t>
      </w:r>
      <w:r>
        <w:rPr>
          <w:rFonts w:hint="eastAsia" w:ascii="仿宋_GB2312"/>
          <w:bCs/>
          <w:szCs w:val="32"/>
        </w:rPr>
        <w:t>花园格局。建设覆盖丽水全域的无人机自动机场集群。</w:t>
      </w:r>
    </w:p>
    <w:p>
      <w:pPr>
        <w:overflowPunct w:val="0"/>
        <w:spacing w:line="600" w:lineRule="exact"/>
        <w:ind w:firstLine="640"/>
        <w:rPr>
          <w:rFonts w:ascii="仿宋_GB2312"/>
          <w:bCs/>
          <w:szCs w:val="32"/>
        </w:rPr>
      </w:pPr>
      <w:r>
        <w:rPr>
          <w:rFonts w:hint="eastAsia" w:ascii="仿宋_GB2312"/>
          <w:bCs/>
          <w:szCs w:val="32"/>
        </w:rPr>
        <w:t>责任单位：市大数据局、市经信局、国网丽水供电</w:t>
      </w:r>
      <w:r>
        <w:rPr>
          <w:rFonts w:hint="eastAsia" w:ascii="仿宋_GB2312"/>
          <w:szCs w:val="32"/>
        </w:rPr>
        <w:t>公司、市发改委、丽水开发区管委会，各县（市、区）政府。</w:t>
      </w:r>
    </w:p>
    <w:p>
      <w:pPr>
        <w:pStyle w:val="6"/>
        <w:keepNext w:val="0"/>
        <w:keepLines w:val="0"/>
        <w:overflowPunct w:val="0"/>
        <w:spacing w:line="600" w:lineRule="exact"/>
        <w:ind w:firstLine="640"/>
        <w:rPr>
          <w:rFonts w:ascii="黑体" w:hAnsi="黑体" w:eastAsia="黑体"/>
          <w:b w:val="0"/>
          <w:szCs w:val="32"/>
        </w:rPr>
      </w:pPr>
      <w:bookmarkStart w:id="107" w:name="_Toc57903672"/>
      <w:bookmarkStart w:id="108" w:name="_Toc37102857"/>
      <w:bookmarkStart w:id="109" w:name="_Toc1195231388"/>
      <w:r>
        <w:rPr>
          <w:rFonts w:hint="eastAsia" w:ascii="黑体" w:hAnsi="黑体" w:eastAsia="黑体"/>
          <w:b w:val="0"/>
          <w:szCs w:val="32"/>
        </w:rPr>
        <w:t>九、高要求推进规划实施</w:t>
      </w:r>
      <w:bookmarkEnd w:id="107"/>
      <w:bookmarkEnd w:id="108"/>
      <w:bookmarkEnd w:id="109"/>
    </w:p>
    <w:p>
      <w:pPr>
        <w:overflowPunct w:val="0"/>
        <w:spacing w:line="600" w:lineRule="exact"/>
        <w:ind w:firstLine="640"/>
        <w:rPr>
          <w:rFonts w:ascii="仿宋_GB2312" w:hAnsi="仿宋_GB2312" w:cs="仿宋_GB2312"/>
          <w:szCs w:val="32"/>
        </w:rPr>
      </w:pPr>
      <w:r>
        <w:rPr>
          <w:rFonts w:hint="eastAsia" w:ascii="楷体_GB2312" w:eastAsia="楷体_GB2312"/>
          <w:szCs w:val="32"/>
        </w:rPr>
        <w:t>（一）加强组织领导。</w:t>
      </w:r>
      <w:r>
        <w:rPr>
          <w:rFonts w:hint="eastAsia" w:ascii="仿宋_GB2312"/>
          <w:szCs w:val="32"/>
        </w:rPr>
        <w:t>成立丽水市“一带三区”推进工作领导小组，统筹指导和综合协调“一带三区”发展规划实施，研究审议重大政策、重大改革、重大平台、重大项目和年度工作安排，协调解决重大问</w:t>
      </w:r>
      <w:r>
        <w:rPr>
          <w:rFonts w:hint="eastAsia" w:ascii="仿宋_GB2312" w:hAnsi="仿宋_GB2312" w:cs="仿宋_GB2312"/>
          <w:szCs w:val="32"/>
        </w:rPr>
        <w:t>题，督促落实重大事项。领导小组办公室设在市发改委，承担领导小组日常工作。</w:t>
      </w:r>
      <w:r>
        <w:rPr>
          <w:rFonts w:hint="eastAsia" w:ascii="仿宋_GB2312" w:hAnsi="仿宋_GB2312" w:cs="仿宋_GB2312"/>
          <w:szCs w:val="32"/>
          <w:shd w:val="clear" w:color="auto" w:fill="FFFFFF"/>
        </w:rPr>
        <w:t>在</w:t>
      </w:r>
      <w:r>
        <w:rPr>
          <w:rFonts w:hint="eastAsia" w:ascii="仿宋_GB2312" w:hAnsi="仿宋_GB2312" w:cs="仿宋_GB2312"/>
          <w:szCs w:val="32"/>
        </w:rPr>
        <w:t>领导小组下设立由市领导挂帅、相关市直部门和县（市、区）参加的“一带”和“三区”4个协调工作组，分别指导各县（市、区）和丽水经济技术开发区推动“一带”和“三区”发展及其示范区建设。各县（市、区）和丽水经济技术开发区成立工作专班，确保“一带三区”发展各项目标任务落到实处。</w:t>
      </w:r>
    </w:p>
    <w:p>
      <w:pPr>
        <w:overflowPunct w:val="0"/>
        <w:spacing w:line="600" w:lineRule="exact"/>
        <w:ind w:firstLine="640"/>
        <w:rPr>
          <w:rFonts w:ascii="仿宋_GB2312"/>
          <w:bCs/>
          <w:szCs w:val="32"/>
        </w:rPr>
      </w:pPr>
      <w:r>
        <w:rPr>
          <w:rFonts w:hint="eastAsia" w:ascii="楷体_GB2312" w:eastAsia="楷体_GB2312"/>
          <w:szCs w:val="32"/>
        </w:rPr>
        <w:t>（二）加强规划衔接。</w:t>
      </w:r>
      <w:r>
        <w:rPr>
          <w:rFonts w:hint="eastAsia" w:ascii="仿宋_GB2312"/>
          <w:bCs/>
          <w:szCs w:val="32"/>
        </w:rPr>
        <w:t>以“一带三区”发展规划为引领，推动各级各类发展规划、空间规划、区域规划、专项规划与之有机衔接，确保总体要求和主要指标一致，空间配置和时序安排协调有序。高质量编制实施“一带”南城生态工业、碧湖新城和“三区”经典文创、乡村振兴、特色风情等五个跨山统筹示范性平台建设方案。</w:t>
      </w:r>
    </w:p>
    <w:p>
      <w:pPr>
        <w:overflowPunct w:val="0"/>
        <w:spacing w:line="600" w:lineRule="exact"/>
        <w:ind w:firstLine="640"/>
        <w:rPr>
          <w:rFonts w:ascii="仿宋_GB2312"/>
          <w:b/>
          <w:bCs/>
          <w:szCs w:val="32"/>
        </w:rPr>
      </w:pPr>
      <w:r>
        <w:rPr>
          <w:rFonts w:hint="eastAsia" w:ascii="楷体_GB2312" w:eastAsia="楷体_GB2312"/>
          <w:szCs w:val="32"/>
        </w:rPr>
        <w:t>（三）健全推进机制。</w:t>
      </w:r>
      <w:r>
        <w:rPr>
          <w:rFonts w:hint="eastAsia" w:ascii="仿宋_GB2312"/>
          <w:szCs w:val="32"/>
        </w:rPr>
        <w:t>成立国土空间、财政金融、教育资源、人才资源、产业招商等多个专项统筹工作小组，由相关市领导担任组长，市直有关部门主要负责人担任副组长，研究建立统筹机制、</w:t>
      </w:r>
      <w:r>
        <w:rPr>
          <w:rFonts w:hint="eastAsia" w:ascii="仿宋_GB2312"/>
          <w:szCs w:val="32"/>
          <w:lang w:eastAsia="zh-CN"/>
        </w:rPr>
        <w:t>制订</w:t>
      </w:r>
      <w:r>
        <w:rPr>
          <w:rFonts w:hint="eastAsia" w:ascii="仿宋_GB2312"/>
          <w:szCs w:val="32"/>
        </w:rPr>
        <w:t>相关政策。各县（市、区）和丽水经济技术开发区要明确工作分工、完善工作机制、落实工作责任，</w:t>
      </w:r>
      <w:r>
        <w:rPr>
          <w:rFonts w:hint="eastAsia" w:ascii="仿宋_GB2312"/>
          <w:szCs w:val="32"/>
          <w:lang w:eastAsia="zh-CN"/>
        </w:rPr>
        <w:t>制订</w:t>
      </w:r>
      <w:r>
        <w:rPr>
          <w:rFonts w:hint="eastAsia" w:ascii="仿宋_GB2312"/>
          <w:szCs w:val="32"/>
        </w:rPr>
        <w:t>年度工作计划</w:t>
      </w:r>
      <w:r>
        <w:rPr>
          <w:rFonts w:hint="eastAsia" w:ascii="仿宋_GB2312"/>
          <w:bCs/>
          <w:szCs w:val="32"/>
        </w:rPr>
        <w:t>、</w:t>
      </w:r>
      <w:r>
        <w:rPr>
          <w:rFonts w:hint="eastAsia" w:ascii="仿宋_GB2312"/>
          <w:szCs w:val="32"/>
        </w:rPr>
        <w:t>示范区建设方案和专项推进方案，把规划确定的各项任务落到实处。各地各部门要按照职责分工，积极谋划有利于“一带三区”发展的重大政策、重大改革、重大平台和重大项目。市直有关部门要按照职责分工，加强对规划实施的指导，在相关行动方案编制、重大政策</w:t>
      </w:r>
      <w:r>
        <w:rPr>
          <w:rFonts w:hint="eastAsia" w:ascii="仿宋_GB2312"/>
          <w:szCs w:val="32"/>
          <w:lang w:eastAsia="zh-CN"/>
        </w:rPr>
        <w:t>制订</w:t>
      </w:r>
      <w:r>
        <w:rPr>
          <w:rFonts w:hint="eastAsia" w:ascii="仿宋_GB2312"/>
          <w:szCs w:val="32"/>
        </w:rPr>
        <w:t>、重大项目安排、重大体制创新方面予以积极支持。</w:t>
      </w:r>
    </w:p>
    <w:p>
      <w:pPr>
        <w:overflowPunct w:val="0"/>
        <w:spacing w:line="600" w:lineRule="exact"/>
        <w:ind w:firstLine="640"/>
        <w:rPr>
          <w:rFonts w:ascii="仿宋_GB2312"/>
          <w:szCs w:val="32"/>
        </w:rPr>
      </w:pPr>
      <w:r>
        <w:rPr>
          <w:rFonts w:hint="eastAsia" w:ascii="楷体_GB2312" w:eastAsia="楷体_GB2312"/>
          <w:szCs w:val="32"/>
        </w:rPr>
        <w:t>（四）强化考评机制。</w:t>
      </w:r>
      <w:r>
        <w:rPr>
          <w:rFonts w:hint="eastAsia" w:ascii="仿宋_GB2312"/>
          <w:szCs w:val="32"/>
        </w:rPr>
        <w:t>建立“一带三区”推进工作考核评价机制，根据</w:t>
      </w:r>
      <w:r>
        <w:rPr>
          <w:rFonts w:hint="eastAsia" w:ascii="仿宋_GB2312"/>
          <w:bCs/>
          <w:szCs w:val="32"/>
        </w:rPr>
        <w:t>“一带三区”发展规划，</w:t>
      </w:r>
      <w:r>
        <w:rPr>
          <w:rFonts w:hint="eastAsia" w:ascii="仿宋_GB2312"/>
          <w:szCs w:val="32"/>
        </w:rPr>
        <w:t>对“一带”和“三区”有关县（市、区）实行差别化捆绑考核评价，并纳入市委、市政府年度综合考核，同步建立激励机制。各级组织部门要建立“一带三区”发展干部培养机制，将“一带三区”推进工作业绩作为干部提拔任用的重要依据。</w:t>
      </w:r>
    </w:p>
    <w:p>
      <w:pPr>
        <w:overflowPunct w:val="0"/>
        <w:spacing w:line="600" w:lineRule="exact"/>
        <w:ind w:firstLine="640"/>
        <w:rPr>
          <w:rFonts w:ascii="仿宋_GB2312"/>
          <w:szCs w:val="32"/>
        </w:rPr>
      </w:pPr>
      <w:r>
        <w:rPr>
          <w:rFonts w:hint="eastAsia" w:ascii="楷体_GB2312" w:eastAsia="楷体_GB2312"/>
          <w:szCs w:val="32"/>
        </w:rPr>
        <w:t>（五）抓好督促落实。</w:t>
      </w:r>
      <w:r>
        <w:rPr>
          <w:rFonts w:hint="eastAsia" w:ascii="仿宋_GB2312"/>
          <w:szCs w:val="32"/>
        </w:rPr>
        <w:t>加强规划实施的跟踪分析、督促检查、综合协调和经验总结推广，协调解决实施中存在的问题，及时总结可复制可推广的政策措施。完善规划实施的公众参与机制，广泛听取社会各界的意见和建议，营造全社会共同推动“一带三区”发展的良好氛围。</w:t>
      </w:r>
    </w:p>
    <w:p>
      <w:pPr>
        <w:overflowPunct w:val="0"/>
        <w:spacing w:line="600" w:lineRule="exact"/>
        <w:ind w:firstLine="640"/>
        <w:rPr>
          <w:rFonts w:ascii="仿宋_GB2312"/>
          <w:szCs w:val="32"/>
        </w:rPr>
      </w:pPr>
    </w:p>
    <w:p>
      <w:pPr>
        <w:pStyle w:val="2"/>
        <w:overflowPunct w:val="0"/>
        <w:jc w:val="both"/>
        <w:rPr>
          <w:rFonts w:ascii="仿宋_GB2312" w:eastAsia="仿宋_GB2312"/>
          <w:sz w:val="32"/>
          <w:szCs w:val="32"/>
        </w:rPr>
      </w:pPr>
    </w:p>
    <w:p>
      <w:pPr>
        <w:pStyle w:val="3"/>
        <w:overflowPunct w:val="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widowControl/>
        <w:spacing w:line="240" w:lineRule="auto"/>
        <w:ind w:firstLine="0" w:firstLineChars="0"/>
        <w:jc w:val="left"/>
        <w:rPr>
          <w:rFonts w:ascii="Times New Roman" w:hAnsi="Times New Roman" w:eastAsia="宋体" w:cs="Times New Roman"/>
          <w:sz w:val="28"/>
          <w:szCs w:val="28"/>
        </w:rPr>
      </w:pPr>
      <w:r>
        <w:br w:type="page"/>
      </w: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ind w:firstLine="560"/>
      </w:pPr>
    </w:p>
    <w:p>
      <w:pPr>
        <w:pStyle w:val="4"/>
        <w:overflowPunct w:val="0"/>
        <w:spacing w:line="240" w:lineRule="exact"/>
        <w:ind w:firstLine="560"/>
      </w:pPr>
    </w:p>
    <w:p>
      <w:pPr>
        <w:overflowPunct w:val="0"/>
        <w:spacing w:line="600" w:lineRule="exact"/>
        <w:ind w:firstLine="280" w:firstLineChars="100"/>
        <w:rPr>
          <w:rFonts w:ascii="仿宋_GB2312"/>
          <w:color w:val="000000"/>
          <w:sz w:val="28"/>
          <w:szCs w:val="28"/>
        </w:rPr>
      </w:pPr>
      <w:r>
        <w:rPr>
          <w:rFonts w:ascii="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702300" cy="0"/>
                <wp:effectExtent l="0" t="0" r="0" b="0"/>
                <wp:wrapNone/>
                <wp:docPr id="1" name="直线 3"/>
                <wp:cNvGraphicFramePr/>
                <a:graphic xmlns:a="http://schemas.openxmlformats.org/drawingml/2006/main">
                  <a:graphicData uri="http://schemas.microsoft.com/office/word/2010/wordprocessingShape">
                    <wps:wsp>
                      <wps:cNvCnPr/>
                      <wps:spPr>
                        <a:xfrm>
                          <a:off x="0" y="0"/>
                          <a:ext cx="5702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25pt;height:0pt;width:449pt;z-index:251659264;mso-width-relative:page;mso-height-relative:page;" filled="f" stroked="t" coordsize="21600,21600" o:gfxdata="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R+GNMAAAAE&#10;AQAADwAAAAAAAAABACAAAAAiAAAAZHJzL2Rvd25yZXYueG1sUEsBAhQAFAAAAAgAh07iQJQrPWro&#10;AQAA3AMAAA4AAAAAAAAAAQAgAAAAIgEAAGRycy9lMm9Eb2MueG1sUEsFBgAAAAAGAAYAWQEAAHwF&#10;AAAAAA==&#10;">
                <v:fill on="f" focussize="0,0"/>
                <v:stroke weight="1.25pt" color="#000000" joinstyle="round"/>
                <v:imagedata o:title=""/>
                <o:lock v:ext="edit" aspectratio="f"/>
              </v:line>
            </w:pict>
          </mc:Fallback>
        </mc:AlternateContent>
      </w:r>
      <w:r>
        <w:rPr>
          <w:rFonts w:ascii="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468630</wp:posOffset>
                </wp:positionV>
                <wp:extent cx="5702300" cy="0"/>
                <wp:effectExtent l="0" t="0" r="0" b="0"/>
                <wp:wrapNone/>
                <wp:docPr id="2" name="直线 2"/>
                <wp:cNvGraphicFramePr/>
                <a:graphic xmlns:a="http://schemas.openxmlformats.org/drawingml/2006/main">
                  <a:graphicData uri="http://schemas.microsoft.com/office/word/2010/wordprocessingShape">
                    <wps:wsp>
                      <wps:cNvCnPr/>
                      <wps:spPr>
                        <a:xfrm>
                          <a:off x="0" y="0"/>
                          <a:ext cx="570230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75pt;margin-top:36.9pt;height:0pt;width:449pt;z-index:251660288;mso-width-relative:page;mso-height-relative:page;" filled="f" stroked="t" coordsize="21600,21600" o:gfxdata="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qnPKPX&#10;AAAACAEAAA8AAAAAAAAAAQAgAAAAIgAAAGRycy9kb3ducmV2LnhtbFBLAQIUABQAAAAIAIdO4kCm&#10;tcBU6AEAANwDAAAOAAAAAAAAAAEAIAAAACYBAABkcnMvZTJvRG9jLnhtbFBLBQYAAAAABgAGAFkB&#10;AACABQAAAAA=&#10;">
                <v:fill on="f" focussize="0,0"/>
                <v:stroke weight="1.25pt" color="#000000" joinstyle="round"/>
                <v:imagedata o:title=""/>
                <o:lock v:ext="edit" aspectratio="f"/>
              </v:line>
            </w:pict>
          </mc:Fallback>
        </mc:AlternateContent>
      </w:r>
      <w:r>
        <w:rPr>
          <w:rFonts w:hint="eastAsia" w:ascii="仿宋_GB2312"/>
          <w:spacing w:val="17"/>
          <w:kern w:val="0"/>
          <w:sz w:val="28"/>
          <w:szCs w:val="28"/>
          <w:fitText w:val="2800" w:id="-2002491136"/>
        </w:rPr>
        <w:t>中共丽水市委办公</w:t>
      </w:r>
      <w:r>
        <w:rPr>
          <w:rFonts w:hint="eastAsia" w:ascii="仿宋_GB2312"/>
          <w:spacing w:val="4"/>
          <w:kern w:val="0"/>
          <w:sz w:val="28"/>
          <w:szCs w:val="28"/>
          <w:fitText w:val="2800" w:id="-2002491136"/>
        </w:rPr>
        <w:t>室</w:t>
      </w:r>
      <w:r>
        <w:rPr>
          <w:rFonts w:hint="eastAsia" w:ascii="仿宋_GB2312"/>
          <w:kern w:val="0"/>
          <w:sz w:val="28"/>
          <w:szCs w:val="28"/>
        </w:rPr>
        <w:t xml:space="preserve"> </w:t>
      </w:r>
      <w:r>
        <w:rPr>
          <w:rFonts w:hint="eastAsia" w:ascii="仿宋_GB2312"/>
          <w:sz w:val="28"/>
          <w:szCs w:val="28"/>
        </w:rPr>
        <w:t xml:space="preserve">                   2020年12月21日印发</w:t>
      </w:r>
    </w:p>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701" w:left="1531" w:header="851" w:footer="1418"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AAC7D6C-2184-4C0D-B2BB-1794F278B38A}"/>
  </w:font>
  <w:font w:name="黑体">
    <w:panose1 w:val="02010609060101010101"/>
    <w:charset w:val="86"/>
    <w:family w:val="auto"/>
    <w:pitch w:val="default"/>
    <w:sig w:usb0="800002BF" w:usb1="38CF7CFA" w:usb2="00000016" w:usb3="00000000" w:csb0="00040001" w:csb1="00000000"/>
    <w:embedRegular r:id="rId2" w:fontKey="{ED99E674-1E0C-4642-A261-C35211FEDF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49A8DD4-E85F-408E-8FD5-F6E464288004}"/>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embedRegular r:id="rId4" w:fontKey="{B23E49C5-5309-4598-98C1-041DCF3EBF85}"/>
  </w:font>
  <w:font w:name="方正小标宋简体">
    <w:panose1 w:val="02000000000000000000"/>
    <w:charset w:val="86"/>
    <w:family w:val="auto"/>
    <w:pitch w:val="default"/>
    <w:sig w:usb0="00000001" w:usb1="08000000" w:usb2="00000000" w:usb3="00000000" w:csb0="00040000" w:csb1="00000000"/>
    <w:embedRegular r:id="rId5" w:fontKey="{07A54983-45B0-48FD-8565-7B792ED9499F}"/>
  </w:font>
  <w:font w:name="仿宋">
    <w:panose1 w:val="02010609060101010101"/>
    <w:charset w:val="86"/>
    <w:family w:val="auto"/>
    <w:pitch w:val="default"/>
    <w:sig w:usb0="800002BF" w:usb1="38CF7CFA" w:usb2="00000016" w:usb3="00000000" w:csb0="00040001" w:csb1="00000000"/>
    <w:embedRegular r:id="rId6" w:fontKey="{402D4692-3BB7-4A04-BD32-4C9926A0680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7"/>
        <w:sz w:val="28"/>
        <w:szCs w:val="28"/>
      </w:rPr>
    </w:pPr>
    <w:r>
      <w:rPr>
        <w:rStyle w:val="17"/>
        <w:rFonts w:hint="eastAsia"/>
        <w:sz w:val="28"/>
        <w:szCs w:val="28"/>
      </w:rPr>
      <w:t xml:space="preserve">— </w:t>
    </w:r>
    <w:r>
      <w:rPr>
        <w:rStyle w:val="17"/>
        <w:rFonts w:ascii="Times New Roman" w:hAnsi="Times New Roman" w:cs="Times New Roman"/>
        <w:sz w:val="28"/>
        <w:szCs w:val="28"/>
      </w:rPr>
      <w:fldChar w:fldCharType="begin"/>
    </w:r>
    <w:r>
      <w:rPr>
        <w:rStyle w:val="17"/>
        <w:rFonts w:ascii="Times New Roman" w:hAnsi="Times New Roman" w:cs="Times New Roman"/>
        <w:sz w:val="28"/>
        <w:szCs w:val="28"/>
      </w:rPr>
      <w:instrText xml:space="preserve">PAGE  </w:instrText>
    </w:r>
    <w:r>
      <w:rPr>
        <w:rStyle w:val="17"/>
        <w:rFonts w:ascii="Times New Roman" w:hAnsi="Times New Roman" w:cs="Times New Roman"/>
        <w:sz w:val="28"/>
        <w:szCs w:val="28"/>
      </w:rPr>
      <w:fldChar w:fldCharType="separate"/>
    </w:r>
    <w:r>
      <w:rPr>
        <w:rStyle w:val="17"/>
        <w:rFonts w:ascii="Times New Roman" w:hAnsi="Times New Roman" w:cs="Times New Roman"/>
        <w:sz w:val="28"/>
        <w:szCs w:val="28"/>
      </w:rPr>
      <w:t>1</w:t>
    </w:r>
    <w:r>
      <w:rPr>
        <w:rStyle w:val="17"/>
        <w:rFonts w:ascii="Times New Roman" w:hAnsi="Times New Roman" w:cs="Times New Roman"/>
        <w:sz w:val="28"/>
        <w:szCs w:val="28"/>
      </w:rPr>
      <w:fldChar w:fldCharType="end"/>
    </w:r>
    <w:r>
      <w:rPr>
        <w:rStyle w:val="17"/>
        <w:rFonts w:hint="eastAsia"/>
        <w:sz w:val="28"/>
        <w:szCs w:val="28"/>
      </w:rPr>
      <w:t xml:space="preserve"> —</w:t>
    </w:r>
  </w:p>
  <w:p>
    <w:pPr>
      <w:pStyle w:val="1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ind w:firstLine="640"/>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fill on="f" focussize="0,0"/>
              <v:stroke on="f"/>
              <v:imagedata o:title=""/>
              <o:lock v:ext="edit" aspectratio="f"/>
              <v:textbox inset="0mm,0mm,0mm,0mm" style="mso-fit-shape-to-text:t;">
                <w:txbxContent>
                  <w:p>
                    <w:pPr>
                      <w:ind w:firstLine="64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7"/>
      </w:rPr>
    </w:pPr>
    <w:r>
      <w:rPr>
        <w:rStyle w:val="17"/>
      </w:rPr>
      <w:fldChar w:fldCharType="begin"/>
    </w:r>
    <w:r>
      <w:rPr>
        <w:rStyle w:val="17"/>
      </w:rPr>
      <w:instrText xml:space="preserve">PAGE  </w:instrText>
    </w:r>
    <w:r>
      <w:rPr>
        <w:rStyle w:val="17"/>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14701F"/>
    <w:rsid w:val="000750FE"/>
    <w:rsid w:val="000753D9"/>
    <w:rsid w:val="00082CB8"/>
    <w:rsid w:val="000C48D9"/>
    <w:rsid w:val="000E222E"/>
    <w:rsid w:val="00131B23"/>
    <w:rsid w:val="00132DDF"/>
    <w:rsid w:val="00133987"/>
    <w:rsid w:val="0014271C"/>
    <w:rsid w:val="0014701F"/>
    <w:rsid w:val="001524FC"/>
    <w:rsid w:val="0018644D"/>
    <w:rsid w:val="00187A69"/>
    <w:rsid w:val="001A3239"/>
    <w:rsid w:val="001D6129"/>
    <w:rsid w:val="001E6D0C"/>
    <w:rsid w:val="001F7789"/>
    <w:rsid w:val="00230F6A"/>
    <w:rsid w:val="00252EC9"/>
    <w:rsid w:val="00255A9D"/>
    <w:rsid w:val="00305777"/>
    <w:rsid w:val="00307C07"/>
    <w:rsid w:val="00327508"/>
    <w:rsid w:val="00365A6C"/>
    <w:rsid w:val="00375838"/>
    <w:rsid w:val="00387864"/>
    <w:rsid w:val="003A5C4D"/>
    <w:rsid w:val="003C7FEB"/>
    <w:rsid w:val="003F482A"/>
    <w:rsid w:val="00481BBC"/>
    <w:rsid w:val="004D79CA"/>
    <w:rsid w:val="004E069F"/>
    <w:rsid w:val="00546F7C"/>
    <w:rsid w:val="00566347"/>
    <w:rsid w:val="005C7EF0"/>
    <w:rsid w:val="00626B42"/>
    <w:rsid w:val="0064124D"/>
    <w:rsid w:val="006419E7"/>
    <w:rsid w:val="00645BF5"/>
    <w:rsid w:val="0066472B"/>
    <w:rsid w:val="00675ADE"/>
    <w:rsid w:val="006B2A78"/>
    <w:rsid w:val="006D4D6F"/>
    <w:rsid w:val="006D635C"/>
    <w:rsid w:val="006E6A59"/>
    <w:rsid w:val="006F4943"/>
    <w:rsid w:val="006F5C96"/>
    <w:rsid w:val="006F668A"/>
    <w:rsid w:val="006F78F3"/>
    <w:rsid w:val="007004F5"/>
    <w:rsid w:val="00735ECF"/>
    <w:rsid w:val="0074315D"/>
    <w:rsid w:val="007D418A"/>
    <w:rsid w:val="007D76B4"/>
    <w:rsid w:val="00804001"/>
    <w:rsid w:val="00815458"/>
    <w:rsid w:val="008819A4"/>
    <w:rsid w:val="00883C7B"/>
    <w:rsid w:val="008A025A"/>
    <w:rsid w:val="008B6550"/>
    <w:rsid w:val="008E264B"/>
    <w:rsid w:val="008F33BB"/>
    <w:rsid w:val="00936BE1"/>
    <w:rsid w:val="009634DC"/>
    <w:rsid w:val="0096773B"/>
    <w:rsid w:val="009721DF"/>
    <w:rsid w:val="009874C0"/>
    <w:rsid w:val="00990152"/>
    <w:rsid w:val="009A7E14"/>
    <w:rsid w:val="009D4B1B"/>
    <w:rsid w:val="009E5B90"/>
    <w:rsid w:val="009E6236"/>
    <w:rsid w:val="009F011C"/>
    <w:rsid w:val="00A14FC4"/>
    <w:rsid w:val="00A177A4"/>
    <w:rsid w:val="00A5033E"/>
    <w:rsid w:val="00AF0209"/>
    <w:rsid w:val="00AF13D6"/>
    <w:rsid w:val="00B42941"/>
    <w:rsid w:val="00B432B7"/>
    <w:rsid w:val="00BB7022"/>
    <w:rsid w:val="00BF143C"/>
    <w:rsid w:val="00C076F0"/>
    <w:rsid w:val="00C234D2"/>
    <w:rsid w:val="00C27978"/>
    <w:rsid w:val="00C36D70"/>
    <w:rsid w:val="00C44D7C"/>
    <w:rsid w:val="00C7082A"/>
    <w:rsid w:val="00C801E7"/>
    <w:rsid w:val="00CB624B"/>
    <w:rsid w:val="00CB7798"/>
    <w:rsid w:val="00CC24BD"/>
    <w:rsid w:val="00D33BBD"/>
    <w:rsid w:val="00D53971"/>
    <w:rsid w:val="00D86A8E"/>
    <w:rsid w:val="00D9486A"/>
    <w:rsid w:val="00DA3FC0"/>
    <w:rsid w:val="00DC0373"/>
    <w:rsid w:val="00DC25FB"/>
    <w:rsid w:val="00E24577"/>
    <w:rsid w:val="00E90DA3"/>
    <w:rsid w:val="00EA2F3A"/>
    <w:rsid w:val="00ED31FF"/>
    <w:rsid w:val="00EF6CD5"/>
    <w:rsid w:val="00F074B4"/>
    <w:rsid w:val="00F1470D"/>
    <w:rsid w:val="00F545DC"/>
    <w:rsid w:val="00F655D2"/>
    <w:rsid w:val="00F865CB"/>
    <w:rsid w:val="010122DD"/>
    <w:rsid w:val="01444C56"/>
    <w:rsid w:val="016A458F"/>
    <w:rsid w:val="0179172F"/>
    <w:rsid w:val="01A22750"/>
    <w:rsid w:val="01DD1C2D"/>
    <w:rsid w:val="021D6355"/>
    <w:rsid w:val="02376F96"/>
    <w:rsid w:val="02381146"/>
    <w:rsid w:val="024D1F93"/>
    <w:rsid w:val="02B22698"/>
    <w:rsid w:val="02B82899"/>
    <w:rsid w:val="02CB668A"/>
    <w:rsid w:val="03142274"/>
    <w:rsid w:val="03313AF2"/>
    <w:rsid w:val="035713BE"/>
    <w:rsid w:val="0391642F"/>
    <w:rsid w:val="03A630F3"/>
    <w:rsid w:val="03DB406D"/>
    <w:rsid w:val="03E06FD7"/>
    <w:rsid w:val="0432694D"/>
    <w:rsid w:val="04706A5F"/>
    <w:rsid w:val="04956EFB"/>
    <w:rsid w:val="04E21811"/>
    <w:rsid w:val="04F065A8"/>
    <w:rsid w:val="05255EBC"/>
    <w:rsid w:val="05541A09"/>
    <w:rsid w:val="05690E2E"/>
    <w:rsid w:val="057313AF"/>
    <w:rsid w:val="05C56E6A"/>
    <w:rsid w:val="0687554F"/>
    <w:rsid w:val="068C454C"/>
    <w:rsid w:val="06AC2816"/>
    <w:rsid w:val="06C21140"/>
    <w:rsid w:val="06DA547B"/>
    <w:rsid w:val="06DE2610"/>
    <w:rsid w:val="06DF7424"/>
    <w:rsid w:val="06E81EE3"/>
    <w:rsid w:val="07440550"/>
    <w:rsid w:val="07980348"/>
    <w:rsid w:val="07B233BA"/>
    <w:rsid w:val="07E56627"/>
    <w:rsid w:val="08361C51"/>
    <w:rsid w:val="088978FC"/>
    <w:rsid w:val="09274FF5"/>
    <w:rsid w:val="09331FCA"/>
    <w:rsid w:val="09445A4B"/>
    <w:rsid w:val="09584403"/>
    <w:rsid w:val="097B7D21"/>
    <w:rsid w:val="0A00700F"/>
    <w:rsid w:val="0A075693"/>
    <w:rsid w:val="0A273327"/>
    <w:rsid w:val="0A4379AE"/>
    <w:rsid w:val="0A4B52D6"/>
    <w:rsid w:val="0A7236E6"/>
    <w:rsid w:val="0A8073E6"/>
    <w:rsid w:val="0A943386"/>
    <w:rsid w:val="0AB86683"/>
    <w:rsid w:val="0AC0370B"/>
    <w:rsid w:val="0AC07715"/>
    <w:rsid w:val="0ADC16AB"/>
    <w:rsid w:val="0ADF472E"/>
    <w:rsid w:val="0AE565F6"/>
    <w:rsid w:val="0B0F5B82"/>
    <w:rsid w:val="0B5C6D52"/>
    <w:rsid w:val="0B6B082D"/>
    <w:rsid w:val="0B8768A6"/>
    <w:rsid w:val="0BF75EFF"/>
    <w:rsid w:val="0C0F1BA2"/>
    <w:rsid w:val="0C2F33A7"/>
    <w:rsid w:val="0C2F35B5"/>
    <w:rsid w:val="0C80665C"/>
    <w:rsid w:val="0C9638F7"/>
    <w:rsid w:val="0CAF32EA"/>
    <w:rsid w:val="0CE80CD7"/>
    <w:rsid w:val="0D32725F"/>
    <w:rsid w:val="0DC3395D"/>
    <w:rsid w:val="0DC93BA8"/>
    <w:rsid w:val="0DDE05B4"/>
    <w:rsid w:val="0E08597C"/>
    <w:rsid w:val="0E566236"/>
    <w:rsid w:val="0E7C7D8F"/>
    <w:rsid w:val="0EB51B60"/>
    <w:rsid w:val="0F067CEB"/>
    <w:rsid w:val="0F78768C"/>
    <w:rsid w:val="0F910E6F"/>
    <w:rsid w:val="0F9C484F"/>
    <w:rsid w:val="110B2FCD"/>
    <w:rsid w:val="111A504A"/>
    <w:rsid w:val="1197191F"/>
    <w:rsid w:val="11AC2957"/>
    <w:rsid w:val="11BE561F"/>
    <w:rsid w:val="11C1630A"/>
    <w:rsid w:val="12071442"/>
    <w:rsid w:val="123637AD"/>
    <w:rsid w:val="1290187F"/>
    <w:rsid w:val="12C223FA"/>
    <w:rsid w:val="12C45914"/>
    <w:rsid w:val="12FB06EA"/>
    <w:rsid w:val="136A79FC"/>
    <w:rsid w:val="138921FF"/>
    <w:rsid w:val="14107D46"/>
    <w:rsid w:val="142D7E4A"/>
    <w:rsid w:val="14682AD7"/>
    <w:rsid w:val="146A2F95"/>
    <w:rsid w:val="1478739C"/>
    <w:rsid w:val="14BF6C00"/>
    <w:rsid w:val="14CD0783"/>
    <w:rsid w:val="14DD5A97"/>
    <w:rsid w:val="14F44C46"/>
    <w:rsid w:val="151C0524"/>
    <w:rsid w:val="151F1ADE"/>
    <w:rsid w:val="152A4EB1"/>
    <w:rsid w:val="15E05182"/>
    <w:rsid w:val="15E11941"/>
    <w:rsid w:val="16685FB7"/>
    <w:rsid w:val="16864F7E"/>
    <w:rsid w:val="17922A90"/>
    <w:rsid w:val="182E4CA0"/>
    <w:rsid w:val="18C76C44"/>
    <w:rsid w:val="18CD5C8D"/>
    <w:rsid w:val="18D8470D"/>
    <w:rsid w:val="18EA6AEA"/>
    <w:rsid w:val="19046127"/>
    <w:rsid w:val="198A165F"/>
    <w:rsid w:val="199B737B"/>
    <w:rsid w:val="19B5610F"/>
    <w:rsid w:val="19D2778D"/>
    <w:rsid w:val="19EA6621"/>
    <w:rsid w:val="19F60E31"/>
    <w:rsid w:val="19FA5005"/>
    <w:rsid w:val="1A3B1E84"/>
    <w:rsid w:val="1A876B00"/>
    <w:rsid w:val="1AA01C01"/>
    <w:rsid w:val="1AC318BC"/>
    <w:rsid w:val="1ADF7141"/>
    <w:rsid w:val="1AE748DD"/>
    <w:rsid w:val="1B2638AE"/>
    <w:rsid w:val="1B5F7823"/>
    <w:rsid w:val="1B896AD2"/>
    <w:rsid w:val="1C01295F"/>
    <w:rsid w:val="1C0409B3"/>
    <w:rsid w:val="1C0F39A1"/>
    <w:rsid w:val="1C554AA1"/>
    <w:rsid w:val="1C8044B7"/>
    <w:rsid w:val="1C8E0849"/>
    <w:rsid w:val="1CB231BE"/>
    <w:rsid w:val="1CB24962"/>
    <w:rsid w:val="1CC47B44"/>
    <w:rsid w:val="1D566683"/>
    <w:rsid w:val="1DC45775"/>
    <w:rsid w:val="1DC81B25"/>
    <w:rsid w:val="1DD03398"/>
    <w:rsid w:val="1DF63884"/>
    <w:rsid w:val="1DFF0563"/>
    <w:rsid w:val="1E4A5CEA"/>
    <w:rsid w:val="1E943CEE"/>
    <w:rsid w:val="1EE75CC5"/>
    <w:rsid w:val="1F905298"/>
    <w:rsid w:val="1FBA3C39"/>
    <w:rsid w:val="1FD37C69"/>
    <w:rsid w:val="1FE95E2A"/>
    <w:rsid w:val="1FED258C"/>
    <w:rsid w:val="2006688A"/>
    <w:rsid w:val="20ED6A95"/>
    <w:rsid w:val="20EF39CA"/>
    <w:rsid w:val="210C6685"/>
    <w:rsid w:val="215B0FAD"/>
    <w:rsid w:val="21B761FD"/>
    <w:rsid w:val="21C3264B"/>
    <w:rsid w:val="22702971"/>
    <w:rsid w:val="22AD0C82"/>
    <w:rsid w:val="22C42F28"/>
    <w:rsid w:val="235D7ED5"/>
    <w:rsid w:val="23862E35"/>
    <w:rsid w:val="238D58A2"/>
    <w:rsid w:val="23901185"/>
    <w:rsid w:val="239C19BA"/>
    <w:rsid w:val="2415197E"/>
    <w:rsid w:val="2456333B"/>
    <w:rsid w:val="247468FB"/>
    <w:rsid w:val="24814FE9"/>
    <w:rsid w:val="24AA30B1"/>
    <w:rsid w:val="24DA74D2"/>
    <w:rsid w:val="25005306"/>
    <w:rsid w:val="2554075C"/>
    <w:rsid w:val="25545B4A"/>
    <w:rsid w:val="25AB3104"/>
    <w:rsid w:val="260D4059"/>
    <w:rsid w:val="26DB275C"/>
    <w:rsid w:val="27062161"/>
    <w:rsid w:val="270F6A89"/>
    <w:rsid w:val="27343301"/>
    <w:rsid w:val="277D70FB"/>
    <w:rsid w:val="281F4688"/>
    <w:rsid w:val="289C69CB"/>
    <w:rsid w:val="28C275CE"/>
    <w:rsid w:val="28EE0EA7"/>
    <w:rsid w:val="2913120F"/>
    <w:rsid w:val="29562322"/>
    <w:rsid w:val="29823CEB"/>
    <w:rsid w:val="29952C01"/>
    <w:rsid w:val="29B25A15"/>
    <w:rsid w:val="29C35477"/>
    <w:rsid w:val="2A0B3489"/>
    <w:rsid w:val="2A531A49"/>
    <w:rsid w:val="2A59051F"/>
    <w:rsid w:val="2A593682"/>
    <w:rsid w:val="2A7F38A9"/>
    <w:rsid w:val="2AF146F3"/>
    <w:rsid w:val="2B6C3B25"/>
    <w:rsid w:val="2BCA7876"/>
    <w:rsid w:val="2C872542"/>
    <w:rsid w:val="2C9E1620"/>
    <w:rsid w:val="2CC23CE7"/>
    <w:rsid w:val="2CE216D5"/>
    <w:rsid w:val="2CE34BAB"/>
    <w:rsid w:val="2D1129BD"/>
    <w:rsid w:val="2D450F4B"/>
    <w:rsid w:val="2D5D0ADA"/>
    <w:rsid w:val="2D9B34BC"/>
    <w:rsid w:val="2DE724ED"/>
    <w:rsid w:val="2DF34F10"/>
    <w:rsid w:val="2E8167B2"/>
    <w:rsid w:val="2E8324A5"/>
    <w:rsid w:val="2EBF3040"/>
    <w:rsid w:val="2F081CA8"/>
    <w:rsid w:val="2F587284"/>
    <w:rsid w:val="2F6C22AB"/>
    <w:rsid w:val="2FC551C9"/>
    <w:rsid w:val="2FD17208"/>
    <w:rsid w:val="2FD621F6"/>
    <w:rsid w:val="30550526"/>
    <w:rsid w:val="30BD6286"/>
    <w:rsid w:val="30C11966"/>
    <w:rsid w:val="30EA523B"/>
    <w:rsid w:val="31093E51"/>
    <w:rsid w:val="31176981"/>
    <w:rsid w:val="31496B24"/>
    <w:rsid w:val="320E010D"/>
    <w:rsid w:val="327D2BB2"/>
    <w:rsid w:val="32AE346F"/>
    <w:rsid w:val="32DA085F"/>
    <w:rsid w:val="332F45E9"/>
    <w:rsid w:val="334A0811"/>
    <w:rsid w:val="3357797D"/>
    <w:rsid w:val="339978C3"/>
    <w:rsid w:val="33CC2BE3"/>
    <w:rsid w:val="3422150F"/>
    <w:rsid w:val="34575FAC"/>
    <w:rsid w:val="348010C7"/>
    <w:rsid w:val="34867FE5"/>
    <w:rsid w:val="34CB62DE"/>
    <w:rsid w:val="34D80AF5"/>
    <w:rsid w:val="34DE7FA8"/>
    <w:rsid w:val="352018CA"/>
    <w:rsid w:val="353C3CFB"/>
    <w:rsid w:val="35971D24"/>
    <w:rsid w:val="35CA09F9"/>
    <w:rsid w:val="35FE772B"/>
    <w:rsid w:val="36565D62"/>
    <w:rsid w:val="36890ECE"/>
    <w:rsid w:val="368E0F8F"/>
    <w:rsid w:val="36CD1745"/>
    <w:rsid w:val="36D214C5"/>
    <w:rsid w:val="36EA3D5E"/>
    <w:rsid w:val="36FA35FA"/>
    <w:rsid w:val="370516F3"/>
    <w:rsid w:val="375E04EA"/>
    <w:rsid w:val="37724B77"/>
    <w:rsid w:val="37EC7A1C"/>
    <w:rsid w:val="38847D57"/>
    <w:rsid w:val="38B82199"/>
    <w:rsid w:val="38BB3FE1"/>
    <w:rsid w:val="38DB5B74"/>
    <w:rsid w:val="38F909B4"/>
    <w:rsid w:val="3912343D"/>
    <w:rsid w:val="391C330F"/>
    <w:rsid w:val="39636E52"/>
    <w:rsid w:val="39D54F58"/>
    <w:rsid w:val="39E75C59"/>
    <w:rsid w:val="3A402A2F"/>
    <w:rsid w:val="3A746868"/>
    <w:rsid w:val="3A78632E"/>
    <w:rsid w:val="3A875ECF"/>
    <w:rsid w:val="3AC41B0F"/>
    <w:rsid w:val="3B2B5FE6"/>
    <w:rsid w:val="3B2D7BB8"/>
    <w:rsid w:val="3B6F18F2"/>
    <w:rsid w:val="3B7D66B6"/>
    <w:rsid w:val="3BC4731C"/>
    <w:rsid w:val="3BDC72AD"/>
    <w:rsid w:val="3C1A09C9"/>
    <w:rsid w:val="3CC95E12"/>
    <w:rsid w:val="3CFC7995"/>
    <w:rsid w:val="3D0C3A5F"/>
    <w:rsid w:val="3D772B4F"/>
    <w:rsid w:val="3DAE0FAB"/>
    <w:rsid w:val="3DC2717F"/>
    <w:rsid w:val="3DE44BE2"/>
    <w:rsid w:val="3E073D3F"/>
    <w:rsid w:val="3E993890"/>
    <w:rsid w:val="3E9E014B"/>
    <w:rsid w:val="3EA3254B"/>
    <w:rsid w:val="3EC83FD4"/>
    <w:rsid w:val="3ED775C7"/>
    <w:rsid w:val="3ED92D71"/>
    <w:rsid w:val="3EEB41D8"/>
    <w:rsid w:val="3EFB43E3"/>
    <w:rsid w:val="3F395406"/>
    <w:rsid w:val="3F6F123A"/>
    <w:rsid w:val="3F716481"/>
    <w:rsid w:val="3FB53ED1"/>
    <w:rsid w:val="3FC91016"/>
    <w:rsid w:val="3FC91C30"/>
    <w:rsid w:val="3FC969B7"/>
    <w:rsid w:val="401E2BA0"/>
    <w:rsid w:val="40213949"/>
    <w:rsid w:val="403D7785"/>
    <w:rsid w:val="407E6E74"/>
    <w:rsid w:val="40EB6444"/>
    <w:rsid w:val="41174578"/>
    <w:rsid w:val="41FE17CF"/>
    <w:rsid w:val="420D0BE1"/>
    <w:rsid w:val="429C66D7"/>
    <w:rsid w:val="42BF5C90"/>
    <w:rsid w:val="42EC05D3"/>
    <w:rsid w:val="430666E6"/>
    <w:rsid w:val="433D2C87"/>
    <w:rsid w:val="43483E3A"/>
    <w:rsid w:val="4366652F"/>
    <w:rsid w:val="437E5251"/>
    <w:rsid w:val="438A34DB"/>
    <w:rsid w:val="439A7C81"/>
    <w:rsid w:val="43A10930"/>
    <w:rsid w:val="43B02D92"/>
    <w:rsid w:val="43ED7C80"/>
    <w:rsid w:val="445D5756"/>
    <w:rsid w:val="44F119E3"/>
    <w:rsid w:val="44F614DD"/>
    <w:rsid w:val="45262800"/>
    <w:rsid w:val="454422F6"/>
    <w:rsid w:val="457D4BA8"/>
    <w:rsid w:val="46680062"/>
    <w:rsid w:val="46C26BEA"/>
    <w:rsid w:val="46DA64BF"/>
    <w:rsid w:val="46DF4DCC"/>
    <w:rsid w:val="46F60177"/>
    <w:rsid w:val="47341AF8"/>
    <w:rsid w:val="47525B0E"/>
    <w:rsid w:val="47963842"/>
    <w:rsid w:val="48210CBE"/>
    <w:rsid w:val="4864273B"/>
    <w:rsid w:val="489A2E97"/>
    <w:rsid w:val="48C9477B"/>
    <w:rsid w:val="4919472C"/>
    <w:rsid w:val="491E503B"/>
    <w:rsid w:val="49771D42"/>
    <w:rsid w:val="49842CFD"/>
    <w:rsid w:val="49DA413E"/>
    <w:rsid w:val="49E50D25"/>
    <w:rsid w:val="49FA283D"/>
    <w:rsid w:val="4A28231A"/>
    <w:rsid w:val="4A565234"/>
    <w:rsid w:val="4A64132D"/>
    <w:rsid w:val="4A8B5325"/>
    <w:rsid w:val="4AB83868"/>
    <w:rsid w:val="4AFB5B43"/>
    <w:rsid w:val="4B124DD4"/>
    <w:rsid w:val="4B332EA3"/>
    <w:rsid w:val="4B39596D"/>
    <w:rsid w:val="4BB822BC"/>
    <w:rsid w:val="4BDE40CC"/>
    <w:rsid w:val="4BEC000E"/>
    <w:rsid w:val="4BF47612"/>
    <w:rsid w:val="4C2104A1"/>
    <w:rsid w:val="4C4E0BB2"/>
    <w:rsid w:val="4C53082E"/>
    <w:rsid w:val="4C546ABC"/>
    <w:rsid w:val="4C550A76"/>
    <w:rsid w:val="4C8778C4"/>
    <w:rsid w:val="4CBE2111"/>
    <w:rsid w:val="4CE62760"/>
    <w:rsid w:val="4CF71D69"/>
    <w:rsid w:val="4D0B20E6"/>
    <w:rsid w:val="4D1F12F4"/>
    <w:rsid w:val="4D3A07A3"/>
    <w:rsid w:val="4D5F44FD"/>
    <w:rsid w:val="4DDF49C1"/>
    <w:rsid w:val="4E014A40"/>
    <w:rsid w:val="4E1363AC"/>
    <w:rsid w:val="4E1A35DD"/>
    <w:rsid w:val="4ED2334C"/>
    <w:rsid w:val="4EFB56DF"/>
    <w:rsid w:val="4EFE36A9"/>
    <w:rsid w:val="4F4769C9"/>
    <w:rsid w:val="4F4D20D0"/>
    <w:rsid w:val="4F4E59D0"/>
    <w:rsid w:val="4F742B5F"/>
    <w:rsid w:val="4FA4000A"/>
    <w:rsid w:val="50364A74"/>
    <w:rsid w:val="50982650"/>
    <w:rsid w:val="50D4780A"/>
    <w:rsid w:val="512108A7"/>
    <w:rsid w:val="515C65D4"/>
    <w:rsid w:val="51763EB5"/>
    <w:rsid w:val="52DB1C35"/>
    <w:rsid w:val="52F37DCD"/>
    <w:rsid w:val="53177331"/>
    <w:rsid w:val="532529C7"/>
    <w:rsid w:val="53341A95"/>
    <w:rsid w:val="53442464"/>
    <w:rsid w:val="53452F47"/>
    <w:rsid w:val="542F79D7"/>
    <w:rsid w:val="54977958"/>
    <w:rsid w:val="54B20B7F"/>
    <w:rsid w:val="54CC0DF1"/>
    <w:rsid w:val="54CF3E16"/>
    <w:rsid w:val="54F9492F"/>
    <w:rsid w:val="55020867"/>
    <w:rsid w:val="5525074A"/>
    <w:rsid w:val="557C7AE2"/>
    <w:rsid w:val="558058D5"/>
    <w:rsid w:val="559C02FC"/>
    <w:rsid w:val="55A407A1"/>
    <w:rsid w:val="55CA597A"/>
    <w:rsid w:val="56087846"/>
    <w:rsid w:val="562852CE"/>
    <w:rsid w:val="567E7928"/>
    <w:rsid w:val="56886B73"/>
    <w:rsid w:val="56BE3AF6"/>
    <w:rsid w:val="57AF45E5"/>
    <w:rsid w:val="57E959EF"/>
    <w:rsid w:val="581525F7"/>
    <w:rsid w:val="583927DE"/>
    <w:rsid w:val="586109CD"/>
    <w:rsid w:val="58673849"/>
    <w:rsid w:val="586F2AA9"/>
    <w:rsid w:val="58CB0725"/>
    <w:rsid w:val="58DA576F"/>
    <w:rsid w:val="59647A26"/>
    <w:rsid w:val="59B5759B"/>
    <w:rsid w:val="5A3A25EE"/>
    <w:rsid w:val="5A3F3CA5"/>
    <w:rsid w:val="5A706053"/>
    <w:rsid w:val="5A7B14C8"/>
    <w:rsid w:val="5A895D87"/>
    <w:rsid w:val="5AB1356C"/>
    <w:rsid w:val="5ADC5F6C"/>
    <w:rsid w:val="5AEF0CC7"/>
    <w:rsid w:val="5B352125"/>
    <w:rsid w:val="5B7B20BB"/>
    <w:rsid w:val="5B864F66"/>
    <w:rsid w:val="5C4F26F7"/>
    <w:rsid w:val="5CA23D7B"/>
    <w:rsid w:val="5CAF3ECB"/>
    <w:rsid w:val="5CBA2658"/>
    <w:rsid w:val="5CE10430"/>
    <w:rsid w:val="5D1A515B"/>
    <w:rsid w:val="5D2A5E97"/>
    <w:rsid w:val="5D5074BF"/>
    <w:rsid w:val="5D581B3D"/>
    <w:rsid w:val="5D6A11CD"/>
    <w:rsid w:val="5D831586"/>
    <w:rsid w:val="5DD34C74"/>
    <w:rsid w:val="5E091B6F"/>
    <w:rsid w:val="5E9F5534"/>
    <w:rsid w:val="5EBA01BF"/>
    <w:rsid w:val="5F3921F0"/>
    <w:rsid w:val="5F784AB9"/>
    <w:rsid w:val="5F7D4CB3"/>
    <w:rsid w:val="5F9F1779"/>
    <w:rsid w:val="6009546E"/>
    <w:rsid w:val="60577180"/>
    <w:rsid w:val="6083379F"/>
    <w:rsid w:val="608E3852"/>
    <w:rsid w:val="60D351C8"/>
    <w:rsid w:val="60DB6563"/>
    <w:rsid w:val="611074B1"/>
    <w:rsid w:val="61630DD5"/>
    <w:rsid w:val="61982A35"/>
    <w:rsid w:val="61A32F32"/>
    <w:rsid w:val="620106AA"/>
    <w:rsid w:val="622C0B52"/>
    <w:rsid w:val="62680537"/>
    <w:rsid w:val="627C605C"/>
    <w:rsid w:val="629F5198"/>
    <w:rsid w:val="62C8182C"/>
    <w:rsid w:val="62D05B49"/>
    <w:rsid w:val="62F907A6"/>
    <w:rsid w:val="630F492F"/>
    <w:rsid w:val="63103010"/>
    <w:rsid w:val="63AA2218"/>
    <w:rsid w:val="63F205FD"/>
    <w:rsid w:val="643C58D1"/>
    <w:rsid w:val="64782289"/>
    <w:rsid w:val="647A3E21"/>
    <w:rsid w:val="647E763C"/>
    <w:rsid w:val="64C146FB"/>
    <w:rsid w:val="6666115B"/>
    <w:rsid w:val="66DC6CE0"/>
    <w:rsid w:val="66E741C2"/>
    <w:rsid w:val="674B69C1"/>
    <w:rsid w:val="675409B5"/>
    <w:rsid w:val="677318DE"/>
    <w:rsid w:val="677E08D5"/>
    <w:rsid w:val="67945A99"/>
    <w:rsid w:val="67B71186"/>
    <w:rsid w:val="680765EC"/>
    <w:rsid w:val="684833E0"/>
    <w:rsid w:val="6898246D"/>
    <w:rsid w:val="68D97AF0"/>
    <w:rsid w:val="68F16149"/>
    <w:rsid w:val="6920013B"/>
    <w:rsid w:val="692366EF"/>
    <w:rsid w:val="69927BF1"/>
    <w:rsid w:val="69AF29F2"/>
    <w:rsid w:val="69B6392A"/>
    <w:rsid w:val="69F0027C"/>
    <w:rsid w:val="69F20C38"/>
    <w:rsid w:val="6A04360A"/>
    <w:rsid w:val="6A0A09ED"/>
    <w:rsid w:val="6A244C3F"/>
    <w:rsid w:val="6A6C0875"/>
    <w:rsid w:val="6AFD14FE"/>
    <w:rsid w:val="6BA315B9"/>
    <w:rsid w:val="6BB27253"/>
    <w:rsid w:val="6BBC3830"/>
    <w:rsid w:val="6C2364D8"/>
    <w:rsid w:val="6C766AFC"/>
    <w:rsid w:val="6CA25D09"/>
    <w:rsid w:val="6D552982"/>
    <w:rsid w:val="6DD16CCC"/>
    <w:rsid w:val="6E0D1301"/>
    <w:rsid w:val="6E1367A6"/>
    <w:rsid w:val="6E382A73"/>
    <w:rsid w:val="6E6C2230"/>
    <w:rsid w:val="6E6D3E7E"/>
    <w:rsid w:val="6E7207D4"/>
    <w:rsid w:val="6E9848FF"/>
    <w:rsid w:val="6ECB3C14"/>
    <w:rsid w:val="6ED45E0E"/>
    <w:rsid w:val="6EDB10C9"/>
    <w:rsid w:val="6FA004A9"/>
    <w:rsid w:val="6FCD7986"/>
    <w:rsid w:val="6FF96CC8"/>
    <w:rsid w:val="70082C61"/>
    <w:rsid w:val="7063314F"/>
    <w:rsid w:val="706E591D"/>
    <w:rsid w:val="70E3273F"/>
    <w:rsid w:val="70FD6D3E"/>
    <w:rsid w:val="71234C08"/>
    <w:rsid w:val="71327AFE"/>
    <w:rsid w:val="71F25AF5"/>
    <w:rsid w:val="720D0020"/>
    <w:rsid w:val="72315709"/>
    <w:rsid w:val="72663878"/>
    <w:rsid w:val="72F80318"/>
    <w:rsid w:val="72FD597E"/>
    <w:rsid w:val="733423C6"/>
    <w:rsid w:val="73724827"/>
    <w:rsid w:val="741716A6"/>
    <w:rsid w:val="745B00FB"/>
    <w:rsid w:val="74AC3E02"/>
    <w:rsid w:val="74B66CCE"/>
    <w:rsid w:val="74C87261"/>
    <w:rsid w:val="74F00F0B"/>
    <w:rsid w:val="75295940"/>
    <w:rsid w:val="755E3C46"/>
    <w:rsid w:val="75673748"/>
    <w:rsid w:val="7588638B"/>
    <w:rsid w:val="75891581"/>
    <w:rsid w:val="758D02C9"/>
    <w:rsid w:val="75C1082B"/>
    <w:rsid w:val="75D96CFE"/>
    <w:rsid w:val="75E771EA"/>
    <w:rsid w:val="76144A43"/>
    <w:rsid w:val="76355986"/>
    <w:rsid w:val="76474F52"/>
    <w:rsid w:val="765510C0"/>
    <w:rsid w:val="76C0145A"/>
    <w:rsid w:val="76CD6C66"/>
    <w:rsid w:val="76FB4AC3"/>
    <w:rsid w:val="776A22AF"/>
    <w:rsid w:val="779E4B29"/>
    <w:rsid w:val="779F004E"/>
    <w:rsid w:val="77BE4C8C"/>
    <w:rsid w:val="77E34173"/>
    <w:rsid w:val="78484E9C"/>
    <w:rsid w:val="78936829"/>
    <w:rsid w:val="789F6AC5"/>
    <w:rsid w:val="78CB5A2C"/>
    <w:rsid w:val="79265797"/>
    <w:rsid w:val="79356F3A"/>
    <w:rsid w:val="79361818"/>
    <w:rsid w:val="793E39E2"/>
    <w:rsid w:val="796233E3"/>
    <w:rsid w:val="79BA3D3D"/>
    <w:rsid w:val="79EE277A"/>
    <w:rsid w:val="7A004730"/>
    <w:rsid w:val="7A0C1200"/>
    <w:rsid w:val="7A160C05"/>
    <w:rsid w:val="7A7F48BC"/>
    <w:rsid w:val="7AD662A4"/>
    <w:rsid w:val="7AE678B1"/>
    <w:rsid w:val="7AFB24E7"/>
    <w:rsid w:val="7B736695"/>
    <w:rsid w:val="7B7E1A68"/>
    <w:rsid w:val="7BC56FF1"/>
    <w:rsid w:val="7BEA1B4A"/>
    <w:rsid w:val="7BFD490C"/>
    <w:rsid w:val="7C115D26"/>
    <w:rsid w:val="7C5609D9"/>
    <w:rsid w:val="7CC822FF"/>
    <w:rsid w:val="7D306720"/>
    <w:rsid w:val="7D730625"/>
    <w:rsid w:val="7DB94C96"/>
    <w:rsid w:val="7DC20440"/>
    <w:rsid w:val="7DC80243"/>
    <w:rsid w:val="7DE8484D"/>
    <w:rsid w:val="7DE877B9"/>
    <w:rsid w:val="7E0B378A"/>
    <w:rsid w:val="7E67262D"/>
    <w:rsid w:val="7E8C7561"/>
    <w:rsid w:val="7EA4371E"/>
    <w:rsid w:val="7EB5263C"/>
    <w:rsid w:val="7ECF670C"/>
    <w:rsid w:val="7EDC5DAB"/>
    <w:rsid w:val="7F265C86"/>
    <w:rsid w:val="7F5C4395"/>
    <w:rsid w:val="7F8B1435"/>
    <w:rsid w:val="7F9829CF"/>
    <w:rsid w:val="7F9A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80" w:lineRule="exact"/>
      <w:ind w:firstLine="880" w:firstLineChars="200"/>
      <w:jc w:val="both"/>
    </w:pPr>
    <w:rPr>
      <w:rFonts w:ascii="Calibri" w:hAnsi="Calibri" w:eastAsia="仿宋_GB2312" w:cs="宋体"/>
      <w:kern w:val="2"/>
      <w:sz w:val="32"/>
      <w:szCs w:val="22"/>
      <w:lang w:val="en-US" w:eastAsia="zh-CN" w:bidi="ar-SA"/>
    </w:rPr>
  </w:style>
  <w:style w:type="paragraph" w:styleId="5">
    <w:name w:val="heading 1"/>
    <w:basedOn w:val="1"/>
    <w:next w:val="1"/>
    <w:autoRedefine/>
    <w:qFormat/>
    <w:uiPriority w:val="0"/>
    <w:pPr>
      <w:keepNext/>
      <w:keepLines/>
      <w:jc w:val="center"/>
      <w:outlineLvl w:val="0"/>
    </w:pPr>
    <w:rPr>
      <w:rFonts w:eastAsia="黑体"/>
      <w:kern w:val="44"/>
      <w:sz w:val="36"/>
    </w:rPr>
  </w:style>
  <w:style w:type="paragraph" w:styleId="6">
    <w:name w:val="heading 2"/>
    <w:basedOn w:val="1"/>
    <w:next w:val="1"/>
    <w:autoRedefine/>
    <w:qFormat/>
    <w:uiPriority w:val="0"/>
    <w:pPr>
      <w:keepNext/>
      <w:keepLines/>
      <w:outlineLvl w:val="1"/>
    </w:pPr>
    <w:rPr>
      <w:rFonts w:ascii="Arial" w:hAnsi="Arial"/>
      <w:b/>
    </w:rPr>
  </w:style>
  <w:style w:type="paragraph" w:styleId="7">
    <w:name w:val="heading 3"/>
    <w:basedOn w:val="1"/>
    <w:next w:val="1"/>
    <w:autoRedefine/>
    <w:qFormat/>
    <w:uiPriority w:val="0"/>
    <w:pPr>
      <w:keepNext/>
      <w:keepLines/>
      <w:outlineLvl w:val="2"/>
    </w:pPr>
    <w:rPr>
      <w:b/>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next w:val="3"/>
    <w:autoRedefine/>
    <w:qFormat/>
    <w:uiPriority w:val="0"/>
    <w:pPr>
      <w:widowControl w:val="0"/>
      <w:adjustRightInd w:val="0"/>
      <w:spacing w:line="420" w:lineRule="atLeast"/>
      <w:textAlignment w:val="baseline"/>
    </w:pPr>
    <w:rPr>
      <w:rFonts w:ascii="Calibri" w:hAnsi="Calibri" w:eastAsia="宋体" w:cs="Times New Roman"/>
      <w:sz w:val="21"/>
      <w:szCs w:val="24"/>
      <w:lang w:val="en-US" w:eastAsia="zh-CN" w:bidi="ar-SA"/>
    </w:rPr>
  </w:style>
  <w:style w:type="paragraph" w:styleId="3">
    <w:name w:val="Body Text"/>
    <w:next w:val="4"/>
    <w:autoRedefine/>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4">
    <w:name w:val="Body Text First Indent"/>
    <w:autoRedefine/>
    <w:qFormat/>
    <w:uiPriority w:val="0"/>
    <w:pPr>
      <w:widowControl w:val="0"/>
      <w:spacing w:line="500" w:lineRule="exact"/>
      <w:ind w:firstLine="420" w:firstLineChars="200"/>
      <w:jc w:val="both"/>
    </w:pPr>
    <w:rPr>
      <w:rFonts w:ascii="Times New Roman" w:hAnsi="Times New Roman" w:eastAsia="宋体" w:cs="Times New Roman"/>
      <w:kern w:val="2"/>
      <w:sz w:val="28"/>
      <w:szCs w:val="28"/>
      <w:lang w:val="en-US" w:eastAsia="zh-CN" w:bidi="ar-SA"/>
    </w:rPr>
  </w:style>
  <w:style w:type="paragraph" w:styleId="8">
    <w:name w:val="toa heading"/>
    <w:basedOn w:val="1"/>
    <w:next w:val="1"/>
    <w:autoRedefine/>
    <w:unhideWhenUsed/>
    <w:qFormat/>
    <w:uiPriority w:val="99"/>
    <w:pPr>
      <w:spacing w:before="120" w:line="240" w:lineRule="auto"/>
      <w:ind w:firstLine="0" w:firstLineChars="0"/>
    </w:pPr>
    <w:rPr>
      <w:rFonts w:eastAsia="宋体" w:asciiTheme="majorHAnsi" w:hAnsiTheme="majorHAnsi" w:cstheme="majorBidi"/>
      <w:sz w:val="24"/>
      <w:szCs w:val="24"/>
    </w:rPr>
  </w:style>
  <w:style w:type="paragraph" w:styleId="9">
    <w:name w:val="Block Text"/>
    <w:basedOn w:val="1"/>
    <w:autoRedefine/>
    <w:unhideWhenUsed/>
    <w:qFormat/>
    <w:uiPriority w:val="0"/>
    <w:pPr>
      <w:spacing w:after="120" w:line="240" w:lineRule="auto"/>
      <w:ind w:left="1440" w:leftChars="700" w:right="700" w:rightChars="700" w:firstLine="0" w:firstLineChars="0"/>
    </w:pPr>
    <w:rPr>
      <w:rFonts w:hint="eastAsia" w:eastAsia="宋体" w:cs="Times New Roman"/>
      <w:szCs w:val="21"/>
    </w:rPr>
  </w:style>
  <w:style w:type="paragraph" w:styleId="10">
    <w:name w:val="endnote text"/>
    <w:link w:val="19"/>
    <w:autoRedefine/>
    <w:qFormat/>
    <w:uiPriority w:val="0"/>
    <w:pPr>
      <w:widowControl w:val="0"/>
      <w:jc w:val="both"/>
    </w:pPr>
    <w:rPr>
      <w:rFonts w:ascii="Calibri" w:hAnsi="Calibri" w:eastAsia="宋体" w:cs="Times New Roman"/>
      <w:kern w:val="2"/>
      <w:sz w:val="21"/>
      <w:szCs w:val="24"/>
      <w:lang w:val="en-US" w:eastAsia="zh-CN" w:bidi="ar-SA"/>
    </w:rPr>
  </w:style>
  <w:style w:type="paragraph" w:styleId="11">
    <w:name w:val="Balloon Text"/>
    <w:basedOn w:val="1"/>
    <w:link w:val="18"/>
    <w:autoRedefine/>
    <w:qFormat/>
    <w:uiPriority w:val="0"/>
    <w:pPr>
      <w:spacing w:line="240" w:lineRule="auto"/>
    </w:pPr>
    <w:rPr>
      <w:sz w:val="18"/>
      <w:szCs w:val="18"/>
    </w:rPr>
  </w:style>
  <w:style w:type="paragraph" w:styleId="12">
    <w:name w:val="footer"/>
    <w:basedOn w:val="1"/>
    <w:link w:val="20"/>
    <w:autoRedefine/>
    <w:qFormat/>
    <w:uiPriority w:val="99"/>
    <w:pPr>
      <w:tabs>
        <w:tab w:val="center" w:pos="4153"/>
        <w:tab w:val="right" w:pos="8306"/>
      </w:tabs>
      <w:snapToGrid w:val="0"/>
      <w:jc w:val="left"/>
    </w:pPr>
    <w:rPr>
      <w:sz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Normal (Web)"/>
    <w:basedOn w:val="1"/>
    <w:autoRedefine/>
    <w:qFormat/>
    <w:uiPriority w:val="99"/>
    <w:pPr>
      <w:widowControl/>
      <w:spacing w:before="100" w:beforeAutospacing="1" w:after="100" w:afterAutospacing="1" w:line="240" w:lineRule="auto"/>
      <w:ind w:firstLine="480" w:firstLineChars="0"/>
      <w:jc w:val="left"/>
    </w:pPr>
    <w:rPr>
      <w:rFonts w:ascii="宋体" w:hAnsi="宋体" w:eastAsia="宋体"/>
      <w:kern w:val="0"/>
      <w:sz w:val="24"/>
      <w:szCs w:val="24"/>
    </w:rPr>
  </w:style>
  <w:style w:type="character" w:styleId="17">
    <w:name w:val="page number"/>
    <w:basedOn w:val="16"/>
    <w:autoRedefine/>
    <w:qFormat/>
    <w:uiPriority w:val="0"/>
  </w:style>
  <w:style w:type="character" w:customStyle="1" w:styleId="18">
    <w:name w:val="批注框文本 Char"/>
    <w:basedOn w:val="16"/>
    <w:link w:val="11"/>
    <w:autoRedefine/>
    <w:qFormat/>
    <w:uiPriority w:val="0"/>
    <w:rPr>
      <w:rFonts w:ascii="Calibri" w:hAnsi="Calibri" w:eastAsia="仿宋_GB2312" w:cs="宋体"/>
      <w:kern w:val="2"/>
      <w:sz w:val="18"/>
      <w:szCs w:val="18"/>
    </w:rPr>
  </w:style>
  <w:style w:type="character" w:customStyle="1" w:styleId="19">
    <w:name w:val="尾注文本 Char"/>
    <w:basedOn w:val="16"/>
    <w:link w:val="10"/>
    <w:autoRedefine/>
    <w:qFormat/>
    <w:uiPriority w:val="0"/>
    <w:rPr>
      <w:rFonts w:ascii="Calibri" w:hAnsi="Calibri"/>
      <w:kern w:val="2"/>
      <w:sz w:val="21"/>
      <w:szCs w:val="24"/>
    </w:rPr>
  </w:style>
  <w:style w:type="character" w:customStyle="1" w:styleId="20">
    <w:name w:val="页脚 Char"/>
    <w:basedOn w:val="16"/>
    <w:link w:val="12"/>
    <w:autoRedefine/>
    <w:qFormat/>
    <w:uiPriority w:val="99"/>
    <w:rPr>
      <w:rFonts w:ascii="Calibri" w:hAnsi="Calibri" w:eastAsia="仿宋_GB2312" w:cs="宋体"/>
      <w:kern w:val="2"/>
      <w:sz w:val="18"/>
      <w:szCs w:val="22"/>
    </w:rPr>
  </w:style>
  <w:style w:type="paragraph" w:customStyle="1" w:styleId="21">
    <w:name w:val="Default"/>
    <w:autoRedefine/>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0C215-4F4D-4099-9F40-D1EC7C8EC4A5}">
  <ds:schemaRefs/>
</ds:datastoreItem>
</file>

<file path=docProps/app.xml><?xml version="1.0" encoding="utf-8"?>
<Properties xmlns="http://schemas.openxmlformats.org/officeDocument/2006/extended-properties" xmlns:vt="http://schemas.openxmlformats.org/officeDocument/2006/docPropsVTypes">
  <Template>Normal</Template>
  <Company>www.jujumao.org</Company>
  <Pages>56</Pages>
  <Words>28828</Words>
  <Characters>29154</Characters>
  <Lines>209</Lines>
  <Paragraphs>59</Paragraphs>
  <TotalTime>50</TotalTime>
  <ScaleCrop>false</ScaleCrop>
  <LinksUpToDate>false</LinksUpToDate>
  <CharactersWithSpaces>29256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2020-12-29T08:24:00Z</dcterms:created>
  <dc:creator>Administrator</dc:creator>
  <cp:lastModifiedBy>Icarus</cp:lastModifiedBy>
  <cp:lastPrinted>2020-12-22T01:49:00Z</cp:lastPrinted>
  <dcterms:modified xsi:type="dcterms:W3CDTF">2024-02-22T01:36:53Z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C8C5AB388CBD4272B22836800A3AD9D4</vt:lpwstr>
  </property>
  <property fmtid="{D5CDD505-2E9C-101B-9397-08002B2CF9AE}" pid="4" name="commondata">
    <vt:lpwstr>eyJoZGlkIjoiMTgyNTgxNjlhMjdhMjVhYjFhMzg5OWFiZDcwNDY3NDkifQ==</vt:lpwstr>
  </property>
</Properties>
</file>