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1928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丽水市质量检验检测研究院药品监管专项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2249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补助资金绩效自评报告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一、绩效目标分解下达情况</w:t>
      </w:r>
    </w:p>
    <w:p>
      <w:pPr>
        <w:adjustRightInd w:val="0"/>
        <w:spacing w:line="560" w:lineRule="exact"/>
        <w:ind w:firstLine="800" w:firstLineChars="2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根据工作职能和省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药品监督管理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局下达的绩效目标要求编制年初预算项目绩效目标，一是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开展药品监督抽检工作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制定浙江省中药配方颗粒标准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资金投入情况分析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项目资金到位情况：</w:t>
      </w:r>
      <w:r>
        <w:rPr>
          <w:rFonts w:hint="eastAsia" w:ascii="仿宋" w:hAnsi="仿宋" w:eastAsia="仿宋"/>
          <w:sz w:val="30"/>
          <w:szCs w:val="30"/>
        </w:rPr>
        <w:t>根据《浙江省</w:t>
      </w:r>
      <w:r>
        <w:rPr>
          <w:rFonts w:hint="eastAsia" w:ascii="仿宋" w:hAnsi="仿宋" w:eastAsia="仿宋"/>
          <w:sz w:val="30"/>
          <w:szCs w:val="30"/>
          <w:lang w:eastAsia="zh-CN"/>
        </w:rPr>
        <w:t>财政厅</w:t>
      </w:r>
      <w:r>
        <w:rPr>
          <w:rFonts w:hint="eastAsia" w:ascii="仿宋" w:hAnsi="仿宋" w:eastAsia="仿宋"/>
          <w:sz w:val="30"/>
          <w:szCs w:val="30"/>
        </w:rPr>
        <w:t>关于提前下达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/>
          <w:sz w:val="30"/>
          <w:szCs w:val="30"/>
        </w:rPr>
        <w:t>年药品安全监管专项资金的通知》（浙</w:t>
      </w:r>
      <w:r>
        <w:rPr>
          <w:rFonts w:hint="eastAsia" w:ascii="仿宋" w:hAnsi="仿宋" w:eastAsia="仿宋"/>
          <w:sz w:val="30"/>
          <w:szCs w:val="30"/>
          <w:lang w:eastAsia="zh-CN"/>
        </w:rPr>
        <w:t>财行</w:t>
      </w:r>
      <w:r>
        <w:rPr>
          <w:rFonts w:hint="eastAsia" w:ascii="仿宋" w:hAnsi="仿宋" w:eastAsia="仿宋"/>
          <w:sz w:val="30"/>
          <w:szCs w:val="30"/>
        </w:rPr>
        <w:t>【20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56</w:t>
      </w:r>
      <w:r>
        <w:rPr>
          <w:rFonts w:hint="eastAsia" w:ascii="仿宋" w:hAnsi="仿宋" w:eastAsia="仿宋"/>
          <w:sz w:val="30"/>
          <w:szCs w:val="30"/>
        </w:rPr>
        <w:t>号）</w:t>
      </w:r>
      <w:r>
        <w:rPr>
          <w:rFonts w:hint="eastAsia" w:ascii="仿宋" w:hAnsi="仿宋" w:eastAsia="仿宋"/>
          <w:sz w:val="30"/>
          <w:szCs w:val="30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，下达丽水质量检验检测研究院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预算为67.45万元，其中省级药品抽检58.25万元，地方药品标准制定9.2万元。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项目资金执行情况分析：执行数67.45万元，执行率100%。</w:t>
      </w:r>
    </w:p>
    <w:p>
      <w:pPr>
        <w:pStyle w:val="4"/>
        <w:widowControl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3、项目资金管理情况分析: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上述资金均已列入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年度预算，各专项资金的拨付及管理均采用国库集中支付，且严格执行资金审批拨付制度。不存在财政部门统筹、截留、挪用、调剂等情况。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年，我单位已使用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药品监管专项资金67.45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药品抽检，地方药品标准制定支出。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绩效目标完成情况分析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数量指标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完成情况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2021年药品安全监管专项省级药品抽检58.25万，完成了省级基本药物抽样批次80批，省级增补药物抽样和检验40份批，合格率100%; </w:t>
      </w:r>
      <w:r>
        <w:rPr>
          <w:rFonts w:hint="default" w:ascii="仿宋" w:hAnsi="仿宋" w:eastAsia="仿宋"/>
          <w:sz w:val="30"/>
          <w:szCs w:val="30"/>
          <w:lang w:eastAsia="zh-CN"/>
        </w:rPr>
        <w:t>监督检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验</w:t>
      </w:r>
      <w:r>
        <w:rPr>
          <w:rFonts w:hint="default" w:ascii="仿宋" w:hAnsi="仿宋" w:eastAsia="仿宋"/>
          <w:sz w:val="30"/>
          <w:szCs w:val="30"/>
          <w:lang w:eastAsia="zh-CN"/>
        </w:rPr>
        <w:t>502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批</w:t>
      </w:r>
      <w:r>
        <w:rPr>
          <w:rFonts w:hint="default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不合格3批，合格率99.4%;</w:t>
      </w:r>
      <w:r>
        <w:rPr>
          <w:rFonts w:hint="default" w:ascii="仿宋" w:hAnsi="仿宋" w:eastAsia="仿宋"/>
          <w:sz w:val="30"/>
          <w:szCs w:val="30"/>
          <w:lang w:eastAsia="zh-CN"/>
        </w:rPr>
        <w:t>药品质量风险考核品种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益母草颗粒55批次的常规检验，完成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检验报告55份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，并开展探索性研究，完成《益母草颗粒质量分析报告》</w:t>
      </w:r>
      <w:r>
        <w:rPr>
          <w:rFonts w:hint="default" w:ascii="仿宋" w:hAnsi="仿宋" w:eastAsia="仿宋"/>
          <w:sz w:val="30"/>
          <w:szCs w:val="30"/>
          <w:lang w:eastAsia="zh-CN"/>
        </w:rPr>
        <w:t>，发现了一些潜在的质量风险并上报省局省院，参加了质量研究报告现场评议。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地方药品标准制定</w:t>
      </w:r>
      <w:r>
        <w:rPr>
          <w:rFonts w:hint="default" w:ascii="仿宋" w:hAnsi="仿宋" w:eastAsia="仿宋"/>
          <w:sz w:val="30"/>
          <w:szCs w:val="30"/>
          <w:lang w:eastAsia="zh-CN"/>
        </w:rPr>
        <w:t>补助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9.2万，完成了省局分配的中药配方颗粒五个品种的复核任务</w:t>
      </w:r>
      <w:r>
        <w:rPr>
          <w:rFonts w:hint="default" w:ascii="仿宋" w:hAnsi="仿宋" w:eastAsia="仿宋"/>
          <w:sz w:val="30"/>
          <w:szCs w:val="30"/>
          <w:lang w:eastAsia="zh-CN"/>
        </w:rPr>
        <w:t>，检验配方颗粒样品16批，发出5份标准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复核</w:t>
      </w:r>
      <w:r>
        <w:rPr>
          <w:rFonts w:hint="default" w:ascii="仿宋" w:hAnsi="仿宋" w:eastAsia="仿宋"/>
          <w:sz w:val="30"/>
          <w:szCs w:val="30"/>
          <w:lang w:eastAsia="zh-CN"/>
        </w:rPr>
        <w:t>意见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社会效益完成情况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：药品总体安全水平不断提高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lang w:eastAsia="zh-CN"/>
        </w:rPr>
        <w:t>服务对象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满意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 xml:space="preserve">度指标完成情况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b w:val="0"/>
          <w:bCs/>
          <w:color w:val="000000"/>
          <w:sz w:val="32"/>
          <w:szCs w:val="32"/>
          <w:lang w:eastAsia="zh-CN"/>
        </w:rPr>
        <w:t>公众对医疗器械监管满意度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80%，实际完成指标值为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spacing w:line="560" w:lineRule="exact"/>
        <w:rPr>
          <w:color w:val="000000"/>
        </w:rPr>
      </w:pPr>
    </w:p>
    <w:p>
      <w:pPr>
        <w:spacing w:line="440" w:lineRule="exact"/>
        <w:ind w:firstLine="694" w:firstLineChars="192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项目单位自评基本情况表</w:t>
      </w:r>
    </w:p>
    <w:p>
      <w:pPr>
        <w:spacing w:line="440" w:lineRule="exact"/>
        <w:ind w:firstLine="614" w:firstLineChars="192"/>
        <w:jc w:val="left"/>
        <w:rPr>
          <w:rFonts w:hint="eastAsia" w:ascii="仿宋_GB2312" w:eastAsia="仿宋_GB2312"/>
          <w:sz w:val="32"/>
        </w:rPr>
      </w:pPr>
    </w:p>
    <w:p>
      <w:pPr>
        <w:spacing w:line="440" w:lineRule="exact"/>
        <w:ind w:firstLine="614" w:firstLineChars="192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" w:hAnsi="仿宋" w:eastAsia="仿宋"/>
          <w:color w:val="000000"/>
          <w:kern w:val="0"/>
          <w:sz w:val="30"/>
          <w:lang w:val="en-US" w:eastAsia="zh-CN"/>
        </w:rPr>
        <w:t>2021年药品安全监管专项</w:t>
      </w:r>
    </w:p>
    <w:tbl>
      <w:tblPr>
        <w:tblStyle w:val="5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667"/>
        <w:gridCol w:w="42"/>
        <w:gridCol w:w="1079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邹小龙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0578-26610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 址</w:t>
            </w:r>
          </w:p>
        </w:tc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中山街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395号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2021.1</w:t>
            </w:r>
            <w:r>
              <w:rPr>
                <w:rFonts w:hint="eastAsia" w:ascii="仿宋_GB2312" w:eastAsia="仿宋_GB2312"/>
                <w:sz w:val="32"/>
              </w:rPr>
              <w:t>～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4"/>
              </w:rPr>
              <w:t>预算金额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67.45</w:t>
            </w:r>
          </w:p>
        </w:tc>
        <w:tc>
          <w:tcPr>
            <w:tcW w:w="23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其中：中央财政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67.45</w:t>
            </w: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支出内容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lang w:eastAsia="zh-CN"/>
              </w:rPr>
              <w:t>药品抽检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58.25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地方药品标准制定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9.2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67.45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三、项目绩效目标完成情况（简要）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项目绩效目标及实施计划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预期及调整情况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pacing w:line="560" w:lineRule="exact"/>
              <w:ind w:firstLine="525" w:firstLineChars="250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sz w:val="21"/>
              </w:rPr>
              <w:t>一是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开展药品监督抽检工作</w:t>
            </w:r>
            <w:r>
              <w:rPr>
                <w:rFonts w:hint="eastAsia" w:ascii="仿宋_GB2312" w:eastAsia="仿宋_GB2312"/>
                <w:sz w:val="21"/>
              </w:rPr>
              <w:t>。二是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制定浙江省中药配方颗粒标准</w:t>
            </w:r>
            <w:r>
              <w:rPr>
                <w:rFonts w:hint="eastAsia" w:ascii="仿宋_GB2312" w:eastAsia="仿宋_GB2312"/>
                <w:sz w:val="21"/>
              </w:rPr>
              <w:t>。</w:t>
            </w:r>
          </w:p>
          <w:p>
            <w:pPr>
              <w:rPr>
                <w:rFonts w:hint="eastAsia"/>
                <w:sz w:val="21"/>
              </w:rPr>
            </w:pP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1"/>
                <w:lang w:val="en-US" w:eastAsia="zh-CN"/>
              </w:rPr>
              <w:t xml:space="preserve">完成了省级基本药物抽样批次80批，省级增补药物抽样和检验40份批，合格率100%; 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监督检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验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502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批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不合格3批，合格率99.4%;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药品质量风险考核品种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益母草颗粒55批次的常规检验，完成检验报告55份，并开展探索性研究，完成《益母草颗粒质量分析报告》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，发现了一些潜在的质量风险并上报省局省院，参加了质量研究报告现场评议。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地方药品标准制定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补助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9.2万，完成了省局分配的中药配方颗粒五个品种的复核任务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，检验配方颗粒样品16批，发出5份标准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复核</w:t>
            </w:r>
            <w:r>
              <w:rPr>
                <w:rFonts w:hint="eastAsia" w:ascii="仿宋_GB2312" w:eastAsia="仿宋_GB2312"/>
                <w:sz w:val="21"/>
                <w:lang w:eastAsia="zh-CN"/>
              </w:rPr>
              <w:t>意见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自评结论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陈琴鸣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检验检测研究院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副院长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13867050709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吴查清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检验检测研究院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药品质量检测中心主任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13567608551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卢海宁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市检验检测研究院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会计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15268775916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五、项目单位（评价机构）意见：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优秀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（盖章）</w:t>
            </w:r>
          </w:p>
          <w:p>
            <w:pPr>
              <w:ind w:firstLine="4340" w:firstLineChars="155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六、主管部门审核意见：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4EFC6"/>
    <w:multiLevelType w:val="singleLevel"/>
    <w:tmpl w:val="B054EFC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6A0BB22"/>
    <w:multiLevelType w:val="singleLevel"/>
    <w:tmpl w:val="76A0BB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6A0F25E"/>
    <w:multiLevelType w:val="singleLevel"/>
    <w:tmpl w:val="76A0F25E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0C4F"/>
    <w:rsid w:val="00CD58C5"/>
    <w:rsid w:val="029474FD"/>
    <w:rsid w:val="06FE3CB4"/>
    <w:rsid w:val="07420565"/>
    <w:rsid w:val="0782344A"/>
    <w:rsid w:val="098B104C"/>
    <w:rsid w:val="09A75F0C"/>
    <w:rsid w:val="10462EA0"/>
    <w:rsid w:val="13ED3F39"/>
    <w:rsid w:val="14B56BCE"/>
    <w:rsid w:val="18D3180C"/>
    <w:rsid w:val="19624041"/>
    <w:rsid w:val="21500930"/>
    <w:rsid w:val="221A72CD"/>
    <w:rsid w:val="23495344"/>
    <w:rsid w:val="241A4C63"/>
    <w:rsid w:val="247F18A2"/>
    <w:rsid w:val="2C7A4EA5"/>
    <w:rsid w:val="2E441D05"/>
    <w:rsid w:val="2EE71E34"/>
    <w:rsid w:val="30DC0C4F"/>
    <w:rsid w:val="38B822F6"/>
    <w:rsid w:val="39FE00C3"/>
    <w:rsid w:val="3D0270EC"/>
    <w:rsid w:val="3E5E56B9"/>
    <w:rsid w:val="41E624AD"/>
    <w:rsid w:val="43237951"/>
    <w:rsid w:val="462057BC"/>
    <w:rsid w:val="4A8E2B32"/>
    <w:rsid w:val="4C7658E4"/>
    <w:rsid w:val="4DC14A29"/>
    <w:rsid w:val="4EFF2AAD"/>
    <w:rsid w:val="51554AAA"/>
    <w:rsid w:val="56765F30"/>
    <w:rsid w:val="56777CFB"/>
    <w:rsid w:val="61845F13"/>
    <w:rsid w:val="66E864B5"/>
    <w:rsid w:val="6C004F39"/>
    <w:rsid w:val="6FA26AFE"/>
    <w:rsid w:val="71847EB5"/>
    <w:rsid w:val="75E675DD"/>
    <w:rsid w:val="7835217C"/>
    <w:rsid w:val="79436DFE"/>
    <w:rsid w:val="795B69BE"/>
    <w:rsid w:val="79E14ACD"/>
    <w:rsid w:val="7A4773A1"/>
    <w:rsid w:val="7A5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hint="eastAsia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2020-12-31T06:21:00Z</dcterms:created>
  <dc:creator>朱海莺</dc:creator>
  <cp:lastModifiedBy>admin</cp:lastModifiedBy>
  <cp:lastPrinted>2021-01-05T06:11:00Z</cp:lastPrinted>
  <dcterms:modified xsi:type="dcterms:W3CDTF">2022-09-01T09:37:10Z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