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黑体" w:hAnsi="黑体" w:eastAsia="黑体" w:cs="黑体"/>
          <w:lang w:val="en"/>
        </w:rPr>
      </w:pPr>
      <w:bookmarkStart w:id="32" w:name="_GoBack"/>
      <w:bookmarkEnd w:id="32"/>
      <w:r>
        <w:rPr>
          <w:rFonts w:hint="default" w:ascii="黑体" w:hAnsi="黑体" w:eastAsia="黑体" w:cs="黑体"/>
          <w:lang w:val="en"/>
        </w:rPr>
        <w:t>附件</w:t>
      </w:r>
    </w:p>
    <w:p/>
    <w:p/>
    <w:p>
      <w:pPr>
        <w:ind w:left="0" w:leftChars="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丽水市数字政府建设“十四五”规划</w:t>
      </w:r>
    </w:p>
    <w:p>
      <w:pPr>
        <w:ind w:left="0" w:leftChars="0" w:firstLine="0" w:firstLineChars="0"/>
        <w:jc w:val="center"/>
        <w:rPr>
          <w:rFonts w:hint="eastAsia" w:ascii="楷体" w:hAnsi="楷体" w:eastAsia="楷体" w:cs="楷体"/>
          <w:b w:val="0"/>
          <w:bCs w:val="0"/>
          <w:sz w:val="32"/>
          <w:szCs w:val="32"/>
        </w:rPr>
      </w:pPr>
      <w:r>
        <w:rPr>
          <w:rFonts w:hint="eastAsia" w:ascii="楷体" w:hAnsi="楷体" w:eastAsia="楷体" w:cs="楷体"/>
          <w:b w:val="0"/>
          <w:bCs w:val="0"/>
          <w:sz w:val="32"/>
          <w:szCs w:val="32"/>
        </w:rPr>
        <w:t>（征求意见稿）</w:t>
      </w:r>
    </w:p>
    <w:p/>
    <w:p/>
    <w:p/>
    <w:p>
      <w:pPr>
        <w:ind w:firstLine="1044"/>
        <w:jc w:val="center"/>
        <w:rPr>
          <w:b/>
          <w:bCs/>
          <w:sz w:val="52"/>
          <w:szCs w:val="44"/>
        </w:rPr>
      </w:pPr>
    </w:p>
    <w:p>
      <w:pPr>
        <w:ind w:firstLine="1044"/>
        <w:jc w:val="center"/>
        <w:rPr>
          <w:b/>
          <w:bCs/>
          <w:sz w:val="52"/>
          <w:szCs w:val="44"/>
        </w:rPr>
      </w:pPr>
    </w:p>
    <w:p/>
    <w:p/>
    <w:p/>
    <w:p/>
    <w:p/>
    <w:p/>
    <w:p/>
    <w:p>
      <w:pPr>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丽水市大数据发展管理局</w:t>
      </w:r>
    </w:p>
    <w:p>
      <w:pPr>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w:t>
      </w: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rPr>
        <w:t>月</w:t>
      </w:r>
    </w:p>
    <w:p>
      <w:r>
        <w:br w:type="page"/>
      </w:r>
    </w:p>
    <w:p>
      <w:pPr>
        <w:ind w:firstLine="720"/>
        <w:jc w:val="center"/>
        <w:rPr>
          <w:rFonts w:ascii="方正小标宋简体" w:eastAsia="方正小标宋简体"/>
          <w:sz w:val="36"/>
          <w:szCs w:val="28"/>
        </w:rPr>
      </w:pPr>
      <w:r>
        <w:rPr>
          <w:rFonts w:hint="eastAsia" w:ascii="方正小标宋简体" w:eastAsia="方正小标宋简体"/>
          <w:sz w:val="36"/>
          <w:szCs w:val="28"/>
        </w:rPr>
        <w:t>目</w:t>
      </w:r>
      <w:r>
        <w:rPr>
          <w:rFonts w:hint="eastAsia" w:ascii="方正小标宋简体" w:eastAsia="方正小标宋简体"/>
          <w:sz w:val="36"/>
          <w:szCs w:val="28"/>
          <w:lang w:val="en-US" w:eastAsia="zh-CN"/>
        </w:rPr>
        <w:t xml:space="preserve">  </w:t>
      </w:r>
      <w:r>
        <w:rPr>
          <w:rFonts w:hint="eastAsia" w:ascii="方正小标宋简体" w:eastAsia="方正小标宋简体"/>
          <w:sz w:val="36"/>
          <w:szCs w:val="28"/>
        </w:rPr>
        <w:t>录</w:t>
      </w:r>
    </w:p>
    <w:p>
      <w:pPr>
        <w:pStyle w:val="12"/>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TOC \o "1-3" \h \z \u </w:instrText>
      </w:r>
      <w:r>
        <w:fldChar w:fldCharType="separate"/>
      </w:r>
      <w:r>
        <w:fldChar w:fldCharType="begin"/>
      </w:r>
      <w:r>
        <w:instrText xml:space="preserve"> HYPERLINK \l "_Toc85209989" </w:instrText>
      </w:r>
      <w:r>
        <w:fldChar w:fldCharType="separate"/>
      </w:r>
      <w:r>
        <w:rPr>
          <w:rStyle w:val="22"/>
        </w:rPr>
        <w:t>前  言</w:t>
      </w:r>
      <w:r>
        <w:tab/>
      </w:r>
      <w:r>
        <w:fldChar w:fldCharType="begin"/>
      </w:r>
      <w:r>
        <w:instrText xml:space="preserve"> PAGEREF _Toc85209989 \h </w:instrText>
      </w:r>
      <w:r>
        <w:fldChar w:fldCharType="separate"/>
      </w:r>
      <w:r>
        <w:t>1</w:t>
      </w:r>
      <w:r>
        <w:fldChar w:fldCharType="end"/>
      </w:r>
      <w:r>
        <w:fldChar w:fldCharType="end"/>
      </w:r>
    </w:p>
    <w:p>
      <w:pPr>
        <w:pStyle w:val="12"/>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"_Toc85209990" </w:instrText>
      </w:r>
      <w:r>
        <w:fldChar w:fldCharType="separate"/>
      </w:r>
      <w:r>
        <w:rPr>
          <w:rStyle w:val="22"/>
        </w:rPr>
        <w:t>一、建设背景</w:t>
      </w:r>
      <w:r>
        <w:tab/>
      </w:r>
      <w:r>
        <w:fldChar w:fldCharType="begin"/>
      </w:r>
      <w:r>
        <w:instrText xml:space="preserve"> PAGEREF _Toc85209990 \h </w:instrText>
      </w:r>
      <w:r>
        <w:fldChar w:fldCharType="separate"/>
      </w:r>
      <w:r>
        <w:t>3</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"_Toc85209991" </w:instrText>
      </w:r>
      <w:r>
        <w:fldChar w:fldCharType="separate"/>
      </w:r>
      <w:r>
        <w:rPr>
          <w:rStyle w:val="22"/>
          <w:lang w:bidi="zh-CN"/>
          <w14:scene3d>
            <w14:lightRig w14:rig="threePt" w14:dir="t">
              <w14:rot w14:lat="0" w14:lon="0" w14:rev="0"/>
            </w14:lightRig>
          </w14:scene3d>
        </w:rPr>
        <w:t>（一）</w:t>
      </w:r>
      <w:r>
        <w:rPr>
          <w:rStyle w:val="22"/>
        </w:rPr>
        <w:t>现实基础</w:t>
      </w:r>
      <w:r>
        <w:tab/>
      </w:r>
      <w:r>
        <w:fldChar w:fldCharType="begin"/>
      </w:r>
      <w:r>
        <w:instrText xml:space="preserve"> PAGEREF _Toc85209991 \h </w:instrText>
      </w:r>
      <w:r>
        <w:fldChar w:fldCharType="separate"/>
      </w:r>
      <w:r>
        <w:t>3</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"_Toc85209992" </w:instrText>
      </w:r>
      <w:r>
        <w:fldChar w:fldCharType="separate"/>
      </w:r>
      <w:r>
        <w:rPr>
          <w:rStyle w:val="22"/>
          <w:lang w:bidi="zh-CN"/>
          <w14:scene3d>
            <w14:lightRig w14:rig="threePt" w14:dir="t">
              <w14:rot w14:lat="0" w14:lon="0" w14:rev="0"/>
            </w14:lightRig>
          </w14:scene3d>
        </w:rPr>
        <w:t>（二）</w:t>
      </w:r>
      <w:r>
        <w:rPr>
          <w:rStyle w:val="22"/>
        </w:rPr>
        <w:t>发展环境</w:t>
      </w:r>
      <w:r>
        <w:tab/>
      </w:r>
      <w:r>
        <w:fldChar w:fldCharType="begin"/>
      </w:r>
      <w:r>
        <w:instrText xml:space="preserve"> PAGEREF _Toc85209992 \h </w:instrText>
      </w:r>
      <w:r>
        <w:fldChar w:fldCharType="separate"/>
      </w:r>
      <w:r>
        <w:t>5</w:t>
      </w:r>
      <w:r>
        <w:fldChar w:fldCharType="end"/>
      </w:r>
      <w:r>
        <w:fldChar w:fldCharType="end"/>
      </w:r>
    </w:p>
    <w:p>
      <w:pPr>
        <w:pStyle w:val="12"/>
        <w:tabs>
          <w:tab w:val="right" w:leader="dot" w:pos="8296"/>
        </w:tabs>
        <w:rPr>
          <w:rFonts w:asciiTheme="minorHAnsi" w:hAnsiTheme="minorHAnsi" w:eastAsiaTheme="minorEastAsia"/>
          <w:color w:val="auto"/>
          <w:sz w:val="21"/>
          <w:szCs w:val="22"/>
        </w:rPr>
      </w:pPr>
      <w:r>
        <w:fldChar w:fldCharType="begin"/>
      </w:r>
      <w:r>
        <w:instrText xml:space="preserve"> HYPERLINK \l "_Toc85209993" </w:instrText>
      </w:r>
      <w:r>
        <w:fldChar w:fldCharType="separate"/>
      </w:r>
      <w:r>
        <w:rPr>
          <w:rStyle w:val="22"/>
        </w:rPr>
        <w:t>二、总体要求</w:t>
      </w:r>
      <w:r>
        <w:tab/>
      </w:r>
      <w:r>
        <w:fldChar w:fldCharType="begin"/>
      </w:r>
      <w:r>
        <w:instrText xml:space="preserve"> PAGEREF _Toc85209993 \h </w:instrText>
      </w:r>
      <w:r>
        <w:fldChar w:fldCharType="separate"/>
      </w:r>
      <w:r>
        <w:t>7</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"_Toc85209994" </w:instrText>
      </w:r>
      <w:r>
        <w:fldChar w:fldCharType="separate"/>
      </w:r>
      <w:r>
        <w:rPr>
          <w:rStyle w:val="22"/>
          <w:lang w:bidi="zh-CN"/>
          <w14:scene3d>
            <w14:lightRig w14:rig="threePt" w14:dir="t">
              <w14:rot w14:lat="0" w14:lon="0" w14:rev="0"/>
            </w14:lightRig>
          </w14:scene3d>
        </w:rPr>
        <w:t>（一）</w:t>
      </w:r>
      <w:r>
        <w:rPr>
          <w:rStyle w:val="22"/>
        </w:rPr>
        <w:t>指导思想</w:t>
      </w:r>
      <w:r>
        <w:tab/>
      </w:r>
      <w:r>
        <w:fldChar w:fldCharType="begin"/>
      </w:r>
      <w:r>
        <w:instrText xml:space="preserve"> PAGEREF _Toc85209994 \h </w:instrText>
      </w:r>
      <w:r>
        <w:fldChar w:fldCharType="separate"/>
      </w:r>
      <w:r>
        <w:t>7</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"_Toc85209995" </w:instrText>
      </w:r>
      <w:r>
        <w:fldChar w:fldCharType="separate"/>
      </w:r>
      <w:r>
        <w:rPr>
          <w:rStyle w:val="22"/>
          <w:lang w:bidi="zh-CN"/>
          <w14:scene3d>
            <w14:lightRig w14:rig="threePt" w14:dir="t">
              <w14:rot w14:lat="0" w14:lon="0" w14:rev="0"/>
            </w14:lightRig>
          </w14:scene3d>
        </w:rPr>
        <w:t>（二）</w:t>
      </w:r>
      <w:r>
        <w:rPr>
          <w:rStyle w:val="22"/>
        </w:rPr>
        <w:t>基本原则</w:t>
      </w:r>
      <w:r>
        <w:tab/>
      </w:r>
      <w:r>
        <w:fldChar w:fldCharType="begin"/>
      </w:r>
      <w:r>
        <w:instrText xml:space="preserve"> PAGEREF _Toc85209995 \h </w:instrText>
      </w:r>
      <w:r>
        <w:fldChar w:fldCharType="separate"/>
      </w:r>
      <w:r>
        <w:t>8</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"_Toc85209996" </w:instrText>
      </w:r>
      <w:r>
        <w:fldChar w:fldCharType="separate"/>
      </w:r>
      <w:r>
        <w:rPr>
          <w:rStyle w:val="22"/>
          <w:lang w:bidi="zh-CN"/>
          <w14:scene3d>
            <w14:lightRig w14:rig="threePt" w14:dir="t">
              <w14:rot w14:lat="0" w14:lon="0" w14:rev="0"/>
            </w14:lightRig>
          </w14:scene3d>
        </w:rPr>
        <w:t>（三）</w:t>
      </w:r>
      <w:r>
        <w:rPr>
          <w:rStyle w:val="22"/>
        </w:rPr>
        <w:t>发展目标</w:t>
      </w:r>
      <w:r>
        <w:tab/>
      </w:r>
      <w:r>
        <w:fldChar w:fldCharType="begin"/>
      </w:r>
      <w:r>
        <w:instrText xml:space="preserve"> PAGEREF _Toc85209996 \h </w:instrText>
      </w:r>
      <w:r>
        <w:fldChar w:fldCharType="separate"/>
      </w:r>
      <w:r>
        <w:t>9</w:t>
      </w:r>
      <w:r>
        <w:fldChar w:fldCharType="end"/>
      </w:r>
      <w:r>
        <w:fldChar w:fldCharType="end"/>
      </w:r>
    </w:p>
    <w:p>
      <w:pPr>
        <w:pStyle w:val="12"/>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"_Toc85209997" </w:instrText>
      </w:r>
      <w:r>
        <w:fldChar w:fldCharType="separate"/>
      </w:r>
      <w:r>
        <w:rPr>
          <w:rStyle w:val="22"/>
        </w:rPr>
        <w:t>三、主要任务</w:t>
      </w:r>
      <w:r>
        <w:tab/>
      </w:r>
      <w:r>
        <w:fldChar w:fldCharType="begin"/>
      </w:r>
      <w:r>
        <w:instrText xml:space="preserve"> PAGEREF _Toc85209997 \h </w:instrText>
      </w:r>
      <w:r>
        <w:fldChar w:fldCharType="separate"/>
      </w:r>
      <w:r>
        <w:t>12</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"_Toc85209998" </w:instrText>
      </w:r>
      <w:r>
        <w:fldChar w:fldCharType="separate"/>
      </w:r>
      <w:r>
        <w:rPr>
          <w:rStyle w:val="22"/>
          <w:lang w:bidi="zh-CN"/>
          <w14:scene3d>
            <w14:lightRig w14:rig="threePt" w14:dir="t">
              <w14:rot w14:lat="0" w14:lon="0" w14:rev="0"/>
            </w14:lightRig>
          </w14:scene3d>
        </w:rPr>
        <w:t>（一）</w:t>
      </w:r>
      <w:r>
        <w:rPr>
          <w:rStyle w:val="22"/>
        </w:rPr>
        <w:t>围绕行政效能提升，推进政府业务运行高效化</w:t>
      </w:r>
      <w:r>
        <w:tab/>
      </w:r>
      <w:r>
        <w:fldChar w:fldCharType="begin"/>
      </w:r>
      <w:r>
        <w:instrText xml:space="preserve"> PAGEREF _Toc85209998 \h </w:instrText>
      </w:r>
      <w:r>
        <w:fldChar w:fldCharType="separate"/>
      </w:r>
      <w:r>
        <w:t>12</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"_Toc85209999" </w:instrText>
      </w:r>
      <w:r>
        <w:fldChar w:fldCharType="separate"/>
      </w:r>
      <w:r>
        <w:rPr>
          <w:rStyle w:val="22"/>
          <w:lang w:bidi="zh-CN"/>
          <w14:scene3d>
            <w14:lightRig w14:rig="threePt" w14:dir="t">
              <w14:rot w14:lat="0" w14:lon="0" w14:rev="0"/>
            </w14:lightRig>
          </w14:scene3d>
        </w:rPr>
        <w:t>（二）</w:t>
      </w:r>
      <w:r>
        <w:rPr>
          <w:rStyle w:val="22"/>
        </w:rPr>
        <w:t>围绕生活品质提高，推进民生保障服务精细化</w:t>
      </w:r>
      <w:r>
        <w:tab/>
      </w:r>
      <w:r>
        <w:fldChar w:fldCharType="begin"/>
      </w:r>
      <w:r>
        <w:instrText xml:space="preserve"> PAGEREF _Toc85209999 \h </w:instrText>
      </w:r>
      <w:r>
        <w:fldChar w:fldCharType="separate"/>
      </w:r>
      <w:r>
        <w:t>13</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"_Toc85210000" </w:instrText>
      </w:r>
      <w:r>
        <w:fldChar w:fldCharType="separate"/>
      </w:r>
      <w:r>
        <w:rPr>
          <w:rStyle w:val="22"/>
          <w:lang w:bidi="zh-CN"/>
          <w14:scene3d>
            <w14:lightRig w14:rig="threePt" w14:dir="t">
              <w14:rot w14:lat="0" w14:lon="0" w14:rev="0"/>
            </w14:lightRig>
          </w14:scene3d>
        </w:rPr>
        <w:t>（三）</w:t>
      </w:r>
      <w:r>
        <w:rPr>
          <w:rStyle w:val="22"/>
        </w:rPr>
        <w:t>围绕高质量绿色发展，推进经济运行调节现代化</w:t>
      </w:r>
      <w:r>
        <w:tab/>
      </w:r>
      <w:r>
        <w:fldChar w:fldCharType="begin"/>
      </w:r>
      <w:r>
        <w:instrText xml:space="preserve"> PAGEREF _Toc85210000 \h </w:instrText>
      </w:r>
      <w:r>
        <w:fldChar w:fldCharType="separate"/>
      </w:r>
      <w:r>
        <w:t>14</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"_Toc85210001" </w:instrText>
      </w:r>
      <w:r>
        <w:fldChar w:fldCharType="separate"/>
      </w:r>
      <w:r>
        <w:rPr>
          <w:rStyle w:val="22"/>
          <w:lang w:bidi="zh-CN"/>
          <w14:scene3d>
            <w14:lightRig w14:rig="threePt" w14:dir="t">
              <w14:rot w14:lat="0" w14:lon="0" w14:rev="0"/>
            </w14:lightRig>
          </w14:scene3d>
        </w:rPr>
        <w:t>（四）</w:t>
      </w:r>
      <w:r>
        <w:rPr>
          <w:rStyle w:val="22"/>
        </w:rPr>
        <w:t>围绕市域善治样板打造，推进社会协同治理系统化</w:t>
      </w:r>
      <w:r>
        <w:tab/>
      </w:r>
      <w:r>
        <w:fldChar w:fldCharType="begin"/>
      </w:r>
      <w:r>
        <w:instrText xml:space="preserve"> PAGEREF _Toc85210001 \h </w:instrText>
      </w:r>
      <w:r>
        <w:fldChar w:fldCharType="separate"/>
      </w:r>
      <w:r>
        <w:t>17</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"_Toc85210002" </w:instrText>
      </w:r>
      <w:r>
        <w:fldChar w:fldCharType="separate"/>
      </w:r>
      <w:r>
        <w:rPr>
          <w:rStyle w:val="22"/>
          <w:lang w:bidi="zh-CN"/>
          <w14:scene3d>
            <w14:lightRig w14:rig="threePt" w14:dir="t">
              <w14:rot w14:lat="0" w14:lon="0" w14:rev="0"/>
            </w14:lightRig>
          </w14:scene3d>
        </w:rPr>
        <w:t>（五）</w:t>
      </w:r>
      <w:r>
        <w:rPr>
          <w:rStyle w:val="22"/>
        </w:rPr>
        <w:t>围绕数字孪生城市构建，推进城市综合管理智慧化</w:t>
      </w:r>
      <w:r>
        <w:tab/>
      </w:r>
      <w:r>
        <w:fldChar w:fldCharType="begin"/>
      </w:r>
      <w:r>
        <w:instrText xml:space="preserve"> PAGEREF _Toc85210002 \h </w:instrText>
      </w:r>
      <w:r>
        <w:fldChar w:fldCharType="separate"/>
      </w:r>
      <w:r>
        <w:t>19</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"_Toc85210003" </w:instrText>
      </w:r>
      <w:r>
        <w:fldChar w:fldCharType="separate"/>
      </w:r>
      <w:r>
        <w:rPr>
          <w:rStyle w:val="22"/>
          <w:lang w:bidi="zh-CN"/>
          <w14:scene3d>
            <w14:lightRig w14:rig="threePt" w14:dir="t">
              <w14:rot w14:lat="0" w14:lon="0" w14:rev="0"/>
            </w14:lightRig>
          </w14:scene3d>
        </w:rPr>
        <w:t>（六）</w:t>
      </w:r>
      <w:r>
        <w:rPr>
          <w:rStyle w:val="22"/>
        </w:rPr>
        <w:t>围绕大花园核心区建设，推进区域生态保护智能化</w:t>
      </w:r>
      <w:r>
        <w:tab/>
      </w:r>
      <w:r>
        <w:fldChar w:fldCharType="begin"/>
      </w:r>
      <w:r>
        <w:instrText xml:space="preserve"> PAGEREF _Toc85210003 \h </w:instrText>
      </w:r>
      <w:r>
        <w:fldChar w:fldCharType="separate"/>
      </w:r>
      <w:r>
        <w:t>21</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"_Toc85210004" </w:instrText>
      </w:r>
      <w:r>
        <w:fldChar w:fldCharType="separate"/>
      </w:r>
      <w:r>
        <w:rPr>
          <w:rStyle w:val="22"/>
          <w:lang w:bidi="zh-CN"/>
          <w14:scene3d>
            <w14:lightRig w14:rig="threePt" w14:dir="t">
              <w14:rot w14:lat="0" w14:lon="0" w14:rev="0"/>
            </w14:lightRig>
          </w14:scene3d>
        </w:rPr>
        <w:t>（七）</w:t>
      </w:r>
      <w:r>
        <w:rPr>
          <w:rStyle w:val="22"/>
        </w:rPr>
        <w:t>围绕平安丽水建设，推进安全应急管理精准化</w:t>
      </w:r>
      <w:r>
        <w:tab/>
      </w:r>
      <w:r>
        <w:fldChar w:fldCharType="begin"/>
      </w:r>
      <w:r>
        <w:instrText xml:space="preserve"> PAGEREF _Toc85210004 \h </w:instrText>
      </w:r>
      <w:r>
        <w:fldChar w:fldCharType="separate"/>
      </w:r>
      <w:r>
        <w:t>22</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"_Toc85210005" </w:instrText>
      </w:r>
      <w:r>
        <w:fldChar w:fldCharType="separate"/>
      </w:r>
      <w:r>
        <w:rPr>
          <w:rStyle w:val="22"/>
          <w:lang w:bidi="zh-CN"/>
          <w14:scene3d>
            <w14:lightRig w14:rig="threePt" w14:dir="t">
              <w14:rot w14:lat="0" w14:lon="0" w14:rev="0"/>
            </w14:lightRig>
          </w14:scene3d>
        </w:rPr>
        <w:t>（八）</w:t>
      </w:r>
      <w:r>
        <w:rPr>
          <w:rStyle w:val="22"/>
        </w:rPr>
        <w:t>围绕数字政府高效运</w:t>
      </w:r>
      <w:r>
        <w:rPr>
          <w:rStyle w:val="22"/>
          <w:rFonts w:hint="eastAsia"/>
          <w:lang w:eastAsia="zh-CN"/>
        </w:rPr>
        <w:t>行</w:t>
      </w:r>
      <w:r>
        <w:rPr>
          <w:rStyle w:val="22"/>
        </w:rPr>
        <w:t>，推进技术支撑平台集成化</w:t>
      </w:r>
      <w:r>
        <w:tab/>
      </w:r>
      <w:r>
        <w:fldChar w:fldCharType="begin"/>
      </w:r>
      <w:r>
        <w:instrText xml:space="preserve"> PAGEREF _Toc85210005 \h </w:instrText>
      </w:r>
      <w:r>
        <w:fldChar w:fldCharType="separate"/>
      </w:r>
      <w:r>
        <w:t>24</w:t>
      </w:r>
      <w:r>
        <w:fldChar w:fldCharType="end"/>
      </w:r>
      <w:r>
        <w:fldChar w:fldCharType="end"/>
      </w:r>
    </w:p>
    <w:p>
      <w:pPr>
        <w:pStyle w:val="12"/>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"_Toc85210006" </w:instrText>
      </w:r>
      <w:r>
        <w:fldChar w:fldCharType="separate"/>
      </w:r>
      <w:r>
        <w:rPr>
          <w:rStyle w:val="22"/>
        </w:rPr>
        <w:t>四、保障措施</w:t>
      </w:r>
      <w:r>
        <w:tab/>
      </w:r>
      <w:r>
        <w:fldChar w:fldCharType="begin"/>
      </w:r>
      <w:r>
        <w:instrText xml:space="preserve"> PAGEREF _Toc85210006 \h </w:instrText>
      </w:r>
      <w:r>
        <w:fldChar w:fldCharType="separate"/>
      </w:r>
      <w:r>
        <w:t>27</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"_Toc85210007" </w:instrText>
      </w:r>
      <w:r>
        <w:fldChar w:fldCharType="separate"/>
      </w:r>
      <w:r>
        <w:rPr>
          <w:rStyle w:val="22"/>
          <w:lang w:bidi="zh-CN"/>
          <w14:scene3d>
            <w14:lightRig w14:rig="threePt" w14:dir="t">
              <w14:rot w14:lat="0" w14:lon="0" w14:rev="0"/>
            </w14:lightRig>
          </w14:scene3d>
        </w:rPr>
        <w:t>（一）</w:t>
      </w:r>
      <w:r>
        <w:rPr>
          <w:rStyle w:val="22"/>
        </w:rPr>
        <w:t>加强组织领导</w:t>
      </w:r>
      <w:r>
        <w:tab/>
      </w:r>
      <w:r>
        <w:fldChar w:fldCharType="begin"/>
      </w:r>
      <w:r>
        <w:instrText xml:space="preserve"> PAGEREF _Toc85210007 \h </w:instrText>
      </w:r>
      <w:r>
        <w:fldChar w:fldCharType="separate"/>
      </w:r>
      <w:r>
        <w:t>27</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"_Toc85210008" </w:instrText>
      </w:r>
      <w:r>
        <w:fldChar w:fldCharType="separate"/>
      </w:r>
      <w:r>
        <w:rPr>
          <w:rStyle w:val="22"/>
          <w:lang w:bidi="zh-CN"/>
          <w14:scene3d>
            <w14:lightRig w14:rig="threePt" w14:dir="t">
              <w14:rot w14:lat="0" w14:lon="0" w14:rev="0"/>
            </w14:lightRig>
          </w14:scene3d>
        </w:rPr>
        <w:t>（二）</w:t>
      </w:r>
      <w:r>
        <w:rPr>
          <w:rStyle w:val="22"/>
        </w:rPr>
        <w:t>加强人才支撑</w:t>
      </w:r>
      <w:r>
        <w:tab/>
      </w:r>
      <w:r>
        <w:fldChar w:fldCharType="begin"/>
      </w:r>
      <w:r>
        <w:instrText xml:space="preserve"> PAGEREF _Toc85210008 \h </w:instrText>
      </w:r>
      <w:r>
        <w:fldChar w:fldCharType="separate"/>
      </w:r>
      <w:r>
        <w:t>27</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"_Toc85210009" </w:instrText>
      </w:r>
      <w:r>
        <w:fldChar w:fldCharType="separate"/>
      </w:r>
      <w:r>
        <w:rPr>
          <w:rStyle w:val="22"/>
          <w:lang w:bidi="zh-CN"/>
          <w14:scene3d>
            <w14:lightRig w14:rig="threePt" w14:dir="t">
              <w14:rot w14:lat="0" w14:lon="0" w14:rev="0"/>
            </w14:lightRig>
          </w14:scene3d>
        </w:rPr>
        <w:t>（三）</w:t>
      </w:r>
      <w:r>
        <w:rPr>
          <w:rStyle w:val="22"/>
        </w:rPr>
        <w:t>优化要素配置</w:t>
      </w:r>
      <w:r>
        <w:tab/>
      </w:r>
      <w:r>
        <w:fldChar w:fldCharType="begin"/>
      </w:r>
      <w:r>
        <w:instrText xml:space="preserve"> PAGEREF _Toc85210009 \h </w:instrText>
      </w:r>
      <w:r>
        <w:fldChar w:fldCharType="separate"/>
      </w:r>
      <w:r>
        <w:t>28</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"_Toc85210010" </w:instrText>
      </w:r>
      <w:r>
        <w:fldChar w:fldCharType="separate"/>
      </w:r>
      <w:r>
        <w:rPr>
          <w:rStyle w:val="22"/>
          <w:lang w:bidi="zh-CN"/>
          <w14:scene3d>
            <w14:lightRig w14:rig="threePt" w14:dir="t">
              <w14:rot w14:lat="0" w14:lon="0" w14:rev="0"/>
            </w14:lightRig>
          </w14:scene3d>
        </w:rPr>
        <w:t>（四）</w:t>
      </w:r>
      <w:r>
        <w:rPr>
          <w:rStyle w:val="22"/>
        </w:rPr>
        <w:t>健全制度规范</w:t>
      </w:r>
      <w:r>
        <w:tab/>
      </w:r>
      <w:r>
        <w:fldChar w:fldCharType="begin"/>
      </w:r>
      <w:r>
        <w:instrText xml:space="preserve"> PAGEREF _Toc85210010 \h </w:instrText>
      </w:r>
      <w:r>
        <w:fldChar w:fldCharType="separate"/>
      </w:r>
      <w:r>
        <w:t>28</w:t>
      </w:r>
      <w:r>
        <w:fldChar w:fldCharType="end"/>
      </w:r>
      <w:r>
        <w:fldChar w:fldCharType="end"/>
      </w:r>
    </w:p>
    <w:p>
      <w:pPr>
        <w:pStyle w:val="14"/>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"_Toc85210011" </w:instrText>
      </w:r>
      <w:r>
        <w:fldChar w:fldCharType="separate"/>
      </w:r>
      <w:r>
        <w:rPr>
          <w:rStyle w:val="22"/>
          <w:lang w:bidi="zh-CN"/>
          <w14:scene3d>
            <w14:lightRig w14:rig="threePt" w14:dir="t">
              <w14:rot w14:lat="0" w14:lon="0" w14:rev="0"/>
            </w14:lightRig>
          </w14:scene3d>
        </w:rPr>
        <w:t>（五）</w:t>
      </w:r>
      <w:r>
        <w:rPr>
          <w:rStyle w:val="22"/>
        </w:rPr>
        <w:t>完善评价机制</w:t>
      </w:r>
      <w:r>
        <w:tab/>
      </w:r>
      <w:r>
        <w:fldChar w:fldCharType="begin"/>
      </w:r>
      <w:r>
        <w:instrText xml:space="preserve"> PAGEREF _Toc85210011 \h </w:instrText>
      </w:r>
      <w:r>
        <w:fldChar w:fldCharType="separate"/>
      </w:r>
      <w:r>
        <w:t>28</w:t>
      </w:r>
      <w:r>
        <w:fldChar w:fldCharType="end"/>
      </w:r>
      <w:r>
        <w:fldChar w:fldCharType="end"/>
      </w:r>
    </w:p>
    <w:p>
      <w:pPr>
        <w:pStyle w:val="12"/>
        <w:tabs>
          <w:tab w:val="right" w:leader="dot" w:pos="8296"/>
        </w:tabs>
        <w:ind w:left="0" w:leftChars="0" w:firstLine="640" w:firstLineChars="200"/>
        <w:rPr>
          <w:rFonts w:asciiTheme="minorHAnsi" w:hAnsiTheme="minorHAnsi" w:eastAsiaTheme="minorEastAsia"/>
          <w:color w:val="auto"/>
          <w:sz w:val="21"/>
          <w:szCs w:val="22"/>
        </w:rPr>
      </w:pPr>
      <w:r>
        <w:fldChar w:fldCharType="begin"/>
      </w:r>
      <w:r>
        <w:instrText xml:space="preserve"> HYPERLINK \l "_Toc85210012" </w:instrText>
      </w:r>
      <w:r>
        <w:fldChar w:fldCharType="separate"/>
      </w:r>
      <w:r>
        <w:rPr>
          <w:rStyle w:val="22"/>
          <w:color w:val="auto"/>
        </w:rPr>
        <w:t>附</w:t>
      </w:r>
      <w:r>
        <w:rPr>
          <w:rStyle w:val="22"/>
          <w:rFonts w:hint="eastAsia"/>
          <w:color w:val="auto"/>
          <w:lang w:eastAsia="zh-CN"/>
        </w:rPr>
        <w:t>件</w:t>
      </w:r>
      <w:r>
        <w:rPr>
          <w:rStyle w:val="22"/>
          <w:color w:val="auto"/>
        </w:rPr>
        <w:t>：名词解释</w:t>
      </w:r>
      <w:r>
        <w:tab/>
      </w:r>
      <w:r>
        <w:fldChar w:fldCharType="begin"/>
      </w:r>
      <w:r>
        <w:instrText xml:space="preserve"> PAGEREF _Toc85210012 \h </w:instrText>
      </w:r>
      <w:r>
        <w:fldChar w:fldCharType="separate"/>
      </w:r>
      <w:r>
        <w:t>30</w:t>
      </w:r>
      <w:r>
        <w:fldChar w:fldCharType="end"/>
      </w:r>
      <w:r>
        <w:fldChar w:fldCharType="end"/>
      </w:r>
    </w:p>
    <w:p>
      <w:r>
        <w:fldChar w:fldCharType="end"/>
      </w:r>
    </w:p>
    <w:p/>
    <w:p>
      <w:pPr>
        <w:rPr>
          <w:rFonts w:hint="eastAsia"/>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15"/>
        <w:keepNext w:val="0"/>
        <w:keepLines w:val="0"/>
        <w:pageBreakBefore w:val="0"/>
        <w:widowControl w:val="0"/>
        <w:kinsoku/>
        <w:wordWrap/>
        <w:overflowPunct/>
        <w:topLinePunct w:val="0"/>
        <w:autoSpaceDE/>
        <w:autoSpaceDN/>
        <w:bidi w:val="0"/>
        <w:adjustRightInd/>
        <w:snapToGrid/>
        <w:spacing w:before="120"/>
        <w:ind w:firstLine="0" w:firstLineChars="0"/>
        <w:textAlignment w:val="auto"/>
        <w:rPr>
          <w:rFonts w:hint="eastAsia" w:ascii="黑体" w:hAnsi="黑体" w:eastAsia="黑体" w:cs="黑体"/>
          <w:b w:val="0"/>
          <w:bCs w:val="0"/>
          <w:sz w:val="32"/>
          <w:szCs w:val="32"/>
        </w:rPr>
      </w:pPr>
      <w:bookmarkStart w:id="0" w:name="_Toc85209989"/>
      <w:r>
        <w:rPr>
          <w:rFonts w:hint="eastAsia" w:ascii="黑体" w:hAnsi="黑体" w:eastAsia="黑体" w:cs="黑体"/>
          <w:b w:val="0"/>
          <w:bCs w:val="0"/>
          <w:sz w:val="32"/>
          <w:szCs w:val="32"/>
        </w:rPr>
        <w:t>前  言</w:t>
      </w:r>
      <w:bookmarkEnd w:id="0"/>
    </w:p>
    <w:p>
      <w:pPr>
        <w:keepNext w:val="0"/>
        <w:keepLines w:val="0"/>
        <w:pageBreakBefore w:val="0"/>
        <w:widowControl w:val="0"/>
        <w:kinsoku/>
        <w:wordWrap/>
        <w:overflowPunct/>
        <w:topLinePunct w:val="0"/>
        <w:autoSpaceDE/>
        <w:autoSpaceDN/>
        <w:bidi w:val="0"/>
        <w:adjustRightInd/>
        <w:snapToGrid/>
        <w:textAlignment w:val="auto"/>
      </w:pPr>
      <w:r>
        <w:rPr>
          <w:rFonts w:hint="eastAsia"/>
        </w:rPr>
        <w:t>数字政府是落实网络强国、数字中国等党中央重大</w:t>
      </w:r>
      <w:r>
        <w:rPr>
          <w:rFonts w:hint="eastAsia"/>
          <w:color w:val="auto"/>
          <w:u w:val="none"/>
          <w:lang w:eastAsia="zh-CN"/>
        </w:rPr>
        <w:t>战略</w:t>
      </w:r>
      <w:r>
        <w:rPr>
          <w:rFonts w:hint="eastAsia"/>
          <w:color w:val="auto"/>
          <w:u w:val="none"/>
        </w:rPr>
        <w:t>决策</w:t>
      </w:r>
      <w:r>
        <w:rPr>
          <w:rFonts w:hint="eastAsia"/>
        </w:rPr>
        <w:t>的必然要求，是全面推进“数字浙江”基础性工程、数字化改革标志性改革的重点任务，是推进政府治理体系和治理能力现代化的基本路径，也是丽水市加快打造</w:t>
      </w:r>
      <w:r>
        <w:t>新时代山水花园城市、长三角生态智创高地、生态产品价值实现机制示范区、城乡共同富裕先行区、市域治理现代化先行示范区</w:t>
      </w:r>
      <w:r>
        <w:rPr>
          <w:rFonts w:hint="eastAsia"/>
        </w:rPr>
        <w:t>的有力抓手。</w:t>
      </w:r>
    </w:p>
    <w:p>
      <w:pPr>
        <w:keepNext w:val="0"/>
        <w:keepLines w:val="0"/>
        <w:pageBreakBefore w:val="0"/>
        <w:widowControl w:val="0"/>
        <w:kinsoku/>
        <w:wordWrap/>
        <w:overflowPunct/>
        <w:topLinePunct w:val="0"/>
        <w:autoSpaceDE/>
        <w:autoSpaceDN/>
        <w:bidi w:val="0"/>
        <w:adjustRightInd/>
        <w:snapToGrid/>
        <w:textAlignment w:val="auto"/>
      </w:pPr>
      <w:r>
        <w:rPr>
          <w:rFonts w:hint="eastAsia"/>
        </w:rPr>
        <w:t>丽水市数字政府坚持“以人为本、科学决策、高效服务、精准治理、精细监管”的治理现代化目标，按照省委、市委关于数字化改革的决策部署，把握数字化、网络化、智能化技术引领的新一轮技术变革机遇，加快建设“整体智治、唯实唯先”的现代化数字政府，以推进政府业务运行高效化、民生保障服务精细化、经济运行调节现代化、社会协同治理系统化、城市综合管理智慧化、区域生态保护智能化、安全应急管理精准化、技术支撑平台集成化为建设重点，统筹推进全省数字政府重大任务应用贯通落地与市级数字政府特色应用创新建设，通过树立数字化理念、增强数字化认知、提升数字化素养、运用数字化技术推进政府治理体制机制、组织架构、方式流程、手段工具的</w:t>
      </w:r>
      <w:r>
        <w:rPr>
          <w:rFonts w:hint="eastAsia"/>
          <w:color w:val="auto"/>
          <w:u w:val="none"/>
        </w:rPr>
        <w:t>全方位、一体化、</w:t>
      </w:r>
      <w:r>
        <w:rPr>
          <w:rFonts w:hint="eastAsia"/>
        </w:rPr>
        <w:t>现代化、重塑性变革，逐步实现“用数据决策、用数据服务、用数据治理、用数据创新”，奋力把丽水市数字政府打造成为“重要窗口”的标志性实践成果、理论成果、制度成果。</w:t>
      </w:r>
    </w:p>
    <w:p>
      <w:r>
        <w:rPr>
          <w:rFonts w:hint="eastAsia"/>
        </w:rPr>
        <w:t>为进一步明确“十四五”期间丽水市数字政府建设总体要求、主要任务和保障措施，更好</w:t>
      </w:r>
      <w:r>
        <w:rPr>
          <w:rFonts w:hint="eastAsia"/>
          <w:color w:val="auto"/>
          <w:u w:val="none"/>
          <w:lang w:eastAsia="zh-CN"/>
        </w:rPr>
        <w:t>地</w:t>
      </w:r>
      <w:r>
        <w:rPr>
          <w:rFonts w:hint="eastAsia"/>
        </w:rPr>
        <w:t>指导全市开展数字政府建设工作，</w:t>
      </w:r>
      <w:r>
        <w:rPr>
          <w:rFonts w:hint="eastAsia"/>
          <w:color w:val="auto"/>
          <w:u w:val="none"/>
          <w:lang w:eastAsia="zh-CN"/>
        </w:rPr>
        <w:t>根据</w:t>
      </w:r>
      <w:r>
        <w:rPr>
          <w:rFonts w:hint="eastAsia"/>
        </w:rPr>
        <w:t>《浙江省数字化改革总体方案》《浙江省数字政府建设“十四五”规划》和《丽水市国民经济和社会发展第十四个五年规划和二〇三五年远景目标纲要》《丽水市数字化改革总体方案》等文件</w:t>
      </w:r>
      <w:r>
        <w:rPr>
          <w:rFonts w:hint="eastAsia"/>
          <w:color w:val="auto"/>
          <w:u w:val="none"/>
          <w:lang w:eastAsia="zh-CN"/>
        </w:rPr>
        <w:t>精神</w:t>
      </w:r>
      <w:r>
        <w:rPr>
          <w:rFonts w:hint="eastAsia"/>
        </w:rPr>
        <w:t>，特编制《丽水市数字政府建设“十四五”规划》。本规划的规划基期为</w:t>
      </w:r>
      <w:r>
        <w:t>2020年，规划期限为2021—2025年</w:t>
      </w:r>
      <w:r>
        <w:rPr>
          <w:rFonts w:hint="eastAsia"/>
        </w:rPr>
        <w:t>。</w:t>
      </w:r>
    </w:p>
    <w:p>
      <w:pPr>
        <w:sectPr>
          <w:footerReference r:id="rId11" w:type="default"/>
          <w:pgSz w:w="11906" w:h="16838"/>
          <w:pgMar w:top="1440" w:right="1800" w:bottom="1440" w:left="1800" w:header="851" w:footer="992" w:gutter="0"/>
          <w:pgNumType w:start="1"/>
          <w:cols w:space="425" w:num="1"/>
          <w:docGrid w:type="lines" w:linePitch="312" w:charSpace="0"/>
        </w:sectPr>
      </w:pPr>
    </w:p>
    <w:p>
      <w:pPr>
        <w:pStyle w:val="2"/>
        <w:numPr>
          <w:ilvl w:val="0"/>
          <w:numId w:val="0"/>
        </w:numPr>
        <w:ind w:firstLine="640" w:firstLineChars="200"/>
        <w:jc w:val="both"/>
        <w:rPr>
          <w:rFonts w:hint="eastAsia" w:ascii="黑体" w:hAnsi="黑体" w:eastAsia="黑体" w:cs="黑体"/>
          <w:b w:val="0"/>
          <w:bCs w:val="0"/>
        </w:rPr>
      </w:pPr>
      <w:bookmarkStart w:id="1" w:name="_Toc85209990"/>
      <w:r>
        <w:rPr>
          <w:rFonts w:hint="eastAsia" w:ascii="黑体" w:hAnsi="黑体" w:eastAsia="黑体" w:cs="黑体"/>
          <w:b w:val="0"/>
          <w:bCs w:val="0"/>
          <w:lang w:eastAsia="zh-CN"/>
        </w:rPr>
        <w:t>一、</w:t>
      </w:r>
      <w:r>
        <w:rPr>
          <w:rFonts w:hint="eastAsia" w:ascii="黑体" w:hAnsi="黑体" w:eastAsia="黑体" w:cs="黑体"/>
          <w:b w:val="0"/>
          <w:bCs w:val="0"/>
        </w:rPr>
        <w:t>建设背景</w:t>
      </w:r>
      <w:bookmarkEnd w:id="1"/>
    </w:p>
    <w:p>
      <w:pPr>
        <w:pStyle w:val="3"/>
        <w:numPr>
          <w:ilvl w:val="1"/>
          <w:numId w:val="0"/>
        </w:numPr>
        <w:ind w:firstLine="643" w:firstLineChars="200"/>
        <w:rPr>
          <w:rFonts w:hint="eastAsia" w:ascii="楷体" w:hAnsi="楷体" w:eastAsia="楷体" w:cs="楷体"/>
        </w:rPr>
      </w:pPr>
      <w:bookmarkStart w:id="2" w:name="_Toc73023091"/>
      <w:bookmarkEnd w:id="2"/>
      <w:bookmarkStart w:id="3" w:name="_Toc73023090"/>
      <w:bookmarkEnd w:id="3"/>
      <w:bookmarkStart w:id="4" w:name="_Toc85209991"/>
      <w:r>
        <w:rPr>
          <w:rFonts w:hint="eastAsia" w:ascii="楷体" w:hAnsi="楷体" w:eastAsia="楷体" w:cs="楷体"/>
          <w:lang w:eastAsia="zh-CN"/>
        </w:rPr>
        <w:t>（一）</w:t>
      </w:r>
      <w:r>
        <w:rPr>
          <w:rFonts w:hint="eastAsia" w:ascii="楷体" w:hAnsi="楷体" w:eastAsia="楷体" w:cs="楷体"/>
        </w:rPr>
        <w:t>现实基础</w:t>
      </w:r>
      <w:bookmarkEnd w:id="4"/>
    </w:p>
    <w:p>
      <w:r>
        <w:rPr>
          <w:rFonts w:hint="eastAsia"/>
        </w:rPr>
        <w:t>“十三五”期间，丽水市围绕“最多跑一次”改革和政府数字化转型两条主线，逐步落实丽水</w:t>
      </w:r>
      <w:r>
        <w:rPr>
          <w:rFonts w:hint="eastAsia"/>
          <w:b/>
          <w:bCs/>
        </w:rPr>
        <w:t>“</w:t>
      </w:r>
      <w:r>
        <w:rPr>
          <w:b/>
          <w:bCs/>
        </w:rPr>
        <w:t>13251”重点工作</w:t>
      </w:r>
      <w:r>
        <w:rPr>
          <w:rFonts w:hint="eastAsia"/>
          <w:b/>
          <w:bCs/>
          <w:vertAlign w:val="superscript"/>
          <w:lang w:val="en-US" w:eastAsia="zh-CN"/>
        </w:rPr>
        <w:t>1</w:t>
      </w:r>
      <w:r>
        <w:rPr>
          <w:rFonts w:hint="eastAsia"/>
        </w:rPr>
        <w:t>，为全省政府数字化转型提供丽水经验、打造丽水样板。</w:t>
      </w:r>
    </w:p>
    <w:p>
      <w:pPr>
        <w:ind w:firstLine="643"/>
      </w:pPr>
      <w:r>
        <w:rPr>
          <w:rFonts w:hint="eastAsia"/>
          <w:b/>
          <w:bCs/>
        </w:rPr>
        <w:t>政务服务和政府履职效能提质扩面。</w:t>
      </w:r>
      <w:r>
        <w:rPr>
          <w:rFonts w:hint="eastAsia"/>
        </w:rPr>
        <w:t>聚焦建成“掌上办事之市”“掌上办公之市”，实现依申请政务服务事项全面接入政务服务2</w:t>
      </w:r>
      <w:r>
        <w:t>.0</w:t>
      </w:r>
      <w:r>
        <w:rPr>
          <w:rFonts w:hint="eastAsia"/>
        </w:rPr>
        <w:t>平台，“一网通办”比率超过6</w:t>
      </w:r>
      <w:r>
        <w:t>0</w:t>
      </w:r>
      <w:r>
        <w:rPr>
          <w:rFonts w:hint="eastAsia"/>
        </w:rPr>
        <w:t>%，整合市级自建政务服务应用，有效提升“浙里办”用户注册数及用户活跃度。发布全国首个机关内部办事地方标准并上线协同办事</w:t>
      </w:r>
      <w:r>
        <w:rPr>
          <w:rFonts w:hint="eastAsia"/>
          <w:lang w:eastAsia="zh-CN"/>
        </w:rPr>
        <w:t>系统</w:t>
      </w:r>
      <w:r>
        <w:rPr>
          <w:rFonts w:hint="eastAsia"/>
        </w:rPr>
        <w:t>，率先推行工资统发“一件事”改革，机关内部办事事项“一网通办”“最多跑一次”</w:t>
      </w:r>
      <w:r>
        <w:t>实现率</w:t>
      </w:r>
      <w:r>
        <w:rPr>
          <w:rFonts w:hint="eastAsia"/>
        </w:rPr>
        <w:t>均</w:t>
      </w:r>
      <w:r>
        <w:rPr>
          <w:rFonts w:hint="eastAsia"/>
          <w:lang w:eastAsia="zh-CN"/>
        </w:rPr>
        <w:t>达</w:t>
      </w:r>
      <w:r>
        <w:t>100%。</w:t>
      </w:r>
      <w:r>
        <w:rPr>
          <w:rFonts w:hint="eastAsia"/>
        </w:rPr>
        <w:t>全市“浙政钉”2</w:t>
      </w:r>
      <w:r>
        <w:t>.0</w:t>
      </w:r>
      <w:r>
        <w:rPr>
          <w:rFonts w:hint="eastAsia"/>
        </w:rPr>
        <w:t>整合接入4</w:t>
      </w:r>
      <w:r>
        <w:t>5</w:t>
      </w:r>
      <w:r>
        <w:rPr>
          <w:rFonts w:hint="eastAsia"/>
        </w:rPr>
        <w:t>个办公类应用，用户数超过</w:t>
      </w:r>
      <w:r>
        <w:t>8.1</w:t>
      </w:r>
      <w:r>
        <w:rPr>
          <w:rFonts w:hint="eastAsia"/>
        </w:rPr>
        <w:t>万，日均活跃度达6</w:t>
      </w:r>
      <w:r>
        <w:t>8</w:t>
      </w:r>
      <w:r>
        <w:rPr>
          <w:rFonts w:hint="eastAsia"/>
        </w:rPr>
        <w:t>%。掌上执法、“双随机”抽查等各项指标</w:t>
      </w:r>
      <w:r>
        <w:rPr>
          <w:rFonts w:hint="eastAsia"/>
          <w:lang w:eastAsia="zh-CN"/>
        </w:rPr>
        <w:t>均</w:t>
      </w:r>
      <w:r>
        <w:rPr>
          <w:rFonts w:hint="eastAsia"/>
        </w:rPr>
        <w:t>超额完成省定目标。</w:t>
      </w:r>
    </w:p>
    <w:p>
      <w:pPr>
        <w:ind w:firstLine="643"/>
      </w:pPr>
      <w:r>
        <w:rPr>
          <w:rFonts w:hint="eastAsia"/>
          <w:b/>
          <w:bCs/>
        </w:rPr>
        <w:t>特色创新场景应用建设初</w:t>
      </w:r>
      <w:r>
        <w:rPr>
          <w:rFonts w:hint="eastAsia"/>
          <w:b/>
          <w:bCs/>
          <w:lang w:eastAsia="zh-CN"/>
        </w:rPr>
        <w:t>见</w:t>
      </w:r>
      <w:r>
        <w:rPr>
          <w:rFonts w:hint="eastAsia"/>
          <w:b/>
          <w:bCs/>
        </w:rPr>
        <w:t>成效。</w:t>
      </w:r>
      <w:r>
        <w:rPr>
          <w:rFonts w:hint="eastAsia"/>
        </w:rPr>
        <w:t>打造“花园云”平台，基于“生态视窗”、环境地图、智慧监管、“天眼守望”“地眼金睛”等多源协同管控应用，建设汇聚3</w:t>
      </w:r>
      <w:r>
        <w:t>3</w:t>
      </w:r>
      <w:r>
        <w:rPr>
          <w:rFonts w:hint="eastAsia"/>
        </w:rPr>
        <w:t>个多跨场景应用，其中“花园云”智慧体系、丽水网上中介超市等荣获国家级“创新奖”，小流域自然灾害预警、“丽水山耕”等4个场景应用入选省级“观星台”，智慧工地等多个项目入选省级优秀智能监测案例，基于区块链的石雕溯源</w:t>
      </w:r>
      <w:r>
        <w:rPr>
          <w:rFonts w:hint="eastAsia"/>
          <w:lang w:eastAsia="zh-CN"/>
        </w:rPr>
        <w:t>系统</w:t>
      </w:r>
      <w:r>
        <w:rPr>
          <w:rFonts w:hint="eastAsia"/>
        </w:rPr>
        <w:t>等应用入选省级试点，“惠企一码通”“警桥驿站”等应用获得省委省政府领导</w:t>
      </w:r>
      <w:r>
        <w:rPr>
          <w:rFonts w:hint="eastAsia"/>
          <w:lang w:eastAsia="zh-CN"/>
        </w:rPr>
        <w:t>认可</w:t>
      </w:r>
      <w:r>
        <w:rPr>
          <w:rFonts w:hint="eastAsia"/>
        </w:rPr>
        <w:t>。作为全国首个生态产品价值实现机制的国家试点市，深化建设以生态信用为特色的信用体系，建成</w:t>
      </w:r>
      <w:r>
        <w:t>GEP全域动态“一张图”“两山银行”“绿谷分”动态量化评分管理应用</w:t>
      </w:r>
      <w:r>
        <w:rPr>
          <w:rFonts w:hint="eastAsia"/>
        </w:rPr>
        <w:t>。举办首届浙江省数据开放创新（丽水分赛区）大赛，“银龄卫士”“区块链</w:t>
      </w:r>
      <w:r>
        <w:t>+普惠金融”</w:t>
      </w:r>
      <w:r>
        <w:rPr>
          <w:rFonts w:hint="eastAsia"/>
        </w:rPr>
        <w:t>分获二等奖和优胜奖。</w:t>
      </w:r>
    </w:p>
    <w:p>
      <w:pPr>
        <w:ind w:firstLine="643"/>
      </w:pPr>
      <w:r>
        <w:rPr>
          <w:rFonts w:hint="eastAsia"/>
          <w:b/>
          <w:bCs/>
        </w:rPr>
        <w:t>集约高效的技术支撑体系加快形成。</w:t>
      </w:r>
      <w:r>
        <w:rPr>
          <w:rFonts w:hint="eastAsia"/>
        </w:rPr>
        <w:t>统筹建成市</w:t>
      </w:r>
      <w:r>
        <w:rPr>
          <w:rFonts w:hint="eastAsia"/>
          <w:lang w:eastAsia="zh-CN"/>
        </w:rPr>
        <w:t>、</w:t>
      </w:r>
      <w:r>
        <w:rPr>
          <w:rFonts w:hint="eastAsia"/>
        </w:rPr>
        <w:t>县两级公共数据平台，编制数据资源目录4</w:t>
      </w:r>
      <w:r>
        <w:t>311</w:t>
      </w:r>
      <w:r>
        <w:rPr>
          <w:rFonts w:hint="eastAsia"/>
        </w:rPr>
        <w:t>个，归集数据5</w:t>
      </w:r>
      <w:r>
        <w:t>5.91</w:t>
      </w:r>
      <w:r>
        <w:rPr>
          <w:rFonts w:hint="eastAsia"/>
        </w:rPr>
        <w:t>亿条；开放公共数据集5</w:t>
      </w:r>
      <w:r>
        <w:t>63</w:t>
      </w:r>
      <w:r>
        <w:rPr>
          <w:rFonts w:hint="eastAsia"/>
        </w:rPr>
        <w:t>个</w:t>
      </w:r>
      <w:r>
        <w:rPr>
          <w:rFonts w:hint="eastAsia"/>
          <w:lang w:eastAsia="zh-CN"/>
        </w:rPr>
        <w:t>、</w:t>
      </w:r>
      <w:r>
        <w:rPr>
          <w:rFonts w:hint="eastAsia"/>
        </w:rPr>
        <w:t>数据4</w:t>
      </w:r>
      <w:r>
        <w:t>.94</w:t>
      </w:r>
      <w:r>
        <w:rPr>
          <w:rFonts w:hint="eastAsia"/>
        </w:rPr>
        <w:t>亿条；开通丽水“数据高铁”</w:t>
      </w:r>
      <w:r>
        <w:t>22号线</w:t>
      </w:r>
      <w:r>
        <w:rPr>
          <w:rFonts w:hint="eastAsia"/>
          <w:lang w:eastAsia="zh-CN"/>
        </w:rPr>
        <w:t>、</w:t>
      </w:r>
      <w:r>
        <w:t>上行数据672.2万条</w:t>
      </w:r>
      <w:r>
        <w:rPr>
          <w:rFonts w:hint="eastAsia"/>
        </w:rPr>
        <w:t>。基本建成花园云多业务协同应用支撑体系，为全市各类多业务协同应用建设提供数字化、全链条、闭环式政府</w:t>
      </w:r>
      <w:r>
        <w:rPr>
          <w:rFonts w:hint="eastAsia"/>
          <w:lang w:eastAsia="zh-CN"/>
        </w:rPr>
        <w:t>协同</w:t>
      </w:r>
      <w:r>
        <w:rPr>
          <w:rFonts w:hint="eastAsia"/>
        </w:rPr>
        <w:t>治理通用模板。</w:t>
      </w:r>
      <w:r>
        <w:rPr>
          <w:rFonts w:hint="eastAsia"/>
          <w:lang w:eastAsia="zh-CN"/>
        </w:rPr>
        <w:t>扎实推进</w:t>
      </w:r>
      <w:r>
        <w:rPr>
          <w:rFonts w:hint="eastAsia"/>
        </w:rPr>
        <w:t>基础设施体系建设，打造政务“一朵云”，为</w:t>
      </w:r>
      <w:r>
        <w:t>93家单位</w:t>
      </w:r>
      <w:r>
        <w:rPr>
          <w:rFonts w:hint="eastAsia"/>
        </w:rPr>
        <w:t>、</w:t>
      </w:r>
      <w:r>
        <w:t>234个业务系统</w:t>
      </w:r>
      <w:r>
        <w:rPr>
          <w:rFonts w:hint="eastAsia"/>
        </w:rPr>
        <w:t>提供</w:t>
      </w:r>
      <w:r>
        <w:rPr>
          <w:rFonts w:hint="eastAsia"/>
          <w:lang w:eastAsia="zh-CN"/>
        </w:rPr>
        <w:t>有力</w:t>
      </w:r>
      <w:r>
        <w:rPr>
          <w:rFonts w:hint="eastAsia"/>
        </w:rPr>
        <w:t>支撑；形成政务“一张网”，</w:t>
      </w:r>
      <w:r>
        <w:t>横向整合10个部门业务专网</w:t>
      </w:r>
      <w:r>
        <w:rPr>
          <w:rFonts w:hint="eastAsia"/>
        </w:rPr>
        <w:t>，</w:t>
      </w:r>
      <w:r>
        <w:t>纵向覆盖市、县、乡三级2000</w:t>
      </w:r>
      <w:r>
        <w:rPr>
          <w:rFonts w:hint="eastAsia"/>
        </w:rPr>
        <w:t>多个</w:t>
      </w:r>
      <w:r>
        <w:rPr>
          <w:rFonts w:hint="eastAsia"/>
          <w:lang w:eastAsia="zh-CN"/>
        </w:rPr>
        <w:t>部门</w:t>
      </w:r>
      <w:r>
        <w:rPr>
          <w:rFonts w:hint="eastAsia"/>
        </w:rPr>
        <w:t>；</w:t>
      </w:r>
      <w:r>
        <w:t>建</w:t>
      </w:r>
      <w:r>
        <w:rPr>
          <w:rFonts w:hint="eastAsia"/>
        </w:rPr>
        <w:t>成</w:t>
      </w:r>
      <w:r>
        <w:t>全市电子政务基础设施一体化管控</w:t>
      </w:r>
      <w:r>
        <w:rPr>
          <w:rFonts w:hint="eastAsia"/>
          <w:lang w:eastAsia="zh-CN"/>
        </w:rPr>
        <w:t>系统</w:t>
      </w:r>
      <w:r>
        <w:t>，</w:t>
      </w:r>
      <w:r>
        <w:rPr>
          <w:rFonts w:hint="eastAsia"/>
        </w:rPr>
        <w:t>实现云、网基础设施统一管理、监控、调度与展示。</w:t>
      </w:r>
    </w:p>
    <w:p>
      <w:pPr>
        <w:ind w:firstLine="643"/>
      </w:pPr>
      <w:r>
        <w:rPr>
          <w:rFonts w:hint="eastAsia"/>
          <w:b/>
          <w:bCs/>
        </w:rPr>
        <w:t>数字政府体制机制逐步健全。</w:t>
      </w:r>
      <w:r>
        <w:rPr>
          <w:rFonts w:hint="eastAsia"/>
        </w:rPr>
        <w:t>筹建市大数据发展中心，组建数字政府工作领导小组，制定一批规范性文件及标准规范，逐步完善数字化改革“四横四纵”总体框架。制定《丽水市公共数据资源管理办法》《丽水市本级政府投资信息化项目管理办法》和《丽水电子政务外网网络与信息安全管理暂行办法》</w:t>
      </w:r>
      <w:r>
        <w:t>3个管理办法，发布《公共数据共享安全管理规范》和《政务部门核心业务梳理规范》</w:t>
      </w:r>
      <w:r>
        <w:rPr>
          <w:rFonts w:hint="eastAsia"/>
        </w:rPr>
        <w:t>等</w:t>
      </w:r>
      <w:r>
        <w:t>标准</w:t>
      </w:r>
      <w:r>
        <w:rPr>
          <w:rFonts w:hint="eastAsia"/>
        </w:rPr>
        <w:t>规范。在全省率先建立覆盖全市各级部门的“首席数据官</w:t>
      </w:r>
      <w:r>
        <w:rPr>
          <w:rFonts w:hint="eastAsia"/>
          <w:lang w:eastAsia="zh-CN"/>
        </w:rPr>
        <w:t>、</w:t>
      </w:r>
      <w:r>
        <w:rPr>
          <w:rFonts w:hint="eastAsia"/>
        </w:rPr>
        <w:t>数据专员”制度。</w:t>
      </w:r>
    </w:p>
    <w:p>
      <w:r>
        <w:t>目前，</w:t>
      </w:r>
      <w:r>
        <w:rPr>
          <w:rFonts w:hint="eastAsia"/>
        </w:rPr>
        <w:t>丽水市</w:t>
      </w:r>
      <w:r>
        <w:t>数字政府建设已进入深水区，虽然取得了</w:t>
      </w:r>
      <w:r>
        <w:rPr>
          <w:rFonts w:hint="eastAsia"/>
          <w:lang w:eastAsia="zh-CN"/>
        </w:rPr>
        <w:t>显著</w:t>
      </w:r>
      <w:r>
        <w:t>成效，但</w:t>
      </w:r>
      <w:r>
        <w:rPr>
          <w:rFonts w:hint="eastAsia"/>
        </w:rPr>
        <w:t>尚</w:t>
      </w:r>
      <w:r>
        <w:t>有</w:t>
      </w:r>
      <w:r>
        <w:rPr>
          <w:rFonts w:hint="eastAsia"/>
          <w:lang w:eastAsia="zh-CN"/>
        </w:rPr>
        <w:t>大量</w:t>
      </w:r>
      <w:r>
        <w:t>工作</w:t>
      </w:r>
      <w:r>
        <w:rPr>
          <w:rFonts w:hint="eastAsia"/>
          <w:lang w:eastAsia="zh-CN"/>
        </w:rPr>
        <w:t>仍</w:t>
      </w:r>
      <w:r>
        <w:t>需不断完善</w:t>
      </w:r>
      <w:r>
        <w:rPr>
          <w:rFonts w:hint="eastAsia"/>
          <w:lang w:eastAsia="zh-CN"/>
        </w:rPr>
        <w:t>、深化</w:t>
      </w:r>
      <w:r>
        <w:t>。</w:t>
      </w:r>
      <w:r>
        <w:rPr>
          <w:rFonts w:hint="eastAsia"/>
          <w:b/>
          <w:bCs/>
        </w:rPr>
        <w:t>体制机制方面，</w:t>
      </w:r>
      <w:r>
        <w:rPr>
          <w:rFonts w:hint="eastAsia"/>
        </w:rPr>
        <w:t>数字</w:t>
      </w:r>
      <w:r>
        <w:rPr>
          <w:rFonts w:hint="eastAsia"/>
          <w:lang w:eastAsia="zh-CN"/>
        </w:rPr>
        <w:t>化</w:t>
      </w:r>
      <w:r>
        <w:rPr>
          <w:rFonts w:hint="eastAsia"/>
        </w:rPr>
        <w:t>人才队伍储备不足，组织管理机制还需理顺</w:t>
      </w:r>
      <w:r>
        <w:rPr>
          <w:rFonts w:hint="eastAsia"/>
          <w:lang w:eastAsia="zh-CN"/>
        </w:rPr>
        <w:t>、</w:t>
      </w:r>
      <w:r>
        <w:rPr>
          <w:rFonts w:hint="eastAsia"/>
        </w:rPr>
        <w:t>完善，法规标准尚需进一步健全；</w:t>
      </w:r>
      <w:r>
        <w:rPr>
          <w:rFonts w:hint="eastAsia"/>
          <w:b/>
          <w:bCs/>
        </w:rPr>
        <w:t>数据治理方面，</w:t>
      </w:r>
      <w:r>
        <w:rPr>
          <w:rFonts w:hint="eastAsia"/>
        </w:rPr>
        <w:t>数据分级管理尚未落实，数据质量有待提升，数据开放利用尚待深化；</w:t>
      </w:r>
      <w:r>
        <w:rPr>
          <w:rFonts w:hint="eastAsia"/>
          <w:b/>
          <w:bCs/>
        </w:rPr>
        <w:t>业务应用方面，</w:t>
      </w:r>
      <w:r>
        <w:rPr>
          <w:rFonts w:hint="eastAsia"/>
        </w:rPr>
        <w:t>政务服务离“好用、易用”还有一定差距，多跨场景有待拓展，风险预警和科学决策支撑能力有待加强。</w:t>
      </w:r>
    </w:p>
    <w:p>
      <w:pPr>
        <w:pStyle w:val="3"/>
        <w:numPr>
          <w:ilvl w:val="1"/>
          <w:numId w:val="0"/>
        </w:numPr>
        <w:ind w:firstLine="643" w:firstLineChars="200"/>
        <w:rPr>
          <w:rFonts w:hint="eastAsia" w:ascii="楷体" w:hAnsi="楷体" w:eastAsia="楷体" w:cs="楷体"/>
        </w:rPr>
      </w:pPr>
      <w:bookmarkStart w:id="5" w:name="_Toc85209992"/>
      <w:r>
        <w:rPr>
          <w:rFonts w:hint="eastAsia" w:ascii="楷体" w:hAnsi="楷体" w:eastAsia="楷体" w:cs="楷体"/>
          <w:lang w:eastAsia="zh-CN"/>
        </w:rPr>
        <w:t>（二）</w:t>
      </w:r>
      <w:r>
        <w:rPr>
          <w:rFonts w:hint="eastAsia" w:ascii="楷体" w:hAnsi="楷体" w:eastAsia="楷体" w:cs="楷体"/>
        </w:rPr>
        <w:t>发展环境</w:t>
      </w:r>
      <w:bookmarkEnd w:id="5"/>
    </w:p>
    <w:p>
      <w:r>
        <w:rPr>
          <w:rFonts w:hint="eastAsia"/>
        </w:rPr>
        <w:t>“十四五”时期是我市发展处于大有可为且必须大有作为的战略机遇期，面对“数字中国”战略指引、经济社会变革发展和信息技术快速演进，丽水市将全面践行数字化改革理念，奋力提升政府治理现代化水平。</w:t>
      </w:r>
    </w:p>
    <w:p>
      <w:pPr>
        <w:ind w:firstLine="643"/>
      </w:pPr>
      <w:r>
        <w:rPr>
          <w:rFonts w:hint="eastAsia"/>
          <w:b/>
          <w:bCs/>
        </w:rPr>
        <w:t>“数字中国”战略为数字政府建设指明新方向。</w:t>
      </w:r>
      <w:r>
        <w:rPr>
          <w:rFonts w:hint="eastAsia"/>
        </w:rPr>
        <w:t>“数字中国”建设提出要全面推进网络强国战略、国家信息化发展战略、大数据战略、“互联网</w:t>
      </w:r>
      <w:r>
        <w:t>+”行动计划等重大战略和行动，以信息化驱动现代化、高位推进建设数字中国。《</w:t>
      </w:r>
      <w:r>
        <w:rPr>
          <w:rFonts w:hint="eastAsia"/>
        </w:rPr>
        <w:t>中华人民共和国国民经济和社会发展第十四个五年规划和</w:t>
      </w:r>
      <w:r>
        <w:t>2035年远景目标纲要》中指出，</w:t>
      </w:r>
      <w:r>
        <w:rPr>
          <w:rFonts w:hint="eastAsia"/>
        </w:rPr>
        <w:t>要提高数字政府建设水平，将数字技术广泛应用于政府管理服务，推动政府治理流程再造和模式优化，不断提高决策科学性和服务效率</w:t>
      </w:r>
      <w:r>
        <w:t>。</w:t>
      </w:r>
      <w:r>
        <w:rPr>
          <w:rFonts w:hint="eastAsia"/>
        </w:rPr>
        <w:t>省委十四届八次全会作出了以数字化改革为总抓手，撬动各领域各方面改革的决策部署。全省推进数字化改革大会强调要围绕建设“数字浙江”目标，统筹运用数字化技术、数字化思维、数字化认知，把数字化、一体化、现代化贯穿到党的领导和经济、政治、社会、生态文明建设全过程各方面，在根本上实现全省域整体智治、高效协同，努力成为“重要窗口”的重大标志性成果。为建设“整体智治、唯实惟先”的数字政府，丽水必须坚持数字赋能政府运行、民生保障、经济运行、社会治理、城市管理、生态保护、安全应急等政府履职各领域的基本路径，以全面数字化改革推动</w:t>
      </w:r>
      <w:r>
        <w:rPr>
          <w:rFonts w:hint="eastAsia"/>
          <w:lang w:eastAsia="zh-CN"/>
        </w:rPr>
        <w:t>全</w:t>
      </w:r>
      <w:r>
        <w:rPr>
          <w:rFonts w:hint="eastAsia"/>
        </w:rPr>
        <w:t>领域各方面深化改革，进一步发挥数字化在推进治理体系和治理能力现代化中的作用。</w:t>
      </w:r>
    </w:p>
    <w:p>
      <w:pPr>
        <w:ind w:firstLine="643"/>
      </w:pPr>
      <w:r>
        <w:rPr>
          <w:rFonts w:hint="eastAsia"/>
          <w:b/>
          <w:bCs/>
        </w:rPr>
        <w:t>经济社会发展对数字政府建设提出新要求。</w:t>
      </w:r>
      <w:r>
        <w:rPr>
          <w:rFonts w:hint="eastAsia"/>
        </w:rPr>
        <w:t>随着我国经济发展进入新常态</w:t>
      </w:r>
      <w:r>
        <w:rPr>
          <w:rFonts w:hint="eastAsia"/>
          <w:lang w:eastAsia="zh-CN"/>
        </w:rPr>
        <w:t>，</w:t>
      </w:r>
      <w:r>
        <w:rPr>
          <w:rFonts w:hint="eastAsia"/>
        </w:rPr>
        <w:t>“</w:t>
      </w:r>
      <w:r>
        <w:rPr>
          <w:rFonts w:hint="eastAsia"/>
          <w:lang w:eastAsia="zh-CN"/>
        </w:rPr>
        <w:t>国内国际双循环</w:t>
      </w:r>
      <w:r>
        <w:rPr>
          <w:rFonts w:hint="eastAsia"/>
        </w:rPr>
        <w:t>”经济格局以及</w:t>
      </w:r>
      <w:r>
        <w:t>2035年</w:t>
      </w:r>
      <w:r>
        <w:rPr>
          <w:rFonts w:hint="eastAsia"/>
        </w:rPr>
        <w:t>远</w:t>
      </w:r>
      <w:r>
        <w:t>景目标的明确，</w:t>
      </w:r>
      <w:r>
        <w:rPr>
          <w:rFonts w:hint="eastAsia"/>
        </w:rPr>
        <w:t>丽水市以打造新时代山水花园城市、长三角生态智创高地、生态产品价值实现机制示范区、城乡共同富裕先行区、红色文化传承弘扬展示区、市域治理现代化先行示范区为“十四五”时期经济社会发展重要目标，奋力推进高质量绿色发展，</w:t>
      </w:r>
      <w:r>
        <w:t>加快跨越式发展，</w:t>
      </w:r>
      <w:r>
        <w:rPr>
          <w:rFonts w:hint="eastAsia"/>
        </w:rPr>
        <w:t>系统构建以“生态经济化、</w:t>
      </w:r>
      <w:r>
        <w:t>经济生态化”为显著特征的现代</w:t>
      </w:r>
      <w:r>
        <w:rPr>
          <w:rFonts w:hint="eastAsia"/>
        </w:rPr>
        <w:t>化生态经济体系。为此，数字政府建设要注重系统谋划、顶层设计，打破部门利益藩篱，迈</w:t>
      </w:r>
      <w:r>
        <w:rPr>
          <w:rFonts w:hint="eastAsia"/>
          <w:lang w:eastAsia="zh-CN"/>
        </w:rPr>
        <w:t>入</w:t>
      </w:r>
      <w:r>
        <w:rPr>
          <w:rFonts w:hint="eastAsia"/>
        </w:rPr>
        <w:t>整体性转变、全方位赋能、革命性重塑的新阶段</w:t>
      </w:r>
      <w:r>
        <w:rPr>
          <w:rFonts w:hint="eastAsia"/>
          <w:lang w:eastAsia="zh-CN"/>
        </w:rPr>
        <w:t>，</w:t>
      </w:r>
      <w:r>
        <w:rPr>
          <w:rFonts w:hint="eastAsia"/>
        </w:rPr>
        <w:t>同时不断深化“放管服”，发挥数字政府引领经济高质量发展、驱动营商环境</w:t>
      </w:r>
      <w:r>
        <w:rPr>
          <w:rFonts w:hint="eastAsia"/>
          <w:lang w:eastAsia="zh-CN"/>
        </w:rPr>
        <w:t>持续</w:t>
      </w:r>
      <w:r>
        <w:rPr>
          <w:rFonts w:hint="eastAsia"/>
        </w:rPr>
        <w:t>优化、</w:t>
      </w:r>
      <w:r>
        <w:rPr>
          <w:rFonts w:hint="eastAsia"/>
          <w:lang w:eastAsia="zh-CN"/>
        </w:rPr>
        <w:t>进一步</w:t>
      </w:r>
      <w:r>
        <w:rPr>
          <w:rFonts w:hint="eastAsia"/>
        </w:rPr>
        <w:t>提升公共服务水平的重要作用，满足公众对服务型政府的新要求。</w:t>
      </w:r>
    </w:p>
    <w:p>
      <w:pPr>
        <w:ind w:firstLine="643"/>
      </w:pPr>
      <w:r>
        <w:rPr>
          <w:rFonts w:hint="eastAsia"/>
          <w:b/>
          <w:bCs/>
        </w:rPr>
        <w:t>信息技术演进为数字政府建设提供新动能。</w:t>
      </w:r>
      <w:r>
        <w:rPr>
          <w:rFonts w:hint="eastAsia"/>
        </w:rPr>
        <w:t>以云计算、大数据、</w:t>
      </w:r>
      <w:r>
        <w:t>5G、物联网、人工智能</w:t>
      </w:r>
      <w:r>
        <w:rPr>
          <w:rFonts w:hint="eastAsia"/>
        </w:rPr>
        <w:t>为代表的新一代信息技术蓬勃发展，数字化、网络化、智能化趋势加速演进，数字技术的快速变革创新，</w:t>
      </w:r>
      <w:r>
        <w:t>在融合中互相促进、全面升级，为数字政府建设提供了创新抓手</w:t>
      </w:r>
      <w:r>
        <w:rPr>
          <w:rFonts w:hint="eastAsia"/>
        </w:rPr>
        <w:t>，为推动经济社会转型发展、提升社会治理能力、塑造城市竞争新优势、实现跨越式发展提供了有效支撑。“</w:t>
      </w:r>
      <w:r>
        <w:t>十四五</w:t>
      </w:r>
      <w:r>
        <w:rPr>
          <w:rFonts w:hint="eastAsia"/>
        </w:rPr>
        <w:t>”</w:t>
      </w:r>
      <w:r>
        <w:t>时期，丽水要主动把握技术变革机遇，</w:t>
      </w:r>
      <w:r>
        <w:rPr>
          <w:rFonts w:hint="eastAsia"/>
          <w:lang w:eastAsia="zh-CN"/>
        </w:rPr>
        <w:t>以</w:t>
      </w:r>
      <w:r>
        <w:t>云计算为数字政府建设提供基础</w:t>
      </w:r>
      <w:r>
        <w:rPr>
          <w:rFonts w:hint="eastAsia"/>
          <w:lang w:eastAsia="zh-CN"/>
        </w:rPr>
        <w:t>支撑</w:t>
      </w:r>
      <w:r>
        <w:t>，</w:t>
      </w:r>
      <w:r>
        <w:rPr>
          <w:rFonts w:hint="eastAsia"/>
          <w:lang w:eastAsia="zh-CN"/>
        </w:rPr>
        <w:t>以</w:t>
      </w:r>
      <w:r>
        <w:t>数据为数字政府创新提供新能源，</w:t>
      </w:r>
      <w:r>
        <w:rPr>
          <w:rFonts w:hint="eastAsia"/>
          <w:lang w:eastAsia="zh-CN"/>
        </w:rPr>
        <w:t>以</w:t>
      </w:r>
      <w:r>
        <w:t>物联网</w:t>
      </w:r>
      <w:r>
        <w:rPr>
          <w:rFonts w:hint="eastAsia"/>
          <w:lang w:eastAsia="zh-CN"/>
        </w:rPr>
        <w:t>和</w:t>
      </w:r>
      <w:r>
        <w:t>5G</w:t>
      </w:r>
      <w:r>
        <w:rPr>
          <w:rFonts w:hint="eastAsia"/>
          <w:lang w:eastAsia="zh-CN"/>
        </w:rPr>
        <w:t>技术</w:t>
      </w:r>
      <w:r>
        <w:t>促使</w:t>
      </w:r>
      <w:r>
        <w:rPr>
          <w:rFonts w:hint="eastAsia"/>
          <w:lang w:eastAsia="zh-CN"/>
        </w:rPr>
        <w:t>区域</w:t>
      </w:r>
      <w:r>
        <w:t>治理更敏锐。</w:t>
      </w:r>
    </w:p>
    <w:p>
      <w:pPr>
        <w:pStyle w:val="2"/>
        <w:numPr>
          <w:ilvl w:val="0"/>
          <w:numId w:val="0"/>
        </w:numPr>
        <w:ind w:firstLine="640" w:firstLineChars="200"/>
        <w:rPr>
          <w:rFonts w:hint="eastAsia" w:ascii="黑体" w:hAnsi="黑体" w:eastAsia="黑体" w:cs="黑体"/>
          <w:b w:val="0"/>
          <w:bCs w:val="0"/>
        </w:rPr>
      </w:pPr>
      <w:bookmarkStart w:id="6" w:name="_Toc85209993"/>
      <w:r>
        <w:rPr>
          <w:rFonts w:hint="eastAsia" w:ascii="黑体" w:hAnsi="黑体" w:eastAsia="黑体" w:cs="黑体"/>
          <w:b w:val="0"/>
          <w:bCs w:val="0"/>
          <w:lang w:eastAsia="zh-CN"/>
        </w:rPr>
        <w:t>二、</w:t>
      </w:r>
      <w:r>
        <w:rPr>
          <w:rFonts w:hint="eastAsia" w:ascii="黑体" w:hAnsi="黑体" w:eastAsia="黑体" w:cs="黑体"/>
          <w:b w:val="0"/>
          <w:bCs w:val="0"/>
        </w:rPr>
        <w:t>总体要求</w:t>
      </w:r>
      <w:bookmarkEnd w:id="6"/>
    </w:p>
    <w:p>
      <w:pPr>
        <w:pStyle w:val="3"/>
        <w:numPr>
          <w:ilvl w:val="1"/>
          <w:numId w:val="0"/>
        </w:numPr>
        <w:ind w:firstLine="643" w:firstLineChars="200"/>
        <w:rPr>
          <w:rFonts w:hint="eastAsia" w:ascii="楷体" w:hAnsi="楷体" w:eastAsia="楷体" w:cs="楷体"/>
        </w:rPr>
      </w:pPr>
      <w:bookmarkStart w:id="7" w:name="_Toc85209994"/>
      <w:r>
        <w:rPr>
          <w:rFonts w:hint="eastAsia" w:ascii="楷体" w:hAnsi="楷体" w:eastAsia="楷体" w:cs="楷体"/>
          <w:lang w:eastAsia="zh-CN"/>
        </w:rPr>
        <w:t>（一）</w:t>
      </w:r>
      <w:r>
        <w:rPr>
          <w:rFonts w:hint="eastAsia" w:ascii="楷体" w:hAnsi="楷体" w:eastAsia="楷体" w:cs="楷体"/>
        </w:rPr>
        <w:t>指导思想</w:t>
      </w:r>
      <w:bookmarkEnd w:id="7"/>
    </w:p>
    <w:p>
      <w:r>
        <w:rPr>
          <w:rFonts w:hint="eastAsia"/>
        </w:rPr>
        <w:t>以习近平新时代中国特色社会主义思想为指导，全面贯彻落实党的十九届系列全会精神，坚持以人民为中心，坚定不移走创新实践“绿水青山就是金山银山”新发展理念道路，围绕打造</w:t>
      </w:r>
      <w:r>
        <w:t>“高水平建设和高质量发展重要窗口”</w:t>
      </w:r>
      <w:r>
        <w:rPr>
          <w:rFonts w:hint="eastAsia"/>
        </w:rPr>
        <w:t>，忠实践行“八八战略”，弘扬浙西南革命精神，</w:t>
      </w:r>
      <w:r>
        <w:t>紧扣推动共同富裕和促进人的全面发</w:t>
      </w:r>
      <w:r>
        <w:rPr>
          <w:rFonts w:hint="eastAsia"/>
        </w:rPr>
        <w:t>展，以改革创新为根本动力，全面厉行“丽水之干”</w:t>
      </w:r>
      <w:r>
        <w:t>不动摇</w:t>
      </w:r>
      <w:r>
        <w:rPr>
          <w:rFonts w:hint="eastAsia"/>
        </w:rPr>
        <w:t>，统筹运用数字化手段贯穿到党的领导和民生保障、经济运行、社会治理、城市管理、生态保护、安全应急全过程各方面，推进政府治理全方位、系统性、重塑性变革，统筹数字技术应用和制度创新，共建市县一体、部门协作的现代化数字政府，以数字政府撬动数字经济、数字社会、数字法治建设，有效提升市域治理科学化、精准化、协同化水平，加快建成“整体智治、唯实惟先”的现代化数字政府，奋力开启高水平全面建设社会主义现代化</w:t>
      </w:r>
      <w:r>
        <w:rPr>
          <w:rFonts w:hint="eastAsia"/>
          <w:lang w:eastAsia="zh-CN"/>
        </w:rPr>
        <w:t>国家</w:t>
      </w:r>
      <w:r>
        <w:rPr>
          <w:rFonts w:hint="eastAsia"/>
        </w:rPr>
        <w:t>新征程。</w:t>
      </w:r>
    </w:p>
    <w:p>
      <w:pPr>
        <w:pStyle w:val="3"/>
        <w:numPr>
          <w:ilvl w:val="1"/>
          <w:numId w:val="0"/>
        </w:numPr>
        <w:ind w:firstLine="643" w:firstLineChars="200"/>
        <w:rPr>
          <w:rFonts w:hint="eastAsia" w:ascii="楷体" w:hAnsi="楷体" w:eastAsia="楷体" w:cs="楷体"/>
        </w:rPr>
      </w:pPr>
      <w:bookmarkStart w:id="8" w:name="_Toc85209995"/>
      <w:r>
        <w:rPr>
          <w:rFonts w:hint="eastAsia" w:ascii="楷体" w:hAnsi="楷体" w:eastAsia="楷体" w:cs="楷体"/>
          <w:lang w:eastAsia="zh-CN"/>
        </w:rPr>
        <w:t>（二）</w:t>
      </w:r>
      <w:r>
        <w:rPr>
          <w:rFonts w:hint="eastAsia" w:ascii="楷体" w:hAnsi="楷体" w:eastAsia="楷体" w:cs="楷体"/>
        </w:rPr>
        <w:t>基本原则</w:t>
      </w:r>
      <w:bookmarkEnd w:id="8"/>
    </w:p>
    <w:p>
      <w:pPr>
        <w:ind w:firstLine="643"/>
      </w:pPr>
      <w:r>
        <w:rPr>
          <w:rFonts w:hint="eastAsia"/>
          <w:b/>
          <w:bCs/>
        </w:rPr>
        <w:t>坚持整体智治，顶层设计与基层创新相结合。</w:t>
      </w:r>
      <w:r>
        <w:rPr>
          <w:rFonts w:hint="eastAsia"/>
        </w:rPr>
        <w:t>坚持党的全面领导，牢牢把握全省数字化改革基本思路，强化省市县三级联动、条块结合、统筹实施，落实</w:t>
      </w:r>
      <w:r>
        <w:rPr>
          <w:rFonts w:hint="eastAsia"/>
          <w:color w:val="auto"/>
        </w:rPr>
        <w:t>“一地创新、全省</w:t>
      </w:r>
      <w:r>
        <w:rPr>
          <w:rFonts w:hint="eastAsia"/>
          <w:color w:val="auto"/>
          <w:lang w:eastAsia="zh-CN"/>
        </w:rPr>
        <w:t>共享</w:t>
      </w:r>
      <w:r>
        <w:rPr>
          <w:rFonts w:hint="eastAsia"/>
          <w:color w:val="auto"/>
        </w:rPr>
        <w:t>”机制，</w:t>
      </w:r>
      <w:r>
        <w:rPr>
          <w:rFonts w:hint="eastAsia"/>
        </w:rPr>
        <w:t>发挥本地特色优势开发创新应用，确保数字政府建设整体性</w:t>
      </w:r>
      <w:r>
        <w:rPr>
          <w:rFonts w:hint="eastAsia"/>
          <w:lang w:eastAsia="zh-CN"/>
        </w:rPr>
        <w:t>、</w:t>
      </w:r>
      <w:r>
        <w:rPr>
          <w:rFonts w:hint="eastAsia"/>
        </w:rPr>
        <w:t>一体化推进。</w:t>
      </w:r>
    </w:p>
    <w:p>
      <w:pPr>
        <w:ind w:firstLine="643"/>
        <w:rPr>
          <w:b/>
          <w:bCs/>
        </w:rPr>
      </w:pPr>
      <w:r>
        <w:rPr>
          <w:rFonts w:hint="eastAsia"/>
          <w:b/>
          <w:bCs/>
        </w:rPr>
        <w:t>坚持改革驱动，技术迭代与制度创新相结合。</w:t>
      </w:r>
      <w:r>
        <w:rPr>
          <w:rFonts w:hint="eastAsia"/>
        </w:rPr>
        <w:t>加快数字技术和应用系统迭代升级，推动大数据、人工智能等技术与政府决策、治理、服务的深度融合，通过流程优化再造、数据归集共享，完善高质量发展、高水平均衡、高品质生活、高效能治理的唯实惟先的政府运行体制机制，打造现代化的</w:t>
      </w:r>
      <w:r>
        <w:rPr>
          <w:rFonts w:hint="eastAsia"/>
          <w:lang w:eastAsia="zh-CN"/>
        </w:rPr>
        <w:t>整体</w:t>
      </w:r>
      <w:r>
        <w:rPr>
          <w:rFonts w:hint="eastAsia"/>
        </w:rPr>
        <w:t>智治政府。</w:t>
      </w:r>
    </w:p>
    <w:p>
      <w:pPr>
        <w:ind w:firstLine="643"/>
      </w:pPr>
      <w:r>
        <w:rPr>
          <w:rFonts w:hint="eastAsia"/>
          <w:b/>
          <w:bCs/>
        </w:rPr>
        <w:t>坚持以人为本，平台效能</w:t>
      </w:r>
      <w:r>
        <w:rPr>
          <w:rFonts w:hint="eastAsia"/>
          <w:b/>
          <w:bCs/>
          <w:lang w:eastAsia="zh-CN"/>
        </w:rPr>
        <w:t>与</w:t>
      </w:r>
      <w:r>
        <w:rPr>
          <w:rFonts w:hint="eastAsia"/>
          <w:b/>
          <w:bCs/>
        </w:rPr>
        <w:t>应用效果相结合。</w:t>
      </w:r>
      <w:r>
        <w:rPr>
          <w:rFonts w:hint="eastAsia"/>
        </w:rPr>
        <w:t>牢固树立“建为用、用促治”的理念，以问题和需求为导向，以人民为中心，聚焦痛点难点问题，依托一体化智能化公共数据平台，</w:t>
      </w:r>
      <w:r>
        <w:t>精心打造各类应用场景，</w:t>
      </w:r>
      <w:r>
        <w:rPr>
          <w:rFonts w:hint="eastAsia"/>
        </w:rPr>
        <w:t>积极吸收其他地市的硬核成果，通过数字化改革提高政府管理效率和治理效能。</w:t>
      </w:r>
    </w:p>
    <w:p>
      <w:pPr>
        <w:ind w:firstLine="643"/>
      </w:pPr>
      <w:r>
        <w:rPr>
          <w:rFonts w:hint="eastAsia"/>
          <w:b/>
          <w:bCs/>
        </w:rPr>
        <w:t>坚持共建共享，开放包容与安全防护相结合</w:t>
      </w:r>
      <w:r>
        <w:rPr>
          <w:b/>
          <w:bCs/>
        </w:rPr>
        <w:t>。</w:t>
      </w:r>
      <w:r>
        <w:rPr>
          <w:rFonts w:hint="eastAsia"/>
        </w:rPr>
        <w:t>统筹发展和安全，</w:t>
      </w:r>
      <w:r>
        <w:t>深化政事企合作机制，积极引进社会力量，</w:t>
      </w:r>
      <w:r>
        <w:rPr>
          <w:rFonts w:hint="eastAsia"/>
        </w:rPr>
        <w:t>加强公共数据和社会数据融合，同时树立网络安全底线思维，提升防范和抵御安全风险能力</w:t>
      </w:r>
      <w:r>
        <w:t>。</w:t>
      </w:r>
    </w:p>
    <w:p>
      <w:pPr>
        <w:pStyle w:val="3"/>
        <w:numPr>
          <w:ilvl w:val="1"/>
          <w:numId w:val="0"/>
        </w:numPr>
        <w:ind w:firstLine="643" w:firstLineChars="200"/>
        <w:rPr>
          <w:rFonts w:hint="eastAsia" w:ascii="楷体" w:hAnsi="楷体" w:eastAsia="楷体" w:cs="楷体"/>
        </w:rPr>
      </w:pPr>
      <w:bookmarkStart w:id="9" w:name="_Toc85209996"/>
      <w:r>
        <w:rPr>
          <w:rFonts w:hint="eastAsia" w:ascii="楷体" w:hAnsi="楷体" w:eastAsia="楷体" w:cs="楷体"/>
          <w:lang w:eastAsia="zh-CN"/>
        </w:rPr>
        <w:t>（三）</w:t>
      </w:r>
      <w:r>
        <w:rPr>
          <w:rFonts w:hint="eastAsia" w:ascii="楷体" w:hAnsi="楷体" w:eastAsia="楷体" w:cs="楷体"/>
        </w:rPr>
        <w:t>发展目标</w:t>
      </w:r>
      <w:bookmarkEnd w:id="9"/>
    </w:p>
    <w:p>
      <w:r>
        <w:rPr>
          <w:rFonts w:hint="eastAsia"/>
        </w:rPr>
        <w:t>全面深化丽水市数字政府建设，创新建设丽水特色数字化重点应用。到2</w:t>
      </w:r>
      <w:r>
        <w:t>025</w:t>
      </w:r>
      <w:r>
        <w:rPr>
          <w:rFonts w:hint="eastAsia"/>
        </w:rPr>
        <w:t>年，形成完善的以“花园云”体系为核心的数字政府智慧支撑体系和“两山”转化数字通道，基本建成“整体智治、唯实惟先”的现代政府，成为长三角南部数字政府建设典范，树立大花园最美核心区数字治理新样本。</w:t>
      </w:r>
    </w:p>
    <w:p>
      <w:pPr>
        <w:ind w:firstLine="643"/>
      </w:pPr>
      <w:r>
        <w:rPr>
          <w:rFonts w:hint="eastAsia"/>
          <w:b/>
          <w:bCs/>
        </w:rPr>
        <w:t>高站位落实“掌上通办”数字政府。</w:t>
      </w:r>
      <w:r>
        <w:rPr>
          <w:rFonts w:hint="eastAsia"/>
        </w:rPr>
        <w:t>全面深入推进“最多跑一次”改革，迭代升级“一件事”多部门联办，加强机关内部系统集成、协同高效，实现政务服务“一网通办”“一网通管”的数字化综合应用体系，更好</w:t>
      </w:r>
      <w:r>
        <w:rPr>
          <w:rFonts w:hint="eastAsia"/>
          <w:lang w:eastAsia="zh-CN"/>
        </w:rPr>
        <w:t>地</w:t>
      </w:r>
      <w:r>
        <w:rPr>
          <w:rFonts w:hint="eastAsia"/>
        </w:rPr>
        <w:t>服务群众、服务企业、服务基层，高质量建成“掌上办事之市”“掌上办公之市”。到</w:t>
      </w:r>
      <w:r>
        <w:t>2025年，“掌上办事之</w:t>
      </w:r>
      <w:r>
        <w:rPr>
          <w:rFonts w:hint="eastAsia"/>
        </w:rPr>
        <w:t>市</w:t>
      </w:r>
      <w:r>
        <w:t>”好办易办水平</w:t>
      </w:r>
      <w:r>
        <w:rPr>
          <w:rFonts w:hint="eastAsia"/>
          <w:lang w:eastAsia="zh-CN"/>
        </w:rPr>
        <w:t>显著</w:t>
      </w:r>
      <w:r>
        <w:t>提升。</w:t>
      </w:r>
    </w:p>
    <w:p>
      <w:pPr>
        <w:ind w:firstLine="643"/>
        <w:rPr>
          <w:rFonts w:hint="eastAsia"/>
        </w:rPr>
      </w:pPr>
      <w:r>
        <w:rPr>
          <w:rFonts w:hint="eastAsia"/>
          <w:b/>
          <w:bCs/>
        </w:rPr>
        <w:t>高效率构建“开放普惠”数字政府。</w:t>
      </w:r>
      <w:r>
        <w:rPr>
          <w:rFonts w:hint="eastAsia"/>
        </w:rPr>
        <w:t>着力实现政府职能从管理型向服务型转变，围绕医疗、教育、养老、交通、企业服务等领域创新构建一批数字化场景应用，充分发挥政府数字化改革对促进公共资源优化配置的作用，推动优质公共服务向基层、特殊人群和欠发达地区延伸，有效促进公共服务公平普惠，切实提高人民群众的获得感、满意感。到</w:t>
      </w:r>
      <w:r>
        <w:t>2025年，实现基本公共服务便捷化、优质化、均等化</w:t>
      </w:r>
      <w:r>
        <w:rPr>
          <w:rFonts w:hint="eastAsia"/>
        </w:rPr>
        <w:t>，成为共同富裕美好社会山区样板</w:t>
      </w:r>
      <w:r>
        <w:t>。</w:t>
      </w:r>
    </w:p>
    <w:p>
      <w:pPr>
        <w:ind w:firstLine="643"/>
      </w:pPr>
      <w:r>
        <w:rPr>
          <w:rFonts w:hint="eastAsia"/>
          <w:b/>
          <w:bCs/>
        </w:rPr>
        <w:t>高水平缔造“生态赋能”数字政府。</w:t>
      </w:r>
      <w:r>
        <w:rPr>
          <w:rFonts w:hint="eastAsia"/>
        </w:rPr>
        <w:t>一方面提升区域生态环境治理体系</w:t>
      </w:r>
      <w:r>
        <w:rPr>
          <w:rFonts w:hint="eastAsia"/>
          <w:lang w:eastAsia="zh-CN"/>
        </w:rPr>
        <w:t>，重点是</w:t>
      </w:r>
      <w:r>
        <w:rPr>
          <w:rFonts w:hint="eastAsia"/>
        </w:rPr>
        <w:t>生态环境污染防治、山水林田湖草沙统筹治理等方面的智能化水平，另一方面通过数字赋能提升生态产品价值转化效率</w:t>
      </w:r>
      <w:r>
        <w:t>，</w:t>
      </w:r>
      <w:r>
        <w:rPr>
          <w:rFonts w:hint="eastAsia"/>
        </w:rPr>
        <w:t>持续深化天眼守望助力“两山”转化综合智治应用，迭代升级</w:t>
      </w:r>
      <w:r>
        <w:rPr>
          <w:rFonts w:hint="eastAsia"/>
          <w:b/>
          <w:bCs/>
        </w:rPr>
        <w:t>“护绿出新”</w:t>
      </w:r>
      <w:r>
        <w:rPr>
          <w:rFonts w:hint="eastAsia"/>
          <w:b/>
          <w:bCs/>
          <w:lang w:eastAsia="zh-CN"/>
        </w:rPr>
        <w:t>子场景</w:t>
      </w:r>
      <w:r>
        <w:rPr>
          <w:rFonts w:hint="eastAsia"/>
          <w:b/>
          <w:bCs/>
          <w:vertAlign w:val="superscript"/>
          <w:lang w:val="en-US" w:eastAsia="zh-CN"/>
        </w:rPr>
        <w:t>2</w:t>
      </w:r>
      <w:r>
        <w:rPr>
          <w:rFonts w:hint="eastAsia"/>
          <w:lang w:eastAsia="zh-CN"/>
        </w:rPr>
        <w:t>和</w:t>
      </w:r>
      <w:r>
        <w:rPr>
          <w:rFonts w:hint="eastAsia"/>
          <w:b/>
          <w:bCs/>
        </w:rPr>
        <w:t>“点绿成金”子场</w:t>
      </w:r>
      <w:r>
        <w:rPr>
          <w:rFonts w:hint="eastAsia"/>
          <w:b/>
          <w:bCs/>
          <w:lang w:eastAsia="zh-CN"/>
        </w:rPr>
        <w:t>景</w:t>
      </w:r>
      <w:r>
        <w:rPr>
          <w:rFonts w:hint="eastAsia"/>
          <w:b/>
          <w:bCs/>
          <w:vertAlign w:val="superscript"/>
          <w:lang w:val="en-US" w:eastAsia="zh-CN"/>
        </w:rPr>
        <w:t>3</w:t>
      </w:r>
      <w:r>
        <w:rPr>
          <w:rFonts w:hint="eastAsia"/>
        </w:rPr>
        <w:t>，</w:t>
      </w:r>
      <w:r>
        <w:t>助力创建全国生态产品价值实现机制示范区。到2025年，</w:t>
      </w:r>
      <w:r>
        <w:rPr>
          <w:rFonts w:hint="eastAsia"/>
        </w:rPr>
        <w:t>推动生产总值（</w:t>
      </w:r>
      <w:r>
        <w:t>GDP）和生态系统生产总值（GEP）持续实现“</w:t>
      </w:r>
      <w:r>
        <w:rPr>
          <w:b/>
          <w:bCs/>
        </w:rPr>
        <w:t>两个较快增长</w:t>
      </w:r>
      <w:r>
        <w:rPr>
          <w:rFonts w:hint="eastAsia"/>
          <w:b/>
          <w:bCs/>
          <w:vertAlign w:val="superscript"/>
          <w:lang w:val="en-US" w:eastAsia="zh-CN"/>
        </w:rPr>
        <w:t>4</w:t>
      </w:r>
      <w:r>
        <w:t>”</w:t>
      </w:r>
      <w:r>
        <w:rPr>
          <w:rFonts w:hint="eastAsia"/>
        </w:rPr>
        <w:t>，</w:t>
      </w:r>
      <w:r>
        <w:rPr>
          <w:rFonts w:hint="eastAsia"/>
          <w:lang w:eastAsia="zh-CN"/>
        </w:rPr>
        <w:t>成为</w:t>
      </w:r>
      <w:r>
        <w:t>中国数字生态首城，为全国高质量绿色发展提供数字化“丽水样板”。</w:t>
      </w:r>
    </w:p>
    <w:p>
      <w:pPr>
        <w:ind w:firstLine="643"/>
      </w:pPr>
      <w:r>
        <w:rPr>
          <w:rFonts w:hint="eastAsia"/>
          <w:b/>
          <w:bCs/>
        </w:rPr>
        <w:t>高标准引领“精准治理”数字政府。</w:t>
      </w:r>
      <w:r>
        <w:rPr>
          <w:rFonts w:hint="eastAsia"/>
        </w:rPr>
        <w:t>拓展深化政府运行、民生保障、经济运行、社会治理、城市管理、生态保护、安全应急等领域的数字化应用，形成即时感知、高效运行、科学决策、智能监管的新型治理形态，树立现代化市域治理新</w:t>
      </w:r>
      <w:r>
        <w:rPr>
          <w:rFonts w:hint="eastAsia"/>
          <w:lang w:eastAsia="zh-CN"/>
        </w:rPr>
        <w:t>典范</w:t>
      </w:r>
      <w:r>
        <w:rPr>
          <w:rFonts w:hint="eastAsia"/>
        </w:rPr>
        <w:t>。到</w:t>
      </w:r>
      <w:r>
        <w:t>2025年，全面实现重大风险智能感知、智能预警与应急响应，在经济、社会、环境治理等领域智能化水平显著提升。</w:t>
      </w:r>
    </w:p>
    <w:p>
      <w:pPr>
        <w:ind w:firstLine="643"/>
      </w:pPr>
      <w:r>
        <w:rPr>
          <w:rFonts w:hint="eastAsia"/>
          <w:b/>
          <w:bCs/>
        </w:rPr>
        <w:t>高质量打造“共建共享”数字政府。</w:t>
      </w:r>
      <w:r>
        <w:rPr>
          <w:rFonts w:hint="eastAsia"/>
        </w:rPr>
        <w:t>通过构建全领域多层次物联感知、全要素多类型资源共享、全过程多维度流程再造、全方位立体化科学管理的“四全”体系，加快推进政府数字化改革，强化基础性支撑，</w:t>
      </w:r>
      <w:r>
        <w:rPr>
          <w:rFonts w:hint="eastAsia"/>
          <w:lang w:eastAsia="zh-CN"/>
        </w:rPr>
        <w:t>形成</w:t>
      </w:r>
      <w:r>
        <w:rPr>
          <w:rFonts w:hint="eastAsia"/>
        </w:rPr>
        <w:t>具有丽水特色的整体智治体系。到</w:t>
      </w:r>
      <w:r>
        <w:t>2025年，实现公共数据应开放尽开放，政务公开透明度、政企数据融合度领跑全省，打造一批在全国有影响力的融合数据创新应用。</w:t>
      </w:r>
    </w:p>
    <w:p>
      <w:pPr>
        <w:sectPr>
          <w:footerReference r:id="rId12" w:type="default"/>
          <w:pgSz w:w="11906" w:h="16838"/>
          <w:pgMar w:top="1440" w:right="1800" w:bottom="1440" w:left="1800" w:header="851" w:footer="992" w:gutter="0"/>
          <w:cols w:space="425" w:num="1"/>
          <w:docGrid w:type="lines" w:linePitch="312" w:charSpace="0"/>
        </w:sectPr>
      </w:pPr>
      <w:r>
        <w:rPr>
          <w:rFonts w:hint="eastAsia"/>
          <w:b/>
          <w:bCs/>
        </w:rPr>
        <w:t>中长期目标：</w:t>
      </w:r>
      <w:r>
        <w:rPr>
          <w:rFonts w:hint="eastAsia"/>
        </w:rPr>
        <w:t>到2</w:t>
      </w:r>
      <w:r>
        <w:t>035</w:t>
      </w:r>
      <w:r>
        <w:rPr>
          <w:rFonts w:hint="eastAsia"/>
        </w:rPr>
        <w:t>年，数字化驱动政府深化改革和生产关系变革成效凸显，数据要素流通机制健全，全面实现用数据决策、用数据服务、用数据治理、用数据创新，助力建成文化丽水、</w:t>
      </w:r>
      <w:r>
        <w:t>健康丽水、法治丽水、平安丽水</w:t>
      </w:r>
      <w:r>
        <w:rPr>
          <w:rFonts w:hint="eastAsia"/>
        </w:rPr>
        <w:t>、</w:t>
      </w:r>
      <w:r>
        <w:t>清廉丽水</w:t>
      </w:r>
      <w:r>
        <w:rPr>
          <w:rFonts w:hint="eastAsia"/>
        </w:rPr>
        <w:t>，率先实现市域治理现代化，高水平建成整体智治</w:t>
      </w:r>
      <w:r>
        <w:rPr>
          <w:rFonts w:hint="eastAsia"/>
          <w:lang w:eastAsia="zh-CN"/>
        </w:rPr>
        <w:t>的</w:t>
      </w:r>
      <w:r>
        <w:rPr>
          <w:rFonts w:hint="eastAsia"/>
        </w:rPr>
        <w:t>现代政府，努力成为全面展示浙江高水平生态文明建设和高质量绿色发展两方面成果和经验的重要窗口。</w:t>
      </w:r>
    </w:p>
    <w:p>
      <w:pPr>
        <w:pStyle w:val="2"/>
        <w:numPr>
          <w:ilvl w:val="0"/>
          <w:numId w:val="0"/>
        </w:numPr>
        <w:ind w:leftChars="0" w:firstLine="640" w:firstLineChars="200"/>
        <w:jc w:val="both"/>
        <w:rPr>
          <w:rFonts w:hint="eastAsia" w:ascii="黑体" w:hAnsi="黑体" w:eastAsia="黑体" w:cs="黑体"/>
          <w:b w:val="0"/>
          <w:bCs w:val="0"/>
        </w:rPr>
      </w:pPr>
      <w:bookmarkStart w:id="10" w:name="_Toc73023259"/>
      <w:bookmarkEnd w:id="10"/>
      <w:bookmarkStart w:id="11" w:name="_Toc85209997"/>
      <w:r>
        <w:rPr>
          <w:rFonts w:hint="eastAsia" w:ascii="黑体" w:hAnsi="黑体" w:eastAsia="黑体" w:cs="黑体"/>
          <w:b w:val="0"/>
          <w:bCs w:val="0"/>
          <w:lang w:eastAsia="zh-CN"/>
        </w:rPr>
        <w:t>三、</w:t>
      </w:r>
      <w:r>
        <w:rPr>
          <w:rFonts w:hint="eastAsia" w:ascii="黑体" w:hAnsi="黑体" w:eastAsia="黑体" w:cs="黑体"/>
          <w:b w:val="0"/>
          <w:bCs w:val="0"/>
        </w:rPr>
        <w:t>主要任务</w:t>
      </w:r>
      <w:bookmarkEnd w:id="11"/>
    </w:p>
    <w:p>
      <w:pPr>
        <w:pStyle w:val="3"/>
        <w:numPr>
          <w:ilvl w:val="1"/>
          <w:numId w:val="0"/>
        </w:numPr>
        <w:ind w:firstLine="643" w:firstLineChars="200"/>
        <w:rPr>
          <w:rFonts w:hint="eastAsia" w:ascii="楷体" w:hAnsi="楷体" w:eastAsia="楷体" w:cs="楷体"/>
        </w:rPr>
      </w:pPr>
      <w:bookmarkStart w:id="12" w:name="_Toc85209998"/>
      <w:r>
        <w:rPr>
          <w:rFonts w:hint="eastAsia" w:ascii="楷体" w:hAnsi="楷体" w:eastAsia="楷体" w:cs="楷体"/>
          <w:lang w:eastAsia="zh-CN"/>
        </w:rPr>
        <w:t>（一）</w:t>
      </w:r>
      <w:r>
        <w:rPr>
          <w:rFonts w:hint="eastAsia" w:ascii="楷体" w:hAnsi="楷体" w:eastAsia="楷体" w:cs="楷体"/>
        </w:rPr>
        <w:t>围绕行政效能提升，推进政府业务运行高效化</w:t>
      </w:r>
      <w:bookmarkEnd w:id="12"/>
    </w:p>
    <w:p>
      <w:r>
        <w:rPr>
          <w:rFonts w:hint="eastAsia"/>
        </w:rPr>
        <w:t>以数字化手段着力提升政府治理现代化水平，加快推进政府全方位、系统性、重塑性改革，基本实现主要领域核心业务数字化全覆盖，全面建成“掌上办公之市”。</w:t>
      </w:r>
    </w:p>
    <w:p>
      <w:r>
        <w:rPr>
          <w:b/>
          <w:bCs/>
        </w:rPr>
        <w:t>1</w:t>
      </w:r>
      <w:r>
        <w:rPr>
          <w:rFonts w:hint="eastAsia"/>
          <w:b/>
          <w:bCs/>
          <w:lang w:val="en-US" w:eastAsia="zh-CN"/>
        </w:rPr>
        <w:t>.</w:t>
      </w:r>
      <w:r>
        <w:rPr>
          <w:b/>
          <w:bCs/>
        </w:rPr>
        <w:t>提高核心业务数字化水平。</w:t>
      </w:r>
      <w:r>
        <w:t>结合国家</w:t>
      </w:r>
      <w:r>
        <w:rPr>
          <w:rFonts w:hint="eastAsia"/>
          <w:lang w:eastAsia="zh-CN"/>
        </w:rPr>
        <w:t>、</w:t>
      </w:r>
      <w:r>
        <w:t>省级、市委市政府工作部署以及丽水实际，围绕</w:t>
      </w:r>
      <w:r>
        <w:rPr>
          <w:b/>
          <w:bCs/>
        </w:rPr>
        <w:t>“五位一体”总体布局</w:t>
      </w:r>
      <w:r>
        <w:rPr>
          <w:rFonts w:hint="eastAsia"/>
          <w:b/>
          <w:bCs/>
          <w:vertAlign w:val="superscript"/>
          <w:lang w:val="en-US" w:eastAsia="zh-CN"/>
        </w:rPr>
        <w:t>5</w:t>
      </w:r>
      <w:r>
        <w:t>，全面梳理核心业务事项，加快推进以数字化形式映射各领域</w:t>
      </w:r>
      <w:r>
        <w:rPr>
          <w:rFonts w:hint="eastAsia"/>
          <w:lang w:eastAsia="zh-CN"/>
        </w:rPr>
        <w:t>、</w:t>
      </w:r>
      <w:r>
        <w:t>各部门年度重点工作，不断深化</w:t>
      </w:r>
      <w:r>
        <w:rPr>
          <w:rFonts w:hint="eastAsia"/>
          <w:lang w:eastAsia="zh-CN"/>
        </w:rPr>
        <w:t>、</w:t>
      </w:r>
      <w:r>
        <w:t>拓展重大任务的综合集成应用，坚持每年提升一批、新建一批、谋划一批，逐步倒逼相关领域的核心业务</w:t>
      </w:r>
      <w:r>
        <w:rPr>
          <w:rFonts w:hint="eastAsia"/>
          <w:lang w:eastAsia="zh-CN"/>
        </w:rPr>
        <w:t>及</w:t>
      </w:r>
      <w:r>
        <w:t>协同单位</w:t>
      </w:r>
      <w:r>
        <w:rPr>
          <w:rFonts w:hint="eastAsia"/>
          <w:lang w:eastAsia="zh-CN"/>
        </w:rPr>
        <w:t>业务</w:t>
      </w:r>
      <w:r>
        <w:t>数字化</w:t>
      </w:r>
      <w:r>
        <w:rPr>
          <w:rFonts w:hint="eastAsia"/>
          <w:lang w:eastAsia="zh-CN"/>
        </w:rPr>
        <w:t>并持续</w:t>
      </w:r>
      <w:r>
        <w:t>迭代升级。</w:t>
      </w:r>
    </w:p>
    <w:p>
      <w:r>
        <w:rPr>
          <w:b/>
          <w:bCs/>
        </w:rPr>
        <w:t>2</w:t>
      </w:r>
      <w:r>
        <w:rPr>
          <w:rFonts w:hint="eastAsia"/>
          <w:b/>
          <w:bCs/>
          <w:lang w:val="en-US" w:eastAsia="zh-CN"/>
        </w:rPr>
        <w:t>.</w:t>
      </w:r>
      <w:r>
        <w:rPr>
          <w:b/>
          <w:bCs/>
        </w:rPr>
        <w:t>提高政府业务协同能力。</w:t>
      </w:r>
      <w:r>
        <w:t>基于各部门核心业务数字化应用，立足多跨场景需求，依托全领域、全业务、全流程规范化、模块化、数字化事件执行链，推进政府机关科学决策、精准执行、风险预警、执法监管、服务保障、督查督办、绩效评价、档案管理等数字化协同工程建设，实现政府在高效协同、综合集成、闭环管理</w:t>
      </w:r>
      <w:r>
        <w:rPr>
          <w:rFonts w:hint="eastAsia"/>
          <w:lang w:eastAsia="zh-CN"/>
        </w:rPr>
        <w:t>能力</w:t>
      </w:r>
      <w:r>
        <w:t>的整体跃升。</w:t>
      </w:r>
    </w:p>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numPr>
                <w:ilvl w:val="0"/>
                <w:numId w:val="2"/>
              </w:numPr>
              <w:spacing w:line="240" w:lineRule="auto"/>
              <w:ind w:left="0" w:firstLine="0" w:firstLineChars="0"/>
              <w:jc w:val="center"/>
              <w:rPr>
                <w:rFonts w:hint="eastAsia" w:ascii="黑体" w:hAnsi="黑体" w:eastAsia="黑体" w:cs="黑体"/>
                <w:kern w:val="0"/>
                <w:sz w:val="28"/>
                <w:szCs w:val="28"/>
              </w:rPr>
            </w:pPr>
            <w:r>
              <w:rPr>
                <w:rFonts w:hint="eastAsia" w:ascii="黑体" w:hAnsi="黑体" w:eastAsia="黑体" w:cs="黑体"/>
                <w:kern w:val="0"/>
                <w:sz w:val="28"/>
                <w:szCs w:val="28"/>
              </w:rPr>
              <w:t>政府业务运行类重点应用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机关内部“一件事”集成改革。</w:t>
            </w:r>
            <w:r>
              <w:rPr>
                <w:rFonts w:hint="eastAsia" w:ascii="仿宋" w:hAnsi="仿宋" w:eastAsia="仿宋"/>
                <w:kern w:val="0"/>
                <w:sz w:val="28"/>
                <w:szCs w:val="28"/>
              </w:rPr>
              <w:t>进一步挖掘多部门、跨层级、高频次的协同联办事项，探索并不断丰富机关内部“一件事”协同应用，全面提升机关</w:t>
            </w:r>
            <w:r>
              <w:rPr>
                <w:rFonts w:hint="eastAsia" w:ascii="仿宋" w:hAnsi="仿宋" w:eastAsia="仿宋"/>
                <w:kern w:val="0"/>
                <w:sz w:val="28"/>
                <w:szCs w:val="28"/>
                <w:lang w:eastAsia="zh-CN"/>
              </w:rPr>
              <w:t>内部</w:t>
            </w:r>
            <w:r>
              <w:rPr>
                <w:rFonts w:hint="eastAsia" w:ascii="仿宋" w:hAnsi="仿宋" w:eastAsia="仿宋"/>
                <w:kern w:val="0"/>
                <w:sz w:val="28"/>
                <w:szCs w:val="28"/>
              </w:rPr>
              <w:t>办事效能。</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“丽水之干”（政府效能）应用场景。</w:t>
            </w:r>
            <w:r>
              <w:rPr>
                <w:rFonts w:hint="eastAsia" w:ascii="仿宋" w:hAnsi="仿宋" w:eastAsia="仿宋"/>
                <w:kern w:val="0"/>
                <w:sz w:val="28"/>
                <w:szCs w:val="28"/>
              </w:rPr>
              <w:t>构建目标体系量化、工作体系具化、政策体系细化、评价体系实化的政府治理闭环执行链，拓展指数化分析</w:t>
            </w:r>
            <w:r>
              <w:rPr>
                <w:rFonts w:ascii="仿宋" w:hAnsi="仿宋" w:eastAsia="仿宋"/>
                <w:kern w:val="0"/>
                <w:sz w:val="28"/>
                <w:szCs w:val="28"/>
              </w:rPr>
              <w:t>应用场景</w:t>
            </w:r>
            <w:r>
              <w:rPr>
                <w:rFonts w:hint="eastAsia" w:ascii="仿宋" w:hAnsi="仿宋" w:eastAsia="仿宋"/>
                <w:kern w:val="0"/>
                <w:sz w:val="28"/>
                <w:szCs w:val="28"/>
              </w:rPr>
              <w:t>，提升政府决策水平、治理质量、</w:t>
            </w:r>
            <w:r>
              <w:rPr>
                <w:rFonts w:hint="eastAsia" w:ascii="仿宋" w:hAnsi="仿宋" w:eastAsia="仿宋"/>
                <w:kern w:val="0"/>
                <w:sz w:val="28"/>
                <w:szCs w:val="28"/>
                <w:lang w:eastAsia="zh-CN"/>
              </w:rPr>
              <w:t>工作</w:t>
            </w:r>
            <w:r>
              <w:rPr>
                <w:rFonts w:hint="eastAsia" w:ascii="仿宋" w:hAnsi="仿宋" w:eastAsia="仿宋"/>
                <w:kern w:val="0"/>
                <w:sz w:val="28"/>
                <w:szCs w:val="28"/>
              </w:rPr>
              <w:t>效率和公信力。</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党政机关</w:t>
            </w:r>
            <w:r>
              <w:rPr>
                <w:rFonts w:ascii="仿宋" w:hAnsi="仿宋" w:eastAsia="仿宋"/>
                <w:b/>
                <w:bCs/>
                <w:kern w:val="0"/>
                <w:sz w:val="28"/>
                <w:szCs w:val="28"/>
              </w:rPr>
              <w:t>协同办公</w:t>
            </w:r>
            <w:r>
              <w:rPr>
                <w:rFonts w:hint="eastAsia" w:ascii="仿宋" w:hAnsi="仿宋" w:eastAsia="仿宋"/>
                <w:b/>
                <w:bCs/>
                <w:kern w:val="0"/>
                <w:sz w:val="28"/>
                <w:szCs w:val="28"/>
              </w:rPr>
              <w:t>。</w:t>
            </w:r>
            <w:r>
              <w:rPr>
                <w:rFonts w:hint="eastAsia" w:ascii="仿宋" w:hAnsi="仿宋" w:eastAsia="仿宋"/>
                <w:kern w:val="0"/>
                <w:sz w:val="28"/>
                <w:szCs w:val="28"/>
                <w:lang w:eastAsia="zh-CN"/>
              </w:rPr>
              <w:t>迭代升级</w:t>
            </w:r>
            <w:r>
              <w:rPr>
                <w:rFonts w:ascii="仿宋" w:hAnsi="仿宋" w:eastAsia="仿宋"/>
                <w:kern w:val="0"/>
                <w:sz w:val="28"/>
                <w:szCs w:val="28"/>
              </w:rPr>
              <w:t>全市党政机关协同办公系统，</w:t>
            </w:r>
            <w:r>
              <w:rPr>
                <w:rFonts w:hint="eastAsia" w:ascii="仿宋" w:hAnsi="仿宋" w:eastAsia="仿宋"/>
                <w:kern w:val="0"/>
                <w:sz w:val="28"/>
                <w:szCs w:val="28"/>
              </w:rPr>
              <w:t>提升办文办会、档案管理等场景的智能化水平</w:t>
            </w:r>
            <w:r>
              <w:rPr>
                <w:rFonts w:ascii="仿宋" w:hAnsi="仿宋" w:eastAsia="仿宋"/>
                <w:kern w:val="0"/>
                <w:sz w:val="28"/>
                <w:szCs w:val="28"/>
              </w:rPr>
              <w:t>，</w:t>
            </w:r>
            <w:r>
              <w:rPr>
                <w:rFonts w:hint="eastAsia" w:ascii="仿宋" w:hAnsi="仿宋" w:eastAsia="仿宋"/>
                <w:kern w:val="0"/>
                <w:sz w:val="28"/>
                <w:szCs w:val="28"/>
              </w:rPr>
              <w:t>实现</w:t>
            </w:r>
            <w:r>
              <w:rPr>
                <w:rFonts w:ascii="仿宋" w:hAnsi="仿宋" w:eastAsia="仿宋"/>
                <w:kern w:val="0"/>
                <w:sz w:val="28"/>
                <w:szCs w:val="28"/>
              </w:rPr>
              <w:t>全市统一、纵向贯通、横向扩展的一体化协同办公。</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“浙政钉”</w:t>
            </w:r>
            <w:r>
              <w:rPr>
                <w:rFonts w:ascii="仿宋" w:hAnsi="仿宋" w:eastAsia="仿宋"/>
                <w:b/>
                <w:bCs/>
                <w:kern w:val="0"/>
                <w:sz w:val="28"/>
                <w:szCs w:val="28"/>
              </w:rPr>
              <w:t>2.0微应用。</w:t>
            </w:r>
            <w:r>
              <w:rPr>
                <w:rFonts w:ascii="仿宋" w:hAnsi="仿宋" w:eastAsia="仿宋"/>
                <w:kern w:val="0"/>
                <w:sz w:val="28"/>
                <w:szCs w:val="28"/>
              </w:rPr>
              <w:t>推动各级部门打造一批覆盖各领域数字化改革的微应用，实现政务业务协同和部门间非涉密办事事项“应上钉、尽上钉”，稳步做好微应用</w:t>
            </w:r>
            <w:r>
              <w:rPr>
                <w:rFonts w:hint="eastAsia" w:ascii="仿宋" w:hAnsi="仿宋" w:eastAsia="仿宋"/>
                <w:kern w:val="0"/>
                <w:sz w:val="28"/>
                <w:szCs w:val="28"/>
                <w:lang w:eastAsia="zh-CN"/>
              </w:rPr>
              <w:t>推广、</w:t>
            </w:r>
            <w:r>
              <w:rPr>
                <w:rFonts w:ascii="仿宋" w:hAnsi="仿宋" w:eastAsia="仿宋"/>
                <w:kern w:val="0"/>
                <w:sz w:val="28"/>
                <w:szCs w:val="28"/>
              </w:rPr>
              <w:t>活跃率提升。</w:t>
            </w:r>
          </w:p>
        </w:tc>
      </w:tr>
    </w:tbl>
    <w:p/>
    <w:p>
      <w:pPr>
        <w:pStyle w:val="3"/>
        <w:numPr>
          <w:ilvl w:val="1"/>
          <w:numId w:val="0"/>
        </w:numPr>
        <w:ind w:firstLine="643" w:firstLineChars="200"/>
        <w:rPr>
          <w:rFonts w:hint="eastAsia" w:ascii="楷体" w:hAnsi="楷体" w:eastAsia="楷体" w:cs="楷体"/>
        </w:rPr>
      </w:pPr>
      <w:bookmarkStart w:id="13" w:name="_Toc85209999"/>
      <w:r>
        <w:rPr>
          <w:rFonts w:hint="eastAsia" w:ascii="楷体" w:hAnsi="楷体" w:eastAsia="楷体" w:cs="楷体"/>
          <w:lang w:eastAsia="zh-CN"/>
        </w:rPr>
        <w:t>（二）</w:t>
      </w:r>
      <w:r>
        <w:rPr>
          <w:rFonts w:hint="eastAsia" w:ascii="楷体" w:hAnsi="楷体" w:eastAsia="楷体" w:cs="楷体"/>
        </w:rPr>
        <w:t>围绕生活品质提高，推进民生保障服务精细化</w:t>
      </w:r>
      <w:bookmarkEnd w:id="13"/>
    </w:p>
    <w:p>
      <w:r>
        <w:rPr>
          <w:rFonts w:hint="eastAsia"/>
        </w:rPr>
        <w:t>以未来社区、乡村服务为切入点，推进全生命周期“一件事”改革，打造全链条、全周期的多样、均等、便捷的社会服务体系，全面深化社会事业领域数字化改革。</w:t>
      </w:r>
    </w:p>
    <w:p>
      <w:bookmarkStart w:id="14" w:name="_Toc73023265"/>
      <w:bookmarkEnd w:id="14"/>
      <w:r>
        <w:rPr>
          <w:b/>
          <w:bCs/>
        </w:rPr>
        <w:t>1.</w:t>
      </w:r>
      <w:r>
        <w:rPr>
          <w:rFonts w:hint="eastAsia"/>
          <w:b/>
          <w:bCs/>
        </w:rPr>
        <w:t>持续深化政务服务“一网通办”</w:t>
      </w:r>
      <w:r>
        <w:rPr>
          <w:b/>
          <w:bCs/>
        </w:rPr>
        <w:t>。</w:t>
      </w:r>
      <w:r>
        <w:rPr>
          <w:rFonts w:hint="eastAsia"/>
        </w:rPr>
        <w:t>加快</w:t>
      </w:r>
      <w:r>
        <w:t>推进市、县两级政务服务事项全面接入</w:t>
      </w:r>
      <w:r>
        <w:rPr>
          <w:rFonts w:hint="eastAsia"/>
        </w:rPr>
        <w:t>浙江</w:t>
      </w:r>
      <w:r>
        <w:t>省政务服务2.0平台，</w:t>
      </w:r>
      <w:r>
        <w:rPr>
          <w:rFonts w:hint="eastAsia"/>
        </w:rPr>
        <w:t>以通办帮办快办为导向，持续迭代推进“一码通办”“跨市域通办”“全程帮办”等改革，探索智能化审批，推动部分高频事项</w:t>
      </w:r>
      <w:r>
        <w:rPr>
          <w:rFonts w:hint="eastAsia"/>
          <w:lang w:eastAsia="zh-CN"/>
        </w:rPr>
        <w:t>实现</w:t>
      </w:r>
      <w:r>
        <w:rPr>
          <w:rFonts w:hint="eastAsia"/>
        </w:rPr>
        <w:t>“智能秒办”。迭代升级“浙里办”城市频道，综合集成本地特色服务，实现一端集成、全市共享，</w:t>
      </w:r>
      <w:r>
        <w:rPr>
          <w:rFonts w:hint="eastAsia"/>
          <w:lang w:eastAsia="zh-CN"/>
        </w:rPr>
        <w:t>同时</w:t>
      </w:r>
      <w:r>
        <w:rPr>
          <w:rFonts w:hint="eastAsia"/>
        </w:rPr>
        <w:t>强化智能服务与授权管理。</w:t>
      </w:r>
    </w:p>
    <w:p>
      <w:pPr>
        <w:rPr>
          <w:rFonts w:hint="eastAsia"/>
        </w:rPr>
      </w:pPr>
      <w:r>
        <w:rPr>
          <w:rFonts w:hint="eastAsia"/>
          <w:b/>
          <w:bCs/>
        </w:rPr>
        <w:t>2</w:t>
      </w:r>
      <w:r>
        <w:rPr>
          <w:b/>
          <w:bCs/>
        </w:rPr>
        <w:t>.</w:t>
      </w:r>
      <w:r>
        <w:rPr>
          <w:rFonts w:hint="eastAsia"/>
          <w:b/>
          <w:bCs/>
        </w:rPr>
        <w:t>构建多层次的公共服务体系。</w:t>
      </w:r>
      <w:r>
        <w:rPr>
          <w:rFonts w:hint="eastAsia"/>
        </w:rPr>
        <w:t>运用数字化手段创新公共服务提供方式，迭代</w:t>
      </w:r>
      <w:r>
        <w:rPr>
          <w:rFonts w:hint="eastAsia"/>
          <w:lang w:eastAsia="zh-CN"/>
        </w:rPr>
        <w:t>升级</w:t>
      </w:r>
      <w:r>
        <w:rPr>
          <w:rFonts w:hint="eastAsia"/>
        </w:rPr>
        <w:t>婴育、教育、就业、居住、文化、体育、旅游、医疗、养老、救助、交通、家政等领域的数字化服务，加快推进</w:t>
      </w:r>
      <w:r>
        <w:rPr>
          <w:rFonts w:hint="eastAsia"/>
          <w:lang w:eastAsia="zh-CN"/>
        </w:rPr>
        <w:t>长三角地区</w:t>
      </w:r>
      <w:r>
        <w:rPr>
          <w:rFonts w:hint="eastAsia"/>
        </w:rPr>
        <w:t>公共服务智慧</w:t>
      </w:r>
      <w:r>
        <w:rPr>
          <w:rFonts w:hint="eastAsia"/>
          <w:lang w:eastAsia="zh-CN"/>
        </w:rPr>
        <w:t>化</w:t>
      </w:r>
      <w:r>
        <w:rPr>
          <w:rFonts w:hint="eastAsia"/>
        </w:rPr>
        <w:t>均等</w:t>
      </w:r>
      <w:r>
        <w:rPr>
          <w:rFonts w:hint="eastAsia"/>
          <w:lang w:eastAsia="zh-CN"/>
        </w:rPr>
        <w:t>化</w:t>
      </w:r>
      <w:r>
        <w:rPr>
          <w:rFonts w:hint="eastAsia"/>
        </w:rPr>
        <w:t>，</w:t>
      </w:r>
      <w:r>
        <w:rPr>
          <w:rFonts w:hint="eastAsia"/>
          <w:lang w:eastAsia="zh-CN"/>
        </w:rPr>
        <w:t>持续提升人民</w:t>
      </w:r>
      <w:r>
        <w:rPr>
          <w:rFonts w:hint="eastAsia"/>
        </w:rPr>
        <w:t>生活便捷度。探索适应老年人、残疾人等特殊人群需求的智慧化服务。加快未来社区建设，推进未来邻里、教育、健康等九大数字化创新</w:t>
      </w:r>
      <w:r>
        <w:rPr>
          <w:rFonts w:hint="eastAsia"/>
          <w:lang w:eastAsia="zh-CN"/>
        </w:rPr>
        <w:t>应用</w:t>
      </w:r>
      <w:r>
        <w:rPr>
          <w:rFonts w:hint="eastAsia"/>
        </w:rPr>
        <w:t>场景在社区落地。</w:t>
      </w:r>
    </w:p>
    <w:p>
      <w:pPr>
        <w:rPr>
          <w:rFonts w:hint="eastAsia"/>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numPr>
                <w:ilvl w:val="0"/>
                <w:numId w:val="2"/>
              </w:numPr>
              <w:spacing w:line="240" w:lineRule="auto"/>
              <w:ind w:left="0" w:firstLine="0" w:firstLineChars="0"/>
              <w:jc w:val="center"/>
              <w:rPr>
                <w:rFonts w:hint="eastAsia" w:ascii="黑体" w:hAnsi="黑体" w:eastAsia="黑体" w:cs="黑体"/>
                <w:kern w:val="0"/>
                <w:sz w:val="28"/>
                <w:szCs w:val="28"/>
              </w:rPr>
            </w:pPr>
            <w:r>
              <w:rPr>
                <w:rFonts w:hint="eastAsia" w:ascii="黑体" w:hAnsi="黑体" w:eastAsia="黑体" w:cs="黑体"/>
                <w:kern w:val="0"/>
                <w:sz w:val="28"/>
                <w:szCs w:val="28"/>
              </w:rPr>
              <w:t>民生保障服务类重点应用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智慧养老。</w:t>
            </w:r>
            <w:r>
              <w:rPr>
                <w:rFonts w:hint="eastAsia" w:ascii="仿宋" w:hAnsi="仿宋" w:eastAsia="仿宋"/>
                <w:kern w:val="0"/>
                <w:sz w:val="28"/>
                <w:szCs w:val="28"/>
              </w:rPr>
              <w:t>依托“浙里养”、丽水居养</w:t>
            </w:r>
            <w:r>
              <w:rPr>
                <w:rFonts w:ascii="仿宋" w:hAnsi="仿宋" w:eastAsia="仿宋"/>
                <w:kern w:val="0"/>
                <w:sz w:val="28"/>
                <w:szCs w:val="28"/>
              </w:rPr>
              <w:t>96345综合服务</w:t>
            </w:r>
            <w:r>
              <w:rPr>
                <w:rFonts w:hint="eastAsia" w:ascii="仿宋" w:hAnsi="仿宋" w:eastAsia="仿宋"/>
                <w:kern w:val="0"/>
                <w:sz w:val="28"/>
                <w:szCs w:val="28"/>
              </w:rPr>
              <w:t>等应用</w:t>
            </w:r>
            <w:r>
              <w:rPr>
                <w:rFonts w:hint="eastAsia" w:ascii="仿宋" w:hAnsi="仿宋" w:eastAsia="仿宋"/>
                <w:kern w:val="0"/>
                <w:sz w:val="28"/>
                <w:szCs w:val="28"/>
                <w:lang w:eastAsia="zh-CN"/>
              </w:rPr>
              <w:t>，</w:t>
            </w:r>
            <w:r>
              <w:rPr>
                <w:rFonts w:ascii="仿宋" w:hAnsi="仿宋" w:eastAsia="仿宋"/>
                <w:kern w:val="0"/>
                <w:sz w:val="28"/>
                <w:szCs w:val="28"/>
              </w:rPr>
              <w:t>进一步提升</w:t>
            </w:r>
            <w:r>
              <w:rPr>
                <w:rFonts w:hint="eastAsia" w:ascii="仿宋" w:hAnsi="仿宋" w:eastAsia="仿宋"/>
                <w:kern w:val="0"/>
                <w:sz w:val="28"/>
                <w:szCs w:val="28"/>
              </w:rPr>
              <w:t>应对人口老龄化的</w:t>
            </w:r>
            <w:r>
              <w:rPr>
                <w:rFonts w:ascii="仿宋" w:hAnsi="仿宋" w:eastAsia="仿宋"/>
                <w:kern w:val="0"/>
                <w:sz w:val="28"/>
                <w:szCs w:val="28"/>
              </w:rPr>
              <w:t>大数据分析研判能力，</w:t>
            </w:r>
            <w:r>
              <w:rPr>
                <w:rFonts w:hint="eastAsia" w:ascii="仿宋" w:hAnsi="仿宋" w:eastAsia="仿宋"/>
                <w:kern w:val="0"/>
                <w:sz w:val="28"/>
                <w:szCs w:val="28"/>
              </w:rPr>
              <w:t>探索综合性养老应用，创新智慧养老新模式。</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数字教育。</w:t>
            </w:r>
            <w:r>
              <w:rPr>
                <w:rFonts w:hint="eastAsia" w:ascii="仿宋" w:hAnsi="仿宋" w:eastAsia="仿宋"/>
                <w:kern w:val="0"/>
                <w:sz w:val="28"/>
                <w:szCs w:val="28"/>
              </w:rPr>
              <w:t>统筹城乡教育资源，建设教育大数据中心，探索覆盖校园安全、学区规划、入园入学、家校联系、校外培训、教育资助等多业务协同应用，打造数字教育新生态。</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智慧文旅。</w:t>
            </w:r>
            <w:r>
              <w:rPr>
                <w:rFonts w:hint="eastAsia" w:ascii="仿宋" w:hAnsi="仿宋" w:eastAsia="仿宋"/>
                <w:kern w:val="0"/>
                <w:sz w:val="28"/>
                <w:szCs w:val="28"/>
                <w:lang w:eastAsia="zh-CN"/>
              </w:rPr>
              <w:t>升级拓展</w:t>
            </w:r>
            <w:r>
              <w:rPr>
                <w:rFonts w:hint="eastAsia" w:ascii="仿宋" w:hAnsi="仿宋" w:eastAsia="仿宋"/>
                <w:kern w:val="0"/>
                <w:sz w:val="28"/>
                <w:szCs w:val="28"/>
              </w:rPr>
              <w:t>“一机游丽水”功能，</w:t>
            </w:r>
            <w:r>
              <w:rPr>
                <w:rFonts w:hint="eastAsia" w:ascii="仿宋" w:hAnsi="仿宋" w:eastAsia="仿宋"/>
                <w:kern w:val="0"/>
                <w:sz w:val="28"/>
                <w:szCs w:val="28"/>
                <w:lang w:eastAsia="zh-CN"/>
              </w:rPr>
              <w:t>融合应用</w:t>
            </w:r>
            <w:r>
              <w:rPr>
                <w:rFonts w:hint="eastAsia" w:ascii="仿宋" w:hAnsi="仿宋" w:eastAsia="仿宋"/>
                <w:kern w:val="0"/>
                <w:sz w:val="28"/>
                <w:szCs w:val="28"/>
              </w:rPr>
              <w:t>全市重点文旅数据，探索文明实践、文化丽水等特色应用场景，实现以文促旅、以旅彰文。</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智慧健康。</w:t>
            </w:r>
            <w:r>
              <w:rPr>
                <w:rFonts w:hint="eastAsia" w:ascii="仿宋" w:hAnsi="仿宋" w:eastAsia="仿宋"/>
                <w:kern w:val="0"/>
                <w:sz w:val="28"/>
                <w:szCs w:val="28"/>
                <w:lang w:eastAsia="zh-CN"/>
              </w:rPr>
              <w:t>持续完善</w:t>
            </w:r>
            <w:r>
              <w:rPr>
                <w:rFonts w:hint="eastAsia" w:ascii="仿宋" w:hAnsi="仿宋" w:eastAsia="仿宋"/>
                <w:kern w:val="0"/>
                <w:sz w:val="28"/>
                <w:szCs w:val="28"/>
              </w:rPr>
              <w:t>市人口健康信息化</w:t>
            </w:r>
            <w:r>
              <w:rPr>
                <w:rFonts w:hint="eastAsia" w:ascii="仿宋" w:hAnsi="仿宋" w:eastAsia="仿宋"/>
                <w:kern w:val="0"/>
                <w:sz w:val="28"/>
                <w:szCs w:val="28"/>
                <w:lang w:eastAsia="zh-CN"/>
              </w:rPr>
              <w:t>系统</w:t>
            </w:r>
            <w:r>
              <w:rPr>
                <w:rFonts w:hint="eastAsia" w:ascii="仿宋" w:hAnsi="仿宋" w:eastAsia="仿宋"/>
                <w:kern w:val="0"/>
                <w:sz w:val="28"/>
                <w:szCs w:val="28"/>
              </w:rPr>
              <w:t>，</w:t>
            </w:r>
            <w:r>
              <w:rPr>
                <w:rFonts w:ascii="仿宋" w:hAnsi="仿宋" w:eastAsia="仿宋"/>
                <w:kern w:val="0"/>
                <w:sz w:val="28"/>
                <w:szCs w:val="28"/>
              </w:rPr>
              <w:t>加强数据治理，深化医疗健康信息互通共享与综合应用</w:t>
            </w:r>
            <w:r>
              <w:rPr>
                <w:rFonts w:hint="eastAsia" w:ascii="仿宋" w:hAnsi="仿宋" w:eastAsia="仿宋"/>
                <w:kern w:val="0"/>
                <w:sz w:val="28"/>
                <w:szCs w:val="28"/>
              </w:rPr>
              <w:t>，推进</w:t>
            </w:r>
            <w:r>
              <w:rPr>
                <w:rFonts w:ascii="仿宋" w:hAnsi="仿宋" w:eastAsia="仿宋"/>
                <w:kern w:val="0"/>
                <w:sz w:val="28"/>
                <w:szCs w:val="28"/>
              </w:rPr>
              <w:t>5G+远程医疗、移动医疗、应急救援与AI预约就医、辅助诊断、慢病管理等</w:t>
            </w:r>
            <w:r>
              <w:rPr>
                <w:rFonts w:hint="eastAsia" w:ascii="仿宋" w:hAnsi="仿宋" w:eastAsia="仿宋"/>
                <w:kern w:val="0"/>
                <w:sz w:val="28"/>
                <w:szCs w:val="28"/>
              </w:rPr>
              <w:t>移动</w:t>
            </w:r>
            <w:r>
              <w:rPr>
                <w:rFonts w:ascii="仿宋" w:hAnsi="仿宋" w:eastAsia="仿宋"/>
                <w:kern w:val="0"/>
                <w:sz w:val="28"/>
                <w:szCs w:val="28"/>
              </w:rPr>
              <w:t>应用</w:t>
            </w:r>
            <w:r>
              <w:rPr>
                <w:rFonts w:hint="eastAsia" w:ascii="仿宋" w:hAnsi="仿宋" w:eastAsia="仿宋"/>
                <w:kern w:val="0"/>
                <w:sz w:val="28"/>
                <w:szCs w:val="28"/>
              </w:rPr>
              <w:t>建设，打造掌上医疗健康服务生态圈。持续提升医保数字化</w:t>
            </w:r>
            <w:r>
              <w:rPr>
                <w:rFonts w:hint="eastAsia" w:ascii="仿宋" w:hAnsi="仿宋" w:eastAsia="仿宋"/>
                <w:kern w:val="0"/>
                <w:sz w:val="28"/>
                <w:szCs w:val="28"/>
                <w:lang w:eastAsia="zh-CN"/>
              </w:rPr>
              <w:t>水平</w:t>
            </w:r>
            <w:r>
              <w:rPr>
                <w:rFonts w:hint="eastAsia" w:ascii="仿宋" w:hAnsi="仿宋" w:eastAsia="仿宋"/>
                <w:kern w:val="0"/>
                <w:sz w:val="28"/>
                <w:szCs w:val="28"/>
              </w:rPr>
              <w:t>。</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智慧交通。</w:t>
            </w:r>
            <w:r>
              <w:rPr>
                <w:rFonts w:ascii="仿宋" w:hAnsi="仿宋" w:eastAsia="仿宋"/>
                <w:kern w:val="0"/>
                <w:sz w:val="28"/>
                <w:szCs w:val="28"/>
              </w:rPr>
              <w:t>推动客运场站、公交场站和高速</w:t>
            </w:r>
            <w:r>
              <w:rPr>
                <w:rFonts w:hint="eastAsia" w:ascii="仿宋" w:hAnsi="仿宋" w:eastAsia="仿宋"/>
                <w:kern w:val="0"/>
                <w:sz w:val="28"/>
                <w:szCs w:val="28"/>
              </w:rPr>
              <w:t>公路</w:t>
            </w:r>
            <w:r>
              <w:rPr>
                <w:rFonts w:ascii="仿宋" w:hAnsi="仿宋" w:eastAsia="仿宋"/>
                <w:kern w:val="0"/>
                <w:sz w:val="28"/>
                <w:szCs w:val="28"/>
              </w:rPr>
              <w:t>服务区等关键节点数字化建设和智慧化改造，着力提升公众智慧出行服务体验。</w:t>
            </w:r>
          </w:p>
          <w:p>
            <w:pPr>
              <w:pStyle w:val="5"/>
              <w:adjustRightInd w:val="0"/>
              <w:snapToGrid w:val="0"/>
              <w:spacing w:line="240" w:lineRule="auto"/>
              <w:ind w:firstLine="562"/>
              <w:rPr>
                <w:rFonts w:ascii="仿宋" w:hAnsi="仿宋" w:eastAsia="仿宋"/>
                <w:b/>
                <w:bCs/>
                <w:kern w:val="0"/>
                <w:sz w:val="28"/>
                <w:szCs w:val="28"/>
              </w:rPr>
            </w:pPr>
            <w:r>
              <w:rPr>
                <w:rFonts w:hint="eastAsia" w:ascii="仿宋" w:hAnsi="仿宋" w:eastAsia="仿宋"/>
                <w:b/>
                <w:bCs/>
                <w:kern w:val="0"/>
                <w:sz w:val="28"/>
                <w:szCs w:val="28"/>
              </w:rPr>
              <w:t>未来</w:t>
            </w:r>
            <w:r>
              <w:rPr>
                <w:rFonts w:ascii="仿宋" w:hAnsi="仿宋" w:eastAsia="仿宋"/>
                <w:b/>
                <w:bCs/>
                <w:kern w:val="0"/>
                <w:sz w:val="28"/>
                <w:szCs w:val="28"/>
              </w:rPr>
              <w:t>e家</w:t>
            </w:r>
            <w:r>
              <w:rPr>
                <w:rFonts w:hint="eastAsia" w:ascii="仿宋" w:hAnsi="仿宋" w:eastAsia="仿宋"/>
                <w:b/>
                <w:bCs/>
                <w:kern w:val="0"/>
                <w:sz w:val="28"/>
                <w:szCs w:val="28"/>
              </w:rPr>
              <w:t>。</w:t>
            </w:r>
            <w:r>
              <w:rPr>
                <w:rFonts w:hint="eastAsia" w:ascii="仿宋" w:hAnsi="仿宋" w:eastAsia="仿宋"/>
                <w:kern w:val="0"/>
                <w:sz w:val="28"/>
                <w:szCs w:val="28"/>
                <w:lang w:eastAsia="zh-CN"/>
              </w:rPr>
              <w:t>充分依托该系统（即</w:t>
            </w:r>
            <w:r>
              <w:rPr>
                <w:rFonts w:ascii="仿宋" w:hAnsi="仿宋" w:eastAsia="仿宋"/>
                <w:kern w:val="0"/>
                <w:sz w:val="28"/>
                <w:szCs w:val="28"/>
              </w:rPr>
              <w:t>丽水市未来社区数字化服务</w:t>
            </w:r>
            <w:r>
              <w:rPr>
                <w:rFonts w:hint="eastAsia" w:ascii="仿宋" w:hAnsi="仿宋" w:eastAsia="仿宋"/>
                <w:kern w:val="0"/>
                <w:sz w:val="28"/>
                <w:szCs w:val="28"/>
                <w:lang w:eastAsia="zh-CN"/>
              </w:rPr>
              <w:t>系统）</w:t>
            </w:r>
            <w:r>
              <w:rPr>
                <w:rFonts w:ascii="仿宋" w:hAnsi="仿宋" w:eastAsia="仿宋"/>
                <w:kern w:val="0"/>
                <w:sz w:val="28"/>
                <w:szCs w:val="28"/>
              </w:rPr>
              <w:t>，</w:t>
            </w:r>
            <w:r>
              <w:rPr>
                <w:rFonts w:hint="eastAsia" w:ascii="仿宋" w:hAnsi="仿宋" w:eastAsia="仿宋"/>
                <w:kern w:val="0"/>
                <w:sz w:val="28"/>
                <w:szCs w:val="28"/>
                <w:lang w:eastAsia="zh-CN"/>
              </w:rPr>
              <w:t>实现</w:t>
            </w:r>
            <w:r>
              <w:rPr>
                <w:rFonts w:ascii="仿宋" w:hAnsi="仿宋" w:eastAsia="仿宋"/>
                <w:kern w:val="0"/>
                <w:sz w:val="28"/>
                <w:szCs w:val="28"/>
              </w:rPr>
              <w:t>数字社会“</w:t>
            </w:r>
            <w:r>
              <w:rPr>
                <w:rFonts w:ascii="仿宋" w:hAnsi="仿宋" w:eastAsia="仿宋"/>
                <w:b/>
                <w:bCs/>
                <w:kern w:val="0"/>
                <w:sz w:val="28"/>
                <w:szCs w:val="28"/>
              </w:rPr>
              <w:t>12个有</w:t>
            </w:r>
            <w:r>
              <w:rPr>
                <w:rFonts w:hint="eastAsia" w:ascii="仿宋" w:hAnsi="仿宋" w:eastAsia="仿宋"/>
                <w:b/>
                <w:bCs/>
                <w:kern w:val="0"/>
                <w:sz w:val="28"/>
                <w:szCs w:val="28"/>
                <w:vertAlign w:val="superscript"/>
                <w:lang w:val="en-US" w:eastAsia="zh-CN"/>
              </w:rPr>
              <w:t>6</w:t>
            </w:r>
            <w:r>
              <w:rPr>
                <w:rFonts w:ascii="仿宋" w:hAnsi="仿宋" w:eastAsia="仿宋"/>
                <w:kern w:val="0"/>
                <w:sz w:val="28"/>
                <w:szCs w:val="28"/>
              </w:rPr>
              <w:t>”优质公共服务精准落地，高效链接社区个性化、品质化、市场化服务，聚焦三化九场景，形成社区共建共治共享、交往交融交心的良好氛围。</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花园码“一码通丽水”。</w:t>
            </w:r>
            <w:r>
              <w:rPr>
                <w:rFonts w:hint="eastAsia" w:ascii="仿宋" w:hAnsi="仿宋" w:eastAsia="仿宋"/>
                <w:kern w:val="0"/>
                <w:sz w:val="28"/>
                <w:szCs w:val="28"/>
              </w:rPr>
              <w:t>建成并推广“花园码”码上办事、码上证明、码上申报、码上生活、码上健康、码上信用等应用体系，逐步实现花园码“一码通丽水”。</w:t>
            </w:r>
          </w:p>
        </w:tc>
      </w:tr>
    </w:tbl>
    <w:p/>
    <w:p>
      <w:pPr>
        <w:pStyle w:val="3"/>
        <w:numPr>
          <w:ilvl w:val="1"/>
          <w:numId w:val="0"/>
        </w:numPr>
        <w:ind w:firstLine="643" w:firstLineChars="200"/>
        <w:rPr>
          <w:rFonts w:hint="eastAsia" w:ascii="楷体" w:hAnsi="楷体" w:eastAsia="楷体" w:cs="楷体"/>
        </w:rPr>
      </w:pPr>
      <w:bookmarkStart w:id="15" w:name="_Toc85210000"/>
      <w:r>
        <w:rPr>
          <w:rFonts w:hint="eastAsia" w:ascii="楷体" w:hAnsi="楷体" w:eastAsia="楷体" w:cs="楷体"/>
          <w:lang w:eastAsia="zh-CN"/>
        </w:rPr>
        <w:t>（三）</w:t>
      </w:r>
      <w:r>
        <w:rPr>
          <w:rFonts w:hint="eastAsia" w:ascii="楷体" w:hAnsi="楷体" w:eastAsia="楷体" w:cs="楷体"/>
        </w:rPr>
        <w:t>围绕高质量绿色发展，推进经济运行调节现代化</w:t>
      </w:r>
      <w:bookmarkEnd w:id="15"/>
    </w:p>
    <w:p>
      <w:r>
        <w:rPr>
          <w:rFonts w:hint="eastAsia"/>
          <w:lang w:eastAsia="zh-CN"/>
        </w:rPr>
        <w:t>依托数字化手段，</w:t>
      </w:r>
      <w:r>
        <w:rPr>
          <w:rFonts w:hint="eastAsia"/>
        </w:rPr>
        <w:t>强化科学有效的宏观经济治理体系，建成以高质量绿色发展为核心的现代化生态经济体系，实现</w:t>
      </w:r>
      <w:r>
        <w:t>GDP和GEP“两个较快增长”</w:t>
      </w:r>
      <w:r>
        <w:rPr>
          <w:rFonts w:hint="eastAsia"/>
        </w:rPr>
        <w:t>，数字政府有力撬动数字经济建设。</w:t>
      </w:r>
    </w:p>
    <w:p>
      <w:r>
        <w:rPr>
          <w:rFonts w:hint="eastAsia"/>
          <w:b/>
          <w:bCs/>
        </w:rPr>
        <w:t>1</w:t>
      </w:r>
      <w:r>
        <w:rPr>
          <w:b/>
          <w:bCs/>
        </w:rPr>
        <w:t>.</w:t>
      </w:r>
      <w:r>
        <w:rPr>
          <w:rFonts w:hint="eastAsia"/>
          <w:b/>
          <w:bCs/>
        </w:rPr>
        <w:t>提升生态产品价值转化效率。</w:t>
      </w:r>
      <w:r>
        <w:rPr>
          <w:rFonts w:hint="eastAsia"/>
          <w:b w:val="0"/>
          <w:bCs w:val="0"/>
          <w:lang w:eastAsia="zh-CN"/>
        </w:rPr>
        <w:t>依托数字化技术</w:t>
      </w:r>
      <w:r>
        <w:rPr>
          <w:rFonts w:hint="eastAsia"/>
          <w:lang w:eastAsia="zh-CN"/>
        </w:rPr>
        <w:t>完善</w:t>
      </w:r>
      <w:r>
        <w:rPr>
          <w:rFonts w:hint="eastAsia"/>
        </w:rPr>
        <w:t>“调查监测、价值评价、价值实现推进、经营开发、保护补偿、价值实现保障”六大机制。加强生态产品信息调查，推进自然资源确权登记，建立全国领先的生态产品调查监测体系。</w:t>
      </w:r>
      <w:r>
        <w:rPr>
          <w:rFonts w:hint="eastAsia"/>
          <w:lang w:eastAsia="zh-CN"/>
        </w:rPr>
        <w:t>依托丽水市“天眼守望”卫星遥感数字化系统</w:t>
      </w:r>
      <w:r>
        <w:rPr>
          <w:rFonts w:hint="eastAsia"/>
        </w:rPr>
        <w:t>健全生态产品价值评价体系，优化升级生态产品价值核算办法，</w:t>
      </w:r>
      <w:r>
        <w:t>强化</w:t>
      </w:r>
      <w:r>
        <w:rPr>
          <w:b/>
          <w:bCs/>
        </w:rPr>
        <w:t>GEP</w:t>
      </w:r>
      <w:r>
        <w:rPr>
          <w:b/>
          <w:bCs/>
          <w:highlight w:val="none"/>
        </w:rPr>
        <w:t>“六进”</w:t>
      </w:r>
      <w:r>
        <w:rPr>
          <w:rFonts w:hint="eastAsia"/>
          <w:b/>
          <w:bCs/>
          <w:highlight w:val="none"/>
          <w:vertAlign w:val="superscript"/>
          <w:lang w:val="en-US" w:eastAsia="zh-CN"/>
        </w:rPr>
        <w:t>7</w:t>
      </w:r>
      <w:r>
        <w:t>常态化应用</w:t>
      </w:r>
      <w:r>
        <w:rPr>
          <w:rFonts w:hint="eastAsia"/>
        </w:rPr>
        <w:t>，建立标准引领的生态产品价值核算规范</w:t>
      </w:r>
      <w:r>
        <w:rPr>
          <w:rFonts w:hint="eastAsia"/>
          <w:lang w:eastAsia="zh-CN"/>
        </w:rPr>
        <w:t>；</w:t>
      </w:r>
      <w:r>
        <w:rPr>
          <w:rFonts w:hint="eastAsia"/>
        </w:rPr>
        <w:t>建立国家级生态资产和生态产品交易中心，优化“两山邮政”服务网络，建设生态产品质量</w:t>
      </w:r>
      <w:r>
        <w:rPr>
          <w:rFonts w:hint="eastAsia"/>
          <w:lang w:eastAsia="zh-CN"/>
        </w:rPr>
        <w:t>溯源系统</w:t>
      </w:r>
      <w:r>
        <w:rPr>
          <w:rFonts w:hint="eastAsia"/>
        </w:rPr>
        <w:t>，巩固和强化“生态强村公司”“两山银行”，健全排污权有偿使用制度、用能权交易机制，大力推进以“生态信用”为核心的绿色金融创新，开拓多元高效的生态产品价值实现路径。完善纵向、横向生态保护补偿制度，落实生态环境损害赔偿制度。完善协同有力的生态产品价值实现推进机制，积极形成可复制推广的试点经验。</w:t>
      </w:r>
    </w:p>
    <w:p>
      <w:r>
        <w:rPr>
          <w:b/>
          <w:bCs/>
        </w:rPr>
        <w:t>2.</w:t>
      </w:r>
      <w:r>
        <w:rPr>
          <w:rFonts w:hint="eastAsia"/>
          <w:b/>
          <w:bCs/>
        </w:rPr>
        <w:t>提升宏观经济治理能力。</w:t>
      </w:r>
      <w:r>
        <w:rPr>
          <w:rFonts w:hint="eastAsia"/>
          <w:lang w:eastAsia="zh-CN"/>
        </w:rPr>
        <w:t>充分</w:t>
      </w:r>
      <w:r>
        <w:rPr>
          <w:rFonts w:hint="eastAsia"/>
        </w:rPr>
        <w:t>运用</w:t>
      </w:r>
      <w:r>
        <w:rPr>
          <w:rFonts w:hint="eastAsia"/>
          <w:lang w:eastAsia="zh-CN"/>
        </w:rPr>
        <w:t>全省</w:t>
      </w:r>
      <w:r>
        <w:rPr>
          <w:rFonts w:hint="eastAsia"/>
        </w:rPr>
        <w:t>经济运行监测、投资项目管理、省域空间治理、产业链数据中心、“亩均论英雄”、惠企政策兑现等</w:t>
      </w:r>
      <w:r>
        <w:rPr>
          <w:rFonts w:hint="eastAsia"/>
          <w:lang w:eastAsia="zh-CN"/>
        </w:rPr>
        <w:t>系统</w:t>
      </w:r>
      <w:r>
        <w:rPr>
          <w:rFonts w:hint="eastAsia"/>
        </w:rPr>
        <w:t>数据，以产业大脑为核心，贯通落地产业规划布局、运行监测、行业预警、要素保障等应用场景。迭代升级“丽水山耕”品牌管理、农品宝、肥药控、“一机游丽水”等应用场景，助力打造具有地域特色的现代农业产业及文旅产业集群。全面实施“双招双引”战略，提升招商引资、招才引智效能，创造营商环境新优势。</w:t>
      </w:r>
    </w:p>
    <w:p>
      <w:pPr>
        <w:rPr>
          <w:rFonts w:hint="eastAsia"/>
        </w:rPr>
      </w:pPr>
      <w:r>
        <w:rPr>
          <w:b/>
          <w:bCs/>
        </w:rPr>
        <w:t>3.</w:t>
      </w:r>
      <w:r>
        <w:rPr>
          <w:rFonts w:hint="eastAsia"/>
          <w:b/>
          <w:bCs/>
        </w:rPr>
        <w:t>强化国土空间集约高效管控。</w:t>
      </w:r>
      <w:r>
        <w:rPr>
          <w:rFonts w:hint="eastAsia"/>
        </w:rPr>
        <w:t>立足省内主体功能区划，锚定丽水中长期发展方向和大花园发展目标，统筹城镇、产业、生态等空间性规划核心管控要求，统一市域各类空间基础数据坐标，构建大花园空间规划基础数据库，绘制空间规划底图，为</w:t>
      </w:r>
      <w:r>
        <w:rPr>
          <w:rFonts w:hint="eastAsia"/>
          <w:lang w:eastAsia="zh-CN"/>
        </w:rPr>
        <w:t>各相关领域</w:t>
      </w:r>
      <w:r>
        <w:rPr>
          <w:rFonts w:hint="eastAsia"/>
        </w:rPr>
        <w:t>图层展示提供</w:t>
      </w:r>
      <w:r>
        <w:rPr>
          <w:rFonts w:hint="eastAsia"/>
          <w:lang w:eastAsia="zh-CN"/>
        </w:rPr>
        <w:t>统一底座</w:t>
      </w:r>
      <w:r>
        <w:rPr>
          <w:rFonts w:hint="eastAsia"/>
        </w:rPr>
        <w:t>。推进制定大花园建设空间数据对接标准，整合现有各类空间管控信息</w:t>
      </w:r>
      <w:r>
        <w:rPr>
          <w:rFonts w:hint="eastAsia"/>
          <w:lang w:eastAsia="zh-CN"/>
        </w:rPr>
        <w:t>系统、</w:t>
      </w:r>
      <w:r>
        <w:rPr>
          <w:rFonts w:hint="eastAsia"/>
        </w:rPr>
        <w:t>构建协作共享</w:t>
      </w:r>
      <w:r>
        <w:rPr>
          <w:rFonts w:hint="eastAsia"/>
          <w:lang w:eastAsia="zh-CN"/>
        </w:rPr>
        <w:t>的</w:t>
      </w:r>
      <w:r>
        <w:rPr>
          <w:rFonts w:hint="eastAsia"/>
        </w:rPr>
        <w:t>空间管理</w:t>
      </w:r>
      <w:r>
        <w:rPr>
          <w:rFonts w:hint="eastAsia"/>
          <w:lang w:eastAsia="zh-CN"/>
        </w:rPr>
        <w:t>系统</w:t>
      </w:r>
      <w:r>
        <w:rPr>
          <w:rFonts w:hint="eastAsia"/>
        </w:rPr>
        <w:t>，促进各部门</w:t>
      </w:r>
      <w:r>
        <w:rPr>
          <w:rFonts w:hint="eastAsia"/>
          <w:lang w:eastAsia="zh-CN"/>
        </w:rPr>
        <w:t>规划</w:t>
      </w:r>
      <w:r>
        <w:rPr>
          <w:rFonts w:hint="eastAsia"/>
        </w:rPr>
        <w:t>数据</w:t>
      </w:r>
      <w:r>
        <w:rPr>
          <w:rFonts w:hint="eastAsia"/>
          <w:lang w:eastAsia="zh-CN"/>
        </w:rPr>
        <w:t>联动</w:t>
      </w:r>
      <w:r>
        <w:rPr>
          <w:rFonts w:hint="eastAsia"/>
        </w:rPr>
        <w:t>共享。深化“多规合一”改革，坚持“</w:t>
      </w:r>
      <w:r>
        <w:rPr>
          <w:rFonts w:hint="eastAsia"/>
          <w:b/>
          <w:bCs/>
        </w:rPr>
        <w:t>三线一单</w:t>
      </w:r>
      <w:r>
        <w:rPr>
          <w:rFonts w:hint="eastAsia"/>
          <w:b/>
          <w:bCs/>
          <w:vertAlign w:val="superscript"/>
          <w:lang w:val="en-US" w:eastAsia="zh-CN"/>
        </w:rPr>
        <w:t>8</w:t>
      </w:r>
      <w:r>
        <w:rPr>
          <w:rFonts w:hint="eastAsia"/>
        </w:rPr>
        <w:t>”管控，统筹优化城乡融合、产业发展、资源利用和生态环境保护市域空间布局，构建全域“</w:t>
      </w:r>
      <w:r>
        <w:rPr>
          <w:rFonts w:hint="eastAsia"/>
          <w:b/>
          <w:bCs/>
        </w:rPr>
        <w:t>一带三区</w:t>
      </w:r>
      <w:r>
        <w:rPr>
          <w:rFonts w:hint="eastAsia"/>
          <w:b/>
          <w:bCs/>
          <w:vertAlign w:val="superscript"/>
          <w:lang w:val="en-US" w:eastAsia="zh-CN"/>
        </w:rPr>
        <w:t>9</w:t>
      </w:r>
      <w:r>
        <w:rPr>
          <w:rFonts w:hint="eastAsia"/>
        </w:rPr>
        <w:t>”发展新格局。</w:t>
      </w:r>
    </w:p>
    <w:p>
      <w:pPr>
        <w:rPr>
          <w:rFonts w:hint="eastAsia"/>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numPr>
                <w:ilvl w:val="0"/>
                <w:numId w:val="2"/>
              </w:numPr>
              <w:spacing w:line="240" w:lineRule="auto"/>
              <w:ind w:left="0" w:firstLine="0" w:firstLineChars="0"/>
              <w:jc w:val="center"/>
              <w:rPr>
                <w:rFonts w:hint="eastAsia" w:ascii="黑体" w:hAnsi="黑体" w:eastAsia="黑体" w:cs="黑体"/>
                <w:kern w:val="0"/>
                <w:sz w:val="28"/>
                <w:szCs w:val="28"/>
              </w:rPr>
            </w:pPr>
            <w:r>
              <w:rPr>
                <w:rFonts w:hint="eastAsia" w:ascii="黑体" w:hAnsi="黑体" w:eastAsia="黑体" w:cs="黑体"/>
                <w:kern w:val="0"/>
                <w:sz w:val="28"/>
                <w:szCs w:val="28"/>
              </w:rPr>
              <w:t>经济运行调节类重点应用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adjustRightInd w:val="0"/>
              <w:snapToGrid w:val="0"/>
              <w:spacing w:line="240" w:lineRule="auto"/>
              <w:ind w:firstLine="562"/>
              <w:rPr>
                <w:rFonts w:ascii="仿宋" w:hAnsi="仿宋" w:eastAsia="仿宋"/>
                <w:kern w:val="0"/>
                <w:sz w:val="28"/>
                <w:szCs w:val="28"/>
              </w:rPr>
            </w:pPr>
            <w:r>
              <w:rPr>
                <w:rFonts w:ascii="仿宋" w:hAnsi="仿宋" w:eastAsia="仿宋"/>
                <w:b/>
                <w:bCs/>
                <w:kern w:val="0"/>
                <w:sz w:val="28"/>
                <w:szCs w:val="28"/>
              </w:rPr>
              <w:t>GEP</w:t>
            </w:r>
            <w:r>
              <w:rPr>
                <w:rFonts w:hint="eastAsia" w:ascii="仿宋" w:hAnsi="仿宋" w:eastAsia="仿宋"/>
                <w:b/>
                <w:bCs/>
                <w:kern w:val="0"/>
                <w:sz w:val="28"/>
                <w:szCs w:val="28"/>
              </w:rPr>
              <w:t>核算转化应用。</w:t>
            </w:r>
            <w:r>
              <w:rPr>
                <w:rFonts w:ascii="仿宋" w:hAnsi="仿宋" w:eastAsia="仿宋"/>
                <w:kern w:val="0"/>
                <w:sz w:val="28"/>
                <w:szCs w:val="28"/>
              </w:rPr>
              <w:t>建立健全GEP“六进”应用体系，</w:t>
            </w:r>
            <w:r>
              <w:rPr>
                <w:rFonts w:hint="eastAsia" w:ascii="仿宋" w:hAnsi="仿宋" w:eastAsia="仿宋"/>
                <w:kern w:val="0"/>
                <w:sz w:val="28"/>
                <w:szCs w:val="28"/>
              </w:rPr>
              <w:t>探索实践G</w:t>
            </w:r>
            <w:r>
              <w:rPr>
                <w:rFonts w:ascii="仿宋" w:hAnsi="仿宋" w:eastAsia="仿宋"/>
                <w:kern w:val="0"/>
                <w:sz w:val="28"/>
                <w:szCs w:val="28"/>
              </w:rPr>
              <w:t>EP</w:t>
            </w:r>
            <w:r>
              <w:rPr>
                <w:rFonts w:hint="eastAsia" w:ascii="仿宋" w:hAnsi="仿宋" w:eastAsia="仿宋"/>
                <w:kern w:val="0"/>
                <w:sz w:val="28"/>
                <w:szCs w:val="28"/>
              </w:rPr>
              <w:t>核算“一键算”、</w:t>
            </w:r>
            <w:r>
              <w:rPr>
                <w:rFonts w:ascii="仿宋" w:hAnsi="仿宋" w:eastAsia="仿宋"/>
                <w:kern w:val="0"/>
                <w:sz w:val="28"/>
                <w:szCs w:val="28"/>
              </w:rPr>
              <w:t>GEP健康码“一码清”、GEP交易“一点通”、GEP“信易贷”、GEP“山字经”（山耕、山居、山景、山泉）</w:t>
            </w:r>
            <w:r>
              <w:rPr>
                <w:rFonts w:hint="eastAsia" w:ascii="仿宋" w:hAnsi="仿宋" w:eastAsia="仿宋"/>
                <w:kern w:val="0"/>
                <w:sz w:val="28"/>
                <w:szCs w:val="28"/>
              </w:rPr>
              <w:t>等，破解生态产品价值“难度量、难抵押、难交易、难变现”问题</w:t>
            </w:r>
            <w:r>
              <w:rPr>
                <w:rFonts w:ascii="仿宋" w:hAnsi="仿宋" w:eastAsia="仿宋"/>
                <w:kern w:val="0"/>
                <w:sz w:val="28"/>
                <w:szCs w:val="28"/>
              </w:rPr>
              <w:t>。</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产业大脑。</w:t>
            </w:r>
            <w:r>
              <w:rPr>
                <w:rFonts w:hint="eastAsia" w:ascii="仿宋" w:hAnsi="仿宋" w:eastAsia="仿宋"/>
                <w:kern w:val="0"/>
                <w:sz w:val="28"/>
                <w:szCs w:val="28"/>
              </w:rPr>
              <w:t>汇聚形成政府端、企业端数据仓，建设数据中枢，不断完善丽水特色行业级、企业级工业互联网</w:t>
            </w:r>
            <w:r>
              <w:rPr>
                <w:rFonts w:hint="eastAsia" w:ascii="仿宋" w:hAnsi="仿宋" w:eastAsia="仿宋"/>
                <w:kern w:val="0"/>
                <w:sz w:val="28"/>
                <w:szCs w:val="28"/>
                <w:lang w:eastAsia="zh-CN"/>
              </w:rPr>
              <w:t>体系</w:t>
            </w:r>
            <w:r>
              <w:rPr>
                <w:rFonts w:hint="eastAsia" w:ascii="仿宋" w:hAnsi="仿宋" w:eastAsia="仿宋"/>
                <w:kern w:val="0"/>
                <w:sz w:val="28"/>
                <w:szCs w:val="28"/>
              </w:rPr>
              <w:t>，推动省市县创新资源、制造资源、服务资源集聚共享。</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资源要素交易。</w:t>
            </w:r>
            <w:r>
              <w:rPr>
                <w:rFonts w:hint="eastAsia" w:ascii="仿宋" w:hAnsi="仿宋" w:eastAsia="仿宋"/>
                <w:kern w:val="0"/>
                <w:sz w:val="28"/>
                <w:szCs w:val="28"/>
              </w:rPr>
              <w:t>提升完善</w:t>
            </w:r>
            <w:r>
              <w:rPr>
                <w:rFonts w:hint="eastAsia" w:ascii="仿宋" w:hAnsi="仿宋" w:eastAsia="仿宋"/>
                <w:kern w:val="0"/>
                <w:sz w:val="28"/>
                <w:szCs w:val="28"/>
                <w:lang w:eastAsia="zh-CN"/>
              </w:rPr>
              <w:t>全市</w:t>
            </w:r>
            <w:r>
              <w:rPr>
                <w:rFonts w:hint="eastAsia" w:ascii="仿宋" w:hAnsi="仿宋" w:eastAsia="仿宋"/>
                <w:kern w:val="0"/>
                <w:sz w:val="28"/>
                <w:szCs w:val="28"/>
              </w:rPr>
              <w:t>公共资源交易和监督</w:t>
            </w:r>
            <w:r>
              <w:rPr>
                <w:rFonts w:hint="eastAsia" w:ascii="仿宋" w:hAnsi="仿宋" w:eastAsia="仿宋"/>
                <w:kern w:val="0"/>
                <w:sz w:val="28"/>
                <w:szCs w:val="28"/>
                <w:lang w:eastAsia="zh-CN"/>
              </w:rPr>
              <w:t>系统</w:t>
            </w:r>
            <w:r>
              <w:rPr>
                <w:rFonts w:hint="eastAsia" w:ascii="仿宋" w:hAnsi="仿宋" w:eastAsia="仿宋"/>
                <w:kern w:val="0"/>
                <w:sz w:val="28"/>
                <w:szCs w:val="28"/>
              </w:rPr>
              <w:t>，持续优化信用信息服务、生态金融综合服务、企业综合服务（企业码）等应用，</w:t>
            </w:r>
            <w:r>
              <w:rPr>
                <w:rFonts w:hint="eastAsia" w:ascii="仿宋" w:hAnsi="仿宋" w:eastAsia="仿宋"/>
                <w:kern w:val="0"/>
                <w:sz w:val="28"/>
                <w:szCs w:val="28"/>
                <w:lang w:eastAsia="zh-CN"/>
              </w:rPr>
              <w:t>进一步</w:t>
            </w:r>
            <w:r>
              <w:rPr>
                <w:rFonts w:hint="eastAsia" w:ascii="仿宋" w:hAnsi="仿宋" w:eastAsia="仿宋"/>
                <w:kern w:val="0"/>
                <w:sz w:val="28"/>
                <w:szCs w:val="28"/>
              </w:rPr>
              <w:t>优化资源要素配置。</w:t>
            </w:r>
          </w:p>
          <w:p>
            <w:pPr>
              <w:pStyle w:val="5"/>
              <w:adjustRightInd w:val="0"/>
              <w:snapToGrid w:val="0"/>
              <w:spacing w:line="240" w:lineRule="auto"/>
              <w:ind w:firstLine="562"/>
              <w:rPr>
                <w:rFonts w:ascii="仿宋" w:hAnsi="仿宋" w:eastAsia="仿宋"/>
                <w:b/>
                <w:bCs/>
                <w:kern w:val="0"/>
                <w:sz w:val="28"/>
                <w:szCs w:val="28"/>
              </w:rPr>
            </w:pPr>
            <w:r>
              <w:rPr>
                <w:rFonts w:hint="eastAsia" w:ascii="仿宋" w:hAnsi="仿宋" w:eastAsia="仿宋"/>
                <w:b/>
                <w:bCs/>
                <w:kern w:val="0"/>
                <w:sz w:val="28"/>
                <w:szCs w:val="28"/>
              </w:rPr>
              <w:t>双招双引。</w:t>
            </w:r>
            <w:r>
              <w:rPr>
                <w:rFonts w:hint="eastAsia" w:ascii="仿宋" w:hAnsi="仿宋" w:eastAsia="仿宋"/>
                <w:kern w:val="0"/>
                <w:sz w:val="28"/>
                <w:szCs w:val="28"/>
              </w:rPr>
              <w:t>深化运用投资项目管理、惠企政策兑现、网上中介超市、招商项目全流程数字化监管等系统，建设市域统筹的招商项目库，绘制招商引资“一张图”、招才引智“一张图”，建设产学研协同创新应用、人才创新创业全生命周期“一码通办”等应用。</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国土空间管控。</w:t>
            </w:r>
            <w:r>
              <w:rPr>
                <w:rFonts w:hint="eastAsia" w:ascii="仿宋" w:hAnsi="仿宋" w:eastAsia="仿宋"/>
                <w:kern w:val="0"/>
                <w:sz w:val="28"/>
                <w:szCs w:val="28"/>
              </w:rPr>
              <w:t>依托省级自然资源空间基础信息平台，</w:t>
            </w:r>
            <w:r>
              <w:rPr>
                <w:rFonts w:ascii="仿宋" w:hAnsi="仿宋" w:eastAsia="仿宋"/>
                <w:kern w:val="0"/>
                <w:sz w:val="28"/>
                <w:szCs w:val="28"/>
              </w:rPr>
              <w:t>做好</w:t>
            </w:r>
            <w:r>
              <w:rPr>
                <w:rFonts w:hint="eastAsia" w:ascii="仿宋" w:hAnsi="仿宋" w:eastAsia="仿宋"/>
                <w:kern w:val="0"/>
                <w:sz w:val="28"/>
                <w:szCs w:val="28"/>
                <w:lang w:eastAsia="zh-CN"/>
              </w:rPr>
              <w:t>自然资源</w:t>
            </w:r>
            <w:r>
              <w:rPr>
                <w:rFonts w:ascii="仿宋" w:hAnsi="仿宋" w:eastAsia="仿宋"/>
                <w:kern w:val="0"/>
                <w:sz w:val="28"/>
                <w:szCs w:val="28"/>
              </w:rPr>
              <w:t>、</w:t>
            </w:r>
            <w:r>
              <w:rPr>
                <w:rFonts w:hint="eastAsia" w:ascii="仿宋" w:hAnsi="仿宋" w:eastAsia="仿宋"/>
                <w:kern w:val="0"/>
                <w:sz w:val="28"/>
                <w:szCs w:val="28"/>
                <w:lang w:eastAsia="zh-CN"/>
              </w:rPr>
              <w:t>建设</w:t>
            </w:r>
            <w:r>
              <w:rPr>
                <w:rFonts w:ascii="仿宋" w:hAnsi="仿宋" w:eastAsia="仿宋"/>
                <w:kern w:val="0"/>
                <w:sz w:val="28"/>
                <w:szCs w:val="28"/>
              </w:rPr>
              <w:t>、发改等部门空间数据资源</w:t>
            </w:r>
            <w:r>
              <w:rPr>
                <w:rFonts w:hint="eastAsia" w:ascii="仿宋" w:hAnsi="仿宋" w:eastAsia="仿宋"/>
                <w:kern w:val="0"/>
                <w:sz w:val="28"/>
                <w:szCs w:val="28"/>
                <w:lang w:eastAsia="zh-CN"/>
              </w:rPr>
              <w:t>融合</w:t>
            </w:r>
            <w:r>
              <w:rPr>
                <w:rFonts w:ascii="仿宋" w:hAnsi="仿宋" w:eastAsia="仿宋"/>
                <w:kern w:val="0"/>
                <w:sz w:val="28"/>
                <w:szCs w:val="28"/>
              </w:rPr>
              <w:t>共享</w:t>
            </w:r>
            <w:r>
              <w:rPr>
                <w:rFonts w:hint="eastAsia" w:ascii="仿宋" w:hAnsi="仿宋" w:eastAsia="仿宋"/>
                <w:kern w:val="0"/>
                <w:sz w:val="28"/>
                <w:szCs w:val="28"/>
              </w:rPr>
              <w:t>，</w:t>
            </w:r>
            <w:r>
              <w:rPr>
                <w:rFonts w:ascii="仿宋" w:hAnsi="仿宋" w:eastAsia="仿宋"/>
                <w:kern w:val="0"/>
                <w:sz w:val="28"/>
                <w:szCs w:val="28"/>
              </w:rPr>
              <w:t>强</w:t>
            </w:r>
            <w:r>
              <w:rPr>
                <w:rFonts w:hint="eastAsia" w:ascii="仿宋" w:hAnsi="仿宋" w:eastAsia="仿宋"/>
                <w:kern w:val="0"/>
                <w:sz w:val="28"/>
                <w:szCs w:val="28"/>
              </w:rPr>
              <w:t>化空间数据功能服务，</w:t>
            </w:r>
            <w:r>
              <w:rPr>
                <w:rFonts w:ascii="仿宋" w:hAnsi="仿宋" w:eastAsia="仿宋"/>
                <w:kern w:val="0"/>
                <w:sz w:val="28"/>
                <w:szCs w:val="28"/>
              </w:rPr>
              <w:t>实现“多规合一”</w:t>
            </w:r>
            <w:r>
              <w:rPr>
                <w:rFonts w:hint="eastAsia" w:ascii="仿宋" w:hAnsi="仿宋" w:eastAsia="仿宋"/>
                <w:kern w:val="0"/>
                <w:sz w:val="28"/>
                <w:szCs w:val="28"/>
              </w:rPr>
              <w:t>，</w:t>
            </w:r>
            <w:r>
              <w:rPr>
                <w:rFonts w:ascii="仿宋" w:hAnsi="仿宋" w:eastAsia="仿宋"/>
                <w:kern w:val="0"/>
                <w:sz w:val="28"/>
                <w:szCs w:val="28"/>
              </w:rPr>
              <w:t>为跨部门空间</w:t>
            </w:r>
            <w:r>
              <w:rPr>
                <w:rFonts w:hint="eastAsia" w:ascii="仿宋" w:hAnsi="仿宋" w:eastAsia="仿宋"/>
                <w:kern w:val="0"/>
                <w:sz w:val="28"/>
                <w:szCs w:val="28"/>
              </w:rPr>
              <w:t>业务协同提供大数据</w:t>
            </w:r>
            <w:r>
              <w:rPr>
                <w:rFonts w:hint="eastAsia" w:ascii="仿宋" w:hAnsi="仿宋" w:eastAsia="仿宋"/>
                <w:kern w:val="0"/>
                <w:sz w:val="28"/>
                <w:szCs w:val="28"/>
                <w:lang w:eastAsia="zh-CN"/>
              </w:rPr>
              <w:t>支撑</w:t>
            </w:r>
            <w:r>
              <w:rPr>
                <w:rFonts w:hint="eastAsia" w:ascii="仿宋" w:hAnsi="仿宋" w:eastAsia="仿宋"/>
                <w:kern w:val="0"/>
                <w:sz w:val="28"/>
                <w:szCs w:val="28"/>
              </w:rPr>
              <w:t>。</w:t>
            </w:r>
          </w:p>
        </w:tc>
      </w:tr>
    </w:tbl>
    <w:p/>
    <w:p>
      <w:pPr>
        <w:pStyle w:val="3"/>
        <w:numPr>
          <w:ilvl w:val="1"/>
          <w:numId w:val="0"/>
        </w:numPr>
        <w:ind w:firstLine="643" w:firstLineChars="200"/>
        <w:rPr>
          <w:rFonts w:hint="eastAsia" w:ascii="楷体" w:hAnsi="楷体" w:eastAsia="楷体" w:cs="楷体"/>
        </w:rPr>
      </w:pPr>
      <w:bookmarkStart w:id="16" w:name="_Toc85210001"/>
      <w:r>
        <w:rPr>
          <w:rFonts w:hint="eastAsia" w:ascii="楷体" w:hAnsi="楷体" w:eastAsia="楷体" w:cs="楷体"/>
          <w:lang w:val="en"/>
        </w:rPr>
        <w:t>（四）</w:t>
      </w:r>
      <w:r>
        <w:rPr>
          <w:rFonts w:hint="eastAsia" w:ascii="楷体" w:hAnsi="楷体" w:eastAsia="楷体" w:cs="楷体"/>
        </w:rPr>
        <w:t>围绕市域善治样板打造，推进社会协同治理系统化</w:t>
      </w:r>
      <w:bookmarkEnd w:id="16"/>
    </w:p>
    <w:p>
      <w:bookmarkStart w:id="17" w:name="_Toc60601332"/>
      <w:r>
        <w:rPr>
          <w:rFonts w:hint="eastAsia"/>
        </w:rPr>
        <w:t>深入推进社会治理资源整合、力量融合、功能聚合、手段综合，不断增强基层社会治理的“智治”支撑能力。</w:t>
      </w:r>
    </w:p>
    <w:p>
      <w:r>
        <w:rPr>
          <w:b/>
          <w:bCs/>
        </w:rPr>
        <w:t>1.健全共建共治的社会治理格局。</w:t>
      </w:r>
      <w:r>
        <w:t>坚持数字赋能社会治理，持续推进力量资源整合、服务功能集成、工作流程优化，承接“县乡一体、条抓块统”改革成果，发挥县级矛调中心牵引作用，统筹加强“信访问题和矛盾纠纷调处化解、社会治理事件处置、社会风险研判”三大功能建设，完善“一中心四平台一网格”的基层社会治理体系，不断推进综治中心(综合服务管理平台)规范化建设，畅通市县乡村一体的社会治理指挥体系。推广运用“村级事务阳光票决制”“民事村了”“民情地图”等基层治理创新成果，有效通达社情民意、平衡各方利益、化解矛盾纠纷。加快“雪亮工</w:t>
      </w:r>
      <w:r>
        <w:rPr>
          <w:rFonts w:hint="eastAsia"/>
        </w:rPr>
        <w:t>程”和“智能安防”建设，推进公共视频监控建设一体化改革，推进数据</w:t>
      </w:r>
      <w:r>
        <w:rPr>
          <w:rFonts w:hint="eastAsia"/>
          <w:lang w:eastAsia="zh-CN"/>
        </w:rPr>
        <w:t>融合</w:t>
      </w:r>
      <w:r>
        <w:rPr>
          <w:rFonts w:hint="eastAsia"/>
        </w:rPr>
        <w:t>共享和智能深度应用。不断拓宽公共安全视频数据和标准地址应用领域</w:t>
      </w:r>
      <w:r>
        <w:rPr>
          <w:rFonts w:hint="eastAsia"/>
          <w:lang w:eastAsia="zh-CN"/>
        </w:rPr>
        <w:t>、</w:t>
      </w:r>
      <w:r>
        <w:rPr>
          <w:rFonts w:hint="eastAsia"/>
        </w:rPr>
        <w:t>场景，提升社会治理智能化水平。</w:t>
      </w:r>
    </w:p>
    <w:bookmarkEnd w:id="17"/>
    <w:p>
      <w:r>
        <w:rPr>
          <w:b/>
          <w:bCs/>
        </w:rPr>
        <w:t>2.</w:t>
      </w:r>
      <w:r>
        <w:rPr>
          <w:rFonts w:hint="eastAsia"/>
          <w:b/>
          <w:bCs/>
        </w:rPr>
        <w:t>提升重点领域监管能力。</w:t>
      </w:r>
      <w:r>
        <w:rPr>
          <w:rFonts w:hint="eastAsia"/>
        </w:rPr>
        <w:t>健全食品药品、农产品、特种设备、重点消费品等重点行业、重点产品质量分级分类监管机制，依托数字化智慧监管系统，建立健全以产品编码管理为手段的</w:t>
      </w:r>
      <w:r>
        <w:rPr>
          <w:rFonts w:hint="eastAsia"/>
          <w:lang w:eastAsia="zh-CN"/>
        </w:rPr>
        <w:t>溯源</w:t>
      </w:r>
      <w:r>
        <w:rPr>
          <w:rFonts w:hint="eastAsia"/>
        </w:rPr>
        <w:t>体系，强化全过程质量管理和安全监管执法。实行统一的市场准入负面清单制度，最大限度破除市场准入限制。深化“互联网</w:t>
      </w:r>
      <w:r>
        <w:t>+监管”，对新产业新业态实行包容审慎监管。</w:t>
      </w:r>
    </w:p>
    <w:p>
      <w:pPr>
        <w:rPr>
          <w:rFonts w:hint="eastAsia"/>
        </w:rPr>
      </w:pPr>
      <w:r>
        <w:rPr>
          <w:b/>
          <w:bCs/>
        </w:rPr>
        <w:t>3.</w:t>
      </w:r>
      <w:r>
        <w:rPr>
          <w:rFonts w:hint="eastAsia"/>
          <w:b/>
          <w:bCs/>
        </w:rPr>
        <w:t>构建信用协同监管体系。</w:t>
      </w:r>
      <w:r>
        <w:rPr>
          <w:rFonts w:hint="eastAsia"/>
        </w:rPr>
        <w:t>融合</w:t>
      </w:r>
      <w:r>
        <w:t>公共信用综合评价、抽查检查、信用承诺、履约践诺等信息，</w:t>
      </w:r>
      <w:r>
        <w:rPr>
          <w:rFonts w:hint="eastAsia"/>
        </w:rPr>
        <w:t>构建行业信用评价模型，实现行业信用评价和分级分类监管。整合年报公示、检验检测、投诉举报、行政检查、行政处罚、失信联合惩戒等信用信息数据，</w:t>
      </w:r>
      <w:r>
        <w:rPr>
          <w:rFonts w:hint="eastAsia"/>
          <w:lang w:eastAsia="zh-CN"/>
        </w:rPr>
        <w:t>结合</w:t>
      </w:r>
      <w:r>
        <w:rPr>
          <w:rFonts w:hint="eastAsia"/>
        </w:rPr>
        <w:t>登记注册、关联关系、经营状态等基础信用信息，构建企业信用风险监测预警模型，完善“互联网</w:t>
      </w:r>
      <w:r>
        <w:t>+信用+监管”机制，提高风险主体和风险事项识别能力，实施差异化监管和有效处置。</w:t>
      </w:r>
      <w:r>
        <w:rPr>
          <w:rFonts w:hint="eastAsia"/>
        </w:rPr>
        <w:t>加快证明事项和涉企经营许可事项告知承诺的信用监管全面覆盖</w:t>
      </w:r>
      <w:r>
        <w:rPr>
          <w:rFonts w:hint="eastAsia"/>
          <w:lang w:eastAsia="zh-CN"/>
        </w:rPr>
        <w:t>各领域、</w:t>
      </w:r>
      <w:r>
        <w:rPr>
          <w:rFonts w:hint="eastAsia"/>
        </w:rPr>
        <w:t>各类主体。</w:t>
      </w:r>
    </w:p>
    <w:p>
      <w:pPr>
        <w:rPr>
          <w:rFonts w:hint="eastAsia"/>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numPr>
                <w:ilvl w:val="0"/>
                <w:numId w:val="2"/>
              </w:numPr>
              <w:spacing w:line="240" w:lineRule="auto"/>
              <w:ind w:left="0" w:firstLine="0" w:firstLineChars="0"/>
              <w:jc w:val="center"/>
              <w:rPr>
                <w:rFonts w:hint="eastAsia" w:ascii="黑体" w:hAnsi="黑体" w:eastAsia="黑体" w:cs="黑体"/>
                <w:kern w:val="0"/>
                <w:sz w:val="28"/>
                <w:szCs w:val="28"/>
              </w:rPr>
            </w:pPr>
            <w:r>
              <w:rPr>
                <w:rFonts w:hint="eastAsia" w:ascii="黑体" w:hAnsi="黑体" w:eastAsia="黑体" w:cs="黑体"/>
                <w:kern w:val="0"/>
                <w:sz w:val="28"/>
                <w:szCs w:val="28"/>
              </w:rPr>
              <w:t>社会协同治理类重点应用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adjustRightInd w:val="0"/>
              <w:snapToGrid w:val="0"/>
              <w:spacing w:line="240" w:lineRule="auto"/>
              <w:ind w:firstLine="562"/>
              <w:rPr>
                <w:rFonts w:ascii="仿宋" w:hAnsi="仿宋" w:eastAsia="仿宋"/>
                <w:b/>
                <w:bCs/>
                <w:kern w:val="0"/>
                <w:sz w:val="28"/>
                <w:szCs w:val="28"/>
              </w:rPr>
            </w:pPr>
            <w:r>
              <w:rPr>
                <w:rFonts w:hint="eastAsia" w:ascii="仿宋" w:hAnsi="仿宋" w:eastAsia="仿宋"/>
                <w:b/>
                <w:bCs/>
                <w:kern w:val="0"/>
                <w:sz w:val="28"/>
                <w:szCs w:val="28"/>
              </w:rPr>
              <w:t>深化基层治理。</w:t>
            </w:r>
            <w:r>
              <w:rPr>
                <w:rFonts w:hint="eastAsia" w:ascii="仿宋" w:hAnsi="仿宋" w:eastAsia="仿宋"/>
                <w:kern w:val="0"/>
                <w:sz w:val="28"/>
                <w:szCs w:val="28"/>
              </w:rPr>
              <w:t>推进省市“</w:t>
            </w:r>
            <w:r>
              <w:rPr>
                <w:rFonts w:ascii="仿宋" w:hAnsi="仿宋" w:eastAsia="仿宋"/>
                <w:kern w:val="0"/>
                <w:sz w:val="28"/>
                <w:szCs w:val="28"/>
              </w:rPr>
              <w:t>1+11”基层治理平台架构优化和功能升级，</w:t>
            </w:r>
            <w:r>
              <w:rPr>
                <w:rFonts w:hint="eastAsia" w:ascii="仿宋" w:hAnsi="仿宋" w:eastAsia="仿宋"/>
                <w:kern w:val="0"/>
                <w:sz w:val="28"/>
                <w:szCs w:val="28"/>
              </w:rPr>
              <w:t>联动安全应急、城市管理等多领域应用</w:t>
            </w:r>
            <w:r>
              <w:rPr>
                <w:rFonts w:hint="eastAsia" w:ascii="仿宋" w:hAnsi="仿宋" w:eastAsia="仿宋"/>
                <w:kern w:val="0"/>
                <w:sz w:val="28"/>
                <w:szCs w:val="28"/>
                <w:lang w:eastAsia="zh-CN"/>
              </w:rPr>
              <w:t>系统</w:t>
            </w:r>
            <w:r>
              <w:rPr>
                <w:rFonts w:hint="eastAsia" w:ascii="仿宋" w:hAnsi="仿宋" w:eastAsia="仿宋"/>
                <w:kern w:val="0"/>
                <w:sz w:val="28"/>
                <w:szCs w:val="28"/>
              </w:rPr>
              <w:t>，</w:t>
            </w:r>
            <w:r>
              <w:rPr>
                <w:rFonts w:ascii="仿宋" w:hAnsi="仿宋" w:eastAsia="仿宋"/>
                <w:kern w:val="0"/>
                <w:sz w:val="28"/>
                <w:szCs w:val="28"/>
              </w:rPr>
              <w:t>强化系统对接集成，</w:t>
            </w:r>
            <w:r>
              <w:rPr>
                <w:rFonts w:hint="eastAsia" w:ascii="仿宋" w:hAnsi="仿宋" w:eastAsia="仿宋"/>
                <w:kern w:val="0"/>
                <w:sz w:val="28"/>
                <w:szCs w:val="28"/>
                <w:lang w:eastAsia="zh-CN"/>
              </w:rPr>
              <w:t>强化</w:t>
            </w:r>
            <w:r>
              <w:rPr>
                <w:rFonts w:ascii="仿宋" w:hAnsi="仿宋" w:eastAsia="仿宋"/>
                <w:kern w:val="0"/>
                <w:sz w:val="28"/>
                <w:szCs w:val="28"/>
              </w:rPr>
              <w:t>决策分析和智能应用，</w:t>
            </w:r>
            <w:r>
              <w:rPr>
                <w:rFonts w:hint="eastAsia" w:ascii="仿宋" w:hAnsi="仿宋" w:eastAsia="仿宋"/>
                <w:kern w:val="0"/>
                <w:sz w:val="28"/>
                <w:szCs w:val="28"/>
                <w:lang w:eastAsia="zh-CN"/>
              </w:rPr>
              <w:t>拓展</w:t>
            </w:r>
            <w:r>
              <w:rPr>
                <w:rFonts w:ascii="仿宋" w:hAnsi="仿宋" w:eastAsia="仿宋"/>
                <w:kern w:val="0"/>
                <w:sz w:val="28"/>
                <w:szCs w:val="28"/>
              </w:rPr>
              <w:t>基层治理数字化、场景化应用。</w:t>
            </w:r>
          </w:p>
          <w:p>
            <w:pPr>
              <w:pStyle w:val="5"/>
              <w:adjustRightInd w:val="0"/>
              <w:snapToGrid w:val="0"/>
              <w:spacing w:line="240" w:lineRule="auto"/>
              <w:ind w:firstLine="562"/>
              <w:rPr>
                <w:rFonts w:ascii="仿宋" w:hAnsi="仿宋" w:eastAsia="仿宋"/>
                <w:b/>
                <w:bCs/>
                <w:kern w:val="0"/>
                <w:sz w:val="28"/>
                <w:szCs w:val="28"/>
              </w:rPr>
            </w:pPr>
            <w:r>
              <w:rPr>
                <w:rFonts w:hint="eastAsia" w:ascii="仿宋" w:hAnsi="仿宋" w:eastAsia="仿宋"/>
                <w:b/>
                <w:bCs/>
                <w:kern w:val="0"/>
                <w:sz w:val="28"/>
                <w:szCs w:val="28"/>
              </w:rPr>
              <w:t>数字乡村。</w:t>
            </w:r>
            <w:r>
              <w:rPr>
                <w:rFonts w:hint="eastAsia" w:ascii="仿宋" w:hAnsi="仿宋" w:eastAsia="仿宋"/>
                <w:kern w:val="0"/>
                <w:sz w:val="28"/>
                <w:szCs w:val="28"/>
              </w:rPr>
              <w:t>围绕乡村数字治理，聚焦基层党建、小微权力运行、三资管理、应急管控等重点</w:t>
            </w:r>
            <w:r>
              <w:rPr>
                <w:rFonts w:hint="eastAsia" w:ascii="仿宋" w:hAnsi="仿宋" w:eastAsia="仿宋"/>
                <w:kern w:val="0"/>
                <w:sz w:val="28"/>
                <w:szCs w:val="28"/>
                <w:lang w:eastAsia="zh-CN"/>
              </w:rPr>
              <w:t>领域</w:t>
            </w:r>
            <w:r>
              <w:rPr>
                <w:rFonts w:hint="eastAsia" w:ascii="仿宋" w:hAnsi="仿宋" w:eastAsia="仿宋"/>
                <w:kern w:val="0"/>
                <w:sz w:val="28"/>
                <w:szCs w:val="28"/>
              </w:rPr>
              <w:t>，持续迭代大搬快聚易居通、幸福清单、乡村振兴互助贷等应用，推进农业农村“一件事”服务，全面提升乡村精准治理水平。</w:t>
            </w:r>
          </w:p>
          <w:p>
            <w:pPr>
              <w:pStyle w:val="5"/>
              <w:adjustRightInd w:val="0"/>
              <w:snapToGrid w:val="0"/>
              <w:spacing w:line="240" w:lineRule="auto"/>
              <w:ind w:firstLine="562"/>
              <w:rPr>
                <w:rFonts w:ascii="仿宋" w:hAnsi="仿宋" w:eastAsia="仿宋"/>
                <w:b/>
                <w:bCs/>
                <w:kern w:val="0"/>
                <w:sz w:val="28"/>
                <w:szCs w:val="28"/>
              </w:rPr>
            </w:pPr>
            <w:r>
              <w:rPr>
                <w:rFonts w:hint="eastAsia" w:ascii="仿宋" w:hAnsi="仿宋" w:eastAsia="仿宋"/>
                <w:b/>
                <w:bCs/>
                <w:kern w:val="0"/>
                <w:sz w:val="28"/>
                <w:szCs w:val="28"/>
              </w:rPr>
              <w:t>社会治理一张图。</w:t>
            </w:r>
            <w:r>
              <w:rPr>
                <w:rFonts w:hint="eastAsia" w:ascii="仿宋" w:hAnsi="仿宋" w:eastAsia="仿宋"/>
                <w:kern w:val="0"/>
                <w:sz w:val="28"/>
                <w:szCs w:val="28"/>
                <w:lang w:eastAsia="zh-CN"/>
              </w:rPr>
              <w:t>建成</w:t>
            </w:r>
            <w:r>
              <w:rPr>
                <w:rFonts w:hint="eastAsia" w:ascii="仿宋" w:hAnsi="仿宋" w:eastAsia="仿宋"/>
                <w:kern w:val="0"/>
                <w:sz w:val="28"/>
                <w:szCs w:val="28"/>
              </w:rPr>
              <w:t>标准地址库</w:t>
            </w:r>
            <w:r>
              <w:rPr>
                <w:rFonts w:hint="eastAsia" w:ascii="仿宋" w:hAnsi="仿宋" w:eastAsia="仿宋"/>
                <w:kern w:val="0"/>
                <w:sz w:val="28"/>
                <w:szCs w:val="28"/>
                <w:lang w:eastAsia="zh-CN"/>
              </w:rPr>
              <w:t>和</w:t>
            </w:r>
            <w:r>
              <w:rPr>
                <w:rFonts w:hint="eastAsia" w:ascii="仿宋" w:hAnsi="仿宋" w:eastAsia="仿宋"/>
                <w:kern w:val="0"/>
                <w:sz w:val="28"/>
                <w:szCs w:val="28"/>
              </w:rPr>
              <w:t>社会治理主题数据库，将</w:t>
            </w:r>
            <w:r>
              <w:rPr>
                <w:rFonts w:hint="eastAsia" w:ascii="仿宋" w:hAnsi="仿宋" w:eastAsia="仿宋"/>
                <w:kern w:val="0"/>
                <w:sz w:val="28"/>
                <w:szCs w:val="28"/>
                <w:lang w:eastAsia="zh-CN"/>
              </w:rPr>
              <w:t>相关</w:t>
            </w:r>
            <w:r>
              <w:rPr>
                <w:rFonts w:hint="eastAsia" w:ascii="仿宋" w:hAnsi="仿宋" w:eastAsia="仿宋"/>
                <w:kern w:val="0"/>
                <w:sz w:val="28"/>
                <w:szCs w:val="28"/>
              </w:rPr>
              <w:t>社会治理数据与空间地理信息关联融合，</w:t>
            </w:r>
            <w:r>
              <w:rPr>
                <w:rFonts w:hint="eastAsia" w:ascii="仿宋" w:hAnsi="仿宋" w:eastAsia="仿宋"/>
                <w:kern w:val="0"/>
                <w:sz w:val="28"/>
                <w:szCs w:val="28"/>
                <w:lang w:eastAsia="zh-CN"/>
              </w:rPr>
              <w:t>形成</w:t>
            </w:r>
            <w:r>
              <w:rPr>
                <w:rFonts w:hint="eastAsia" w:ascii="仿宋" w:hAnsi="仿宋" w:eastAsia="仿宋"/>
                <w:kern w:val="0"/>
                <w:sz w:val="28"/>
                <w:szCs w:val="28"/>
              </w:rPr>
              <w:t>可看、可查、可用的“社会治理一张图”，实现</w:t>
            </w:r>
            <w:r>
              <w:rPr>
                <w:rFonts w:hint="eastAsia" w:ascii="仿宋" w:hAnsi="仿宋" w:eastAsia="仿宋"/>
                <w:kern w:val="0"/>
                <w:sz w:val="28"/>
                <w:szCs w:val="28"/>
                <w:lang w:eastAsia="zh-CN"/>
              </w:rPr>
              <w:t>全</w:t>
            </w:r>
            <w:r>
              <w:rPr>
                <w:rFonts w:hint="eastAsia" w:ascii="仿宋" w:hAnsi="仿宋" w:eastAsia="仿宋"/>
                <w:kern w:val="0"/>
                <w:sz w:val="28"/>
                <w:szCs w:val="28"/>
              </w:rPr>
              <w:t>市社会治理数据融合、底数</w:t>
            </w:r>
            <w:r>
              <w:rPr>
                <w:rFonts w:hint="eastAsia" w:ascii="仿宋" w:hAnsi="仿宋" w:eastAsia="仿宋"/>
                <w:kern w:val="0"/>
                <w:sz w:val="28"/>
                <w:szCs w:val="28"/>
                <w:lang w:eastAsia="zh-CN"/>
              </w:rPr>
              <w:t>清晰</w:t>
            </w:r>
            <w:r>
              <w:rPr>
                <w:rFonts w:hint="eastAsia" w:ascii="仿宋" w:hAnsi="仿宋" w:eastAsia="仿宋"/>
                <w:kern w:val="0"/>
                <w:sz w:val="28"/>
                <w:szCs w:val="28"/>
              </w:rPr>
              <w:t>、共享关联、全息展示。</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网格工作智能辅助。</w:t>
            </w:r>
            <w:r>
              <w:rPr>
                <w:rFonts w:hint="eastAsia" w:ascii="仿宋" w:hAnsi="仿宋" w:eastAsia="仿宋"/>
                <w:kern w:val="0"/>
                <w:sz w:val="28"/>
                <w:szCs w:val="28"/>
              </w:rPr>
              <w:t>依托“浙政钉”深化“多通</w:t>
            </w:r>
            <w:r>
              <w:rPr>
                <w:rFonts w:hint="eastAsia" w:ascii="仿宋" w:hAnsi="仿宋" w:eastAsia="仿宋"/>
                <w:kern w:val="0"/>
                <w:sz w:val="28"/>
                <w:szCs w:val="28"/>
                <w:lang w:eastAsia="zh-CN"/>
              </w:rPr>
              <w:t>融合</w:t>
            </w:r>
            <w:r>
              <w:rPr>
                <w:rFonts w:hint="eastAsia" w:ascii="仿宋" w:hAnsi="仿宋" w:eastAsia="仿宋"/>
                <w:kern w:val="0"/>
                <w:sz w:val="28"/>
                <w:szCs w:val="28"/>
              </w:rPr>
              <w:t>”，建立网格数据共享池，</w:t>
            </w:r>
            <w:r>
              <w:rPr>
                <w:rFonts w:hint="eastAsia" w:ascii="仿宋" w:hAnsi="仿宋" w:eastAsia="仿宋"/>
                <w:kern w:val="0"/>
                <w:sz w:val="28"/>
                <w:szCs w:val="28"/>
                <w:lang w:eastAsia="zh-CN"/>
              </w:rPr>
              <w:t>并</w:t>
            </w:r>
            <w:r>
              <w:rPr>
                <w:rFonts w:hint="eastAsia" w:ascii="仿宋" w:hAnsi="仿宋" w:eastAsia="仿宋"/>
                <w:kern w:val="0"/>
                <w:sz w:val="28"/>
                <w:szCs w:val="28"/>
              </w:rPr>
              <w:t>与基层治理四平台</w:t>
            </w:r>
            <w:r>
              <w:rPr>
                <w:rFonts w:hint="eastAsia" w:ascii="仿宋" w:hAnsi="仿宋" w:eastAsia="仿宋"/>
                <w:kern w:val="0"/>
                <w:sz w:val="28"/>
                <w:szCs w:val="28"/>
                <w:lang w:eastAsia="zh-CN"/>
              </w:rPr>
              <w:t>联动</w:t>
            </w:r>
            <w:r>
              <w:rPr>
                <w:rFonts w:hint="eastAsia" w:ascii="仿宋" w:hAnsi="仿宋" w:eastAsia="仿宋"/>
                <w:kern w:val="0"/>
                <w:sz w:val="28"/>
                <w:szCs w:val="28"/>
              </w:rPr>
              <w:t>，实现网格事件只报一次、网格走访只巡一次。</w:t>
            </w:r>
            <w:r>
              <w:rPr>
                <w:rFonts w:hint="eastAsia" w:ascii="仿宋" w:hAnsi="仿宋" w:eastAsia="仿宋"/>
                <w:kern w:val="0"/>
                <w:sz w:val="28"/>
                <w:szCs w:val="28"/>
                <w:lang w:eastAsia="zh-CN"/>
              </w:rPr>
              <w:t>实现</w:t>
            </w:r>
            <w:r>
              <w:rPr>
                <w:rFonts w:hint="eastAsia" w:ascii="仿宋" w:hAnsi="仿宋" w:eastAsia="仿宋"/>
                <w:kern w:val="0"/>
                <w:sz w:val="28"/>
                <w:szCs w:val="28"/>
              </w:rPr>
              <w:t>事件智能导办，拓展人工智能辅助赋能应用，为网格员工作提供</w:t>
            </w:r>
            <w:r>
              <w:rPr>
                <w:rFonts w:hint="eastAsia" w:ascii="仿宋" w:hAnsi="仿宋" w:eastAsia="仿宋"/>
                <w:kern w:val="0"/>
                <w:sz w:val="28"/>
                <w:szCs w:val="28"/>
                <w:lang w:eastAsia="zh-CN"/>
              </w:rPr>
              <w:t>数字化技术手段</w:t>
            </w:r>
            <w:r>
              <w:rPr>
                <w:rFonts w:hint="eastAsia" w:ascii="仿宋" w:hAnsi="仿宋" w:eastAsia="仿宋"/>
                <w:kern w:val="0"/>
                <w:sz w:val="28"/>
                <w:szCs w:val="28"/>
              </w:rPr>
              <w:t>支撑。</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信用丽水。</w:t>
            </w:r>
            <w:r>
              <w:rPr>
                <w:rFonts w:hint="eastAsia" w:ascii="仿宋" w:hAnsi="仿宋" w:eastAsia="仿宋"/>
                <w:kern w:val="0"/>
                <w:sz w:val="28"/>
                <w:szCs w:val="28"/>
              </w:rPr>
              <w:t>以激励诚信、约束失信为重点，创新拓展信用应用场景，丰富信用惠民便企措施，推进信用承诺、信用监管精细化。聚焦生态优势，高标准推进生态信用建设。</w:t>
            </w:r>
          </w:p>
        </w:tc>
      </w:tr>
    </w:tbl>
    <w:p>
      <w:pPr>
        <w:ind w:firstLine="0" w:firstLineChars="0"/>
      </w:pPr>
    </w:p>
    <w:p>
      <w:pPr>
        <w:pStyle w:val="3"/>
        <w:numPr>
          <w:ilvl w:val="1"/>
          <w:numId w:val="0"/>
        </w:numPr>
        <w:ind w:firstLine="643" w:firstLineChars="200"/>
        <w:rPr>
          <w:rFonts w:hint="eastAsia" w:ascii="楷体" w:hAnsi="楷体" w:eastAsia="楷体" w:cs="楷体"/>
        </w:rPr>
      </w:pPr>
      <w:bookmarkStart w:id="18" w:name="_Toc85210002"/>
      <w:r>
        <w:rPr>
          <w:rFonts w:hint="eastAsia" w:ascii="楷体" w:hAnsi="楷体" w:eastAsia="楷体" w:cs="楷体"/>
          <w:lang w:val="en"/>
        </w:rPr>
        <w:t>（五）</w:t>
      </w:r>
      <w:r>
        <w:rPr>
          <w:rFonts w:hint="eastAsia" w:ascii="楷体" w:hAnsi="楷体" w:eastAsia="楷体" w:cs="楷体"/>
        </w:rPr>
        <w:t>围绕数字孪生城市构建，推进城市综合管理智慧化</w:t>
      </w:r>
      <w:bookmarkEnd w:id="18"/>
    </w:p>
    <w:p>
      <w:pPr>
        <w:rPr>
          <w:highlight w:val="yellow"/>
        </w:rPr>
      </w:pPr>
      <w:r>
        <w:rPr>
          <w:rFonts w:hint="eastAsia"/>
        </w:rPr>
        <w:t>推进城市管理由综合指挥向民生服务、舆情监测、效能考核等城市运营各时空维度拓展，实现城市运行状态可视化监测和日常管理高效协同。</w:t>
      </w:r>
    </w:p>
    <w:p>
      <w:pPr>
        <w:rPr>
          <w:rFonts w:hint="eastAsia" w:eastAsia="仿宋"/>
          <w:lang w:eastAsia="zh-CN"/>
        </w:rPr>
      </w:pPr>
      <w:r>
        <w:rPr>
          <w:rFonts w:hint="eastAsia"/>
          <w:b/>
          <w:bCs/>
        </w:rPr>
        <w:t>1</w:t>
      </w:r>
      <w:r>
        <w:rPr>
          <w:b/>
          <w:bCs/>
        </w:rPr>
        <w:t>.</w:t>
      </w:r>
      <w:r>
        <w:rPr>
          <w:rFonts w:hint="eastAsia"/>
          <w:b/>
          <w:bCs/>
        </w:rPr>
        <w:t>持续提升城市管理综合指挥能力。</w:t>
      </w:r>
      <w:r>
        <w:rPr>
          <w:rFonts w:hint="eastAsia"/>
          <w:b w:val="0"/>
          <w:bCs w:val="0"/>
        </w:rPr>
        <w:t>迭代升级城市管理指挥中心“数字驾驶舱</w:t>
      </w:r>
      <w:r>
        <w:rPr>
          <w:b w:val="0"/>
          <w:bCs w:val="0"/>
        </w:rPr>
        <w:t>+每日会商”核心特色应用场景</w:t>
      </w:r>
      <w:r>
        <w:rPr>
          <w:rFonts w:hint="eastAsia"/>
          <w:b w:val="0"/>
          <w:bCs w:val="0"/>
          <w:lang w:val="en" w:eastAsia="zh-CN"/>
        </w:rPr>
        <w:t>，依托“花园云”大数据分析</w:t>
      </w:r>
      <w:r>
        <w:t>生成每日会商</w:t>
      </w:r>
      <w:r>
        <w:rPr>
          <w:rFonts w:hint="eastAsia"/>
        </w:rPr>
        <w:t>重点</w:t>
      </w:r>
      <w:r>
        <w:t>关注</w:t>
      </w:r>
      <w:r>
        <w:rPr>
          <w:rFonts w:hint="eastAsia"/>
          <w:lang w:eastAsia="zh-CN"/>
        </w:rPr>
        <w:t>事项及指标，实现</w:t>
      </w:r>
      <w:r>
        <w:t>市域治理各领域</w:t>
      </w:r>
      <w:r>
        <w:rPr>
          <w:rFonts w:hint="eastAsia"/>
          <w:lang w:eastAsia="zh-CN"/>
        </w:rPr>
        <w:t>发展</w:t>
      </w:r>
      <w:r>
        <w:t>趋势和突发</w:t>
      </w:r>
      <w:r>
        <w:rPr>
          <w:rFonts w:hint="eastAsia"/>
          <w:lang w:eastAsia="zh-CN"/>
        </w:rPr>
        <w:t>事件</w:t>
      </w:r>
      <w:r>
        <w:t>的实时分析研判，</w:t>
      </w:r>
      <w:r>
        <w:rPr>
          <w:rFonts w:hint="eastAsia"/>
          <w:lang w:eastAsia="zh-CN"/>
        </w:rPr>
        <w:t>并给出</w:t>
      </w:r>
      <w:r>
        <w:t>解决问题</w:t>
      </w:r>
      <w:r>
        <w:rPr>
          <w:rFonts w:hint="eastAsia"/>
          <w:lang w:eastAsia="zh-CN"/>
        </w:rPr>
        <w:t>的</w:t>
      </w:r>
      <w:r>
        <w:t>建议</w:t>
      </w:r>
      <w:r>
        <w:rPr>
          <w:rFonts w:hint="eastAsia"/>
          <w:lang w:eastAsia="zh-CN"/>
        </w:rPr>
        <w:t>。通过提升系统智能化水平并建立健全工作机制，进一步提高</w:t>
      </w:r>
      <w:r>
        <w:t>市域治理</w:t>
      </w:r>
      <w:r>
        <w:rPr>
          <w:rFonts w:hint="eastAsia"/>
          <w:lang w:eastAsia="zh-CN"/>
        </w:rPr>
        <w:t>效能</w:t>
      </w:r>
      <w:r>
        <w:t>。</w:t>
      </w:r>
    </w:p>
    <w:p>
      <w:r>
        <w:rPr>
          <w:rFonts w:hint="eastAsia"/>
          <w:b/>
          <w:bCs/>
        </w:rPr>
        <w:t>2</w:t>
      </w:r>
      <w:r>
        <w:rPr>
          <w:b/>
          <w:bCs/>
        </w:rPr>
        <w:t>.</w:t>
      </w:r>
      <w:r>
        <w:rPr>
          <w:rFonts w:hint="eastAsia"/>
          <w:b/>
          <w:bCs/>
        </w:rPr>
        <w:t>持续创新数字孪生应用场景。</w:t>
      </w:r>
      <w:r>
        <w:rPr>
          <w:rFonts w:hint="eastAsia"/>
          <w:lang w:eastAsia="zh-CN"/>
        </w:rPr>
        <w:t>依托</w:t>
      </w:r>
      <w:r>
        <w:rPr>
          <w:rFonts w:hint="eastAsia"/>
        </w:rPr>
        <w:t>一体化智能化公共数据平台，围绕丽水市城市运行体征，梳理</w:t>
      </w:r>
      <w:bookmarkStart w:id="19" w:name="_Hlk85208820"/>
      <w:r>
        <w:rPr>
          <w:rFonts w:hint="eastAsia"/>
        </w:rPr>
        <w:t>“</w:t>
      </w:r>
      <w:r>
        <w:rPr>
          <w:rFonts w:hint="eastAsia"/>
          <w:b/>
          <w:bCs/>
        </w:rPr>
        <w:t>三张清单</w:t>
      </w:r>
      <w:r>
        <w:rPr>
          <w:rFonts w:hint="eastAsia"/>
          <w:b/>
          <w:bCs/>
          <w:vertAlign w:val="superscript"/>
          <w:lang w:val="en-US" w:eastAsia="zh-CN"/>
        </w:rPr>
        <w:t>10</w:t>
      </w:r>
      <w:r>
        <w:rPr>
          <w:rFonts w:hint="eastAsia"/>
        </w:rPr>
        <w:t>”</w:t>
      </w:r>
      <w:bookmarkEnd w:id="19"/>
      <w:r>
        <w:rPr>
          <w:rFonts w:hint="eastAsia"/>
        </w:rPr>
        <w:t>，聚焦隐蔽体、危险体、复杂体等城市治理难点、堵点</w:t>
      </w:r>
      <w:r>
        <w:rPr>
          <w:rFonts w:hint="eastAsia"/>
          <w:lang w:eastAsia="zh-CN"/>
        </w:rPr>
        <w:t>、</w:t>
      </w:r>
      <w:r>
        <w:rPr>
          <w:rFonts w:hint="eastAsia"/>
        </w:rPr>
        <w:t>痛点，积极参与数字孪生试点建设，形成应用场景、数据底座、制度和理论融为一体的数字孪生体系，提升城市治理“一网通管”水平，逐步实现数字孪生向其他领域拓展覆盖。按照</w:t>
      </w:r>
      <w:r>
        <w:rPr>
          <w:rFonts w:hint="eastAsia"/>
          <w:lang w:eastAsia="zh-CN"/>
        </w:rPr>
        <w:t>省级统一</w:t>
      </w:r>
      <w:r>
        <w:rPr>
          <w:rFonts w:hint="eastAsia"/>
        </w:rPr>
        <w:t>部署</w:t>
      </w:r>
      <w:r>
        <w:rPr>
          <w:rFonts w:hint="eastAsia"/>
          <w:lang w:eastAsia="zh-CN"/>
        </w:rPr>
        <w:t>，建设</w:t>
      </w:r>
      <w:r>
        <w:t>CIM全生命周期城市综合管理</w:t>
      </w:r>
      <w:r>
        <w:rPr>
          <w:rFonts w:hint="eastAsia"/>
          <w:lang w:eastAsia="zh-CN"/>
        </w:rPr>
        <w:t>系统</w:t>
      </w:r>
      <w:r>
        <w:t>，</w:t>
      </w:r>
      <w:r>
        <w:rPr>
          <w:rFonts w:hint="eastAsia"/>
        </w:rPr>
        <w:t>探索城市管理运营</w:t>
      </w:r>
      <w:r>
        <w:rPr>
          <w:rFonts w:hint="eastAsia"/>
          <w:lang w:eastAsia="zh-CN"/>
        </w:rPr>
        <w:t>新</w:t>
      </w:r>
      <w:r>
        <w:rPr>
          <w:rFonts w:hint="eastAsia"/>
        </w:rPr>
        <w:t>模式，通过接入物联感知</w:t>
      </w:r>
      <w:r>
        <w:t>数据，</w:t>
      </w:r>
      <w:r>
        <w:rPr>
          <w:rFonts w:hint="eastAsia"/>
        </w:rPr>
        <w:t>在城市规划、城市建设、城市管理、综合监管等</w:t>
      </w:r>
      <w:r>
        <w:rPr>
          <w:rFonts w:hint="eastAsia"/>
          <w:lang w:eastAsia="zh-CN"/>
        </w:rPr>
        <w:t>领域</w:t>
      </w:r>
      <w:r>
        <w:rPr>
          <w:rFonts w:hint="eastAsia"/>
        </w:rPr>
        <w:t>实现城市模拟监控及预测预警，</w:t>
      </w:r>
      <w:r>
        <w:t>推动中心城市率先实现数字孪生。</w:t>
      </w:r>
    </w:p>
    <w:p>
      <w:r>
        <w:rPr>
          <w:rFonts w:hint="eastAsia"/>
          <w:b/>
          <w:bCs/>
        </w:rPr>
        <w:t>3</w:t>
      </w:r>
      <w:r>
        <w:rPr>
          <w:b/>
          <w:bCs/>
        </w:rPr>
        <w:t>.</w:t>
      </w:r>
      <w:r>
        <w:rPr>
          <w:rFonts w:hint="eastAsia"/>
          <w:b/>
          <w:bCs/>
        </w:rPr>
        <w:t>推行城市管理多部门联动综合执法。</w:t>
      </w:r>
      <w:r>
        <w:rPr>
          <w:rFonts w:hint="eastAsia"/>
        </w:rPr>
        <w:t>做优做实“综合执法</w:t>
      </w:r>
      <w:r>
        <w:t>+专业执法+联合执法”</w:t>
      </w:r>
      <w:r>
        <w:rPr>
          <w:rFonts w:hint="eastAsia"/>
        </w:rPr>
        <w:t>体系，统筹市县行政执法资源，推行“综合查一次”“监管一件事”，</w:t>
      </w:r>
      <w:r>
        <w:rPr>
          <w:rFonts w:hint="eastAsia"/>
          <w:lang w:eastAsia="zh-CN"/>
        </w:rPr>
        <w:t>普及</w:t>
      </w:r>
      <w:r>
        <w:rPr>
          <w:rFonts w:hint="eastAsia"/>
        </w:rPr>
        <w:t>无人机、互联网取证等执法办案装备</w:t>
      </w:r>
      <w:r>
        <w:rPr>
          <w:rFonts w:hint="eastAsia"/>
          <w:lang w:eastAsia="zh-CN"/>
        </w:rPr>
        <w:t>、手段</w:t>
      </w:r>
      <w:r>
        <w:rPr>
          <w:rFonts w:hint="eastAsia"/>
        </w:rPr>
        <w:t>，探索跨领域</w:t>
      </w:r>
      <w:r>
        <w:rPr>
          <w:rFonts w:hint="eastAsia"/>
          <w:lang w:eastAsia="zh-CN"/>
        </w:rPr>
        <w:t>、</w:t>
      </w:r>
      <w:r>
        <w:rPr>
          <w:rFonts w:hint="eastAsia"/>
        </w:rPr>
        <w:t>跨部门综合执法。全面推广</w:t>
      </w:r>
      <w:r>
        <w:rPr>
          <w:rFonts w:hint="eastAsia"/>
          <w:lang w:eastAsia="zh-CN"/>
        </w:rPr>
        <w:t>应用</w:t>
      </w:r>
      <w:r>
        <w:rPr>
          <w:rFonts w:hint="eastAsia"/>
        </w:rPr>
        <w:t>省行政执法监管系统</w:t>
      </w:r>
      <w:r>
        <w:rPr>
          <w:rFonts w:hint="eastAsia"/>
          <w:lang w:eastAsia="zh-CN"/>
        </w:rPr>
        <w:t>、</w:t>
      </w:r>
      <w:r>
        <w:rPr>
          <w:rFonts w:hint="eastAsia"/>
        </w:rPr>
        <w:t>省统一行政处罚办案系统</w:t>
      </w:r>
      <w:r>
        <w:rPr>
          <w:rFonts w:hint="eastAsia"/>
          <w:lang w:eastAsia="zh-CN"/>
        </w:rPr>
        <w:t>、</w:t>
      </w:r>
      <w:r>
        <w:rPr>
          <w:rFonts w:hint="eastAsia"/>
        </w:rPr>
        <w:t>丽水市智慧执法</w:t>
      </w:r>
      <w:r>
        <w:rPr>
          <w:rFonts w:hint="eastAsia"/>
          <w:lang w:eastAsia="zh-CN"/>
        </w:rPr>
        <w:t>系统</w:t>
      </w:r>
      <w:r>
        <w:rPr>
          <w:rFonts w:hint="eastAsia"/>
        </w:rPr>
        <w:t>，实现</w:t>
      </w:r>
      <w:r>
        <w:rPr>
          <w:rFonts w:hint="eastAsia"/>
          <w:lang w:eastAsia="zh-CN"/>
        </w:rPr>
        <w:t>事前、</w:t>
      </w:r>
      <w:r>
        <w:rPr>
          <w:rFonts w:hint="eastAsia"/>
        </w:rPr>
        <w:t>事中</w:t>
      </w:r>
      <w:r>
        <w:rPr>
          <w:rFonts w:hint="eastAsia"/>
          <w:lang w:eastAsia="zh-CN"/>
        </w:rPr>
        <w:t>、</w:t>
      </w:r>
      <w:r>
        <w:rPr>
          <w:rFonts w:hint="eastAsia"/>
        </w:rPr>
        <w:t>事后</w:t>
      </w:r>
      <w:r>
        <w:rPr>
          <w:rFonts w:hint="eastAsia"/>
          <w:lang w:eastAsia="zh-CN"/>
        </w:rPr>
        <w:t>全面数字化</w:t>
      </w:r>
      <w:r>
        <w:rPr>
          <w:rFonts w:hint="eastAsia"/>
        </w:rPr>
        <w:t>监管，形成“审批－监管－处罚－监督评价”的“大执法”全流程</w:t>
      </w:r>
      <w:r>
        <w:rPr>
          <w:rFonts w:hint="eastAsia"/>
          <w:lang w:eastAsia="zh-CN"/>
        </w:rPr>
        <w:t>数字化</w:t>
      </w:r>
      <w:r>
        <w:rPr>
          <w:rFonts w:hint="eastAsia"/>
        </w:rPr>
        <w:t>闭环。</w:t>
      </w:r>
    </w:p>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numPr>
                <w:ilvl w:val="0"/>
                <w:numId w:val="2"/>
              </w:numPr>
              <w:spacing w:line="240" w:lineRule="auto"/>
              <w:ind w:left="0" w:firstLine="0" w:firstLineChars="0"/>
              <w:jc w:val="center"/>
              <w:rPr>
                <w:rFonts w:hint="eastAsia" w:ascii="黑体" w:hAnsi="黑体" w:eastAsia="黑体" w:cs="黑体"/>
                <w:kern w:val="0"/>
                <w:sz w:val="28"/>
                <w:szCs w:val="28"/>
              </w:rPr>
            </w:pPr>
            <w:r>
              <w:rPr>
                <w:rFonts w:hint="eastAsia" w:ascii="黑体" w:hAnsi="黑体" w:eastAsia="黑体" w:cs="黑体"/>
                <w:kern w:val="0"/>
                <w:sz w:val="28"/>
                <w:szCs w:val="28"/>
              </w:rPr>
              <w:t>城市综合管理类重点应用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数字孪生体系建设</w:t>
            </w:r>
            <w:r>
              <w:rPr>
                <w:rFonts w:ascii="仿宋" w:hAnsi="仿宋" w:eastAsia="仿宋"/>
                <w:b/>
                <w:bCs/>
                <w:kern w:val="0"/>
                <w:sz w:val="28"/>
                <w:szCs w:val="28"/>
              </w:rPr>
              <w:t>。</w:t>
            </w:r>
            <w:r>
              <w:rPr>
                <w:rFonts w:hint="eastAsia" w:ascii="仿宋" w:hAnsi="仿宋" w:eastAsia="仿宋"/>
                <w:kern w:val="0"/>
                <w:sz w:val="28"/>
                <w:szCs w:val="28"/>
              </w:rPr>
              <w:t>统筹推进</w:t>
            </w:r>
            <w:r>
              <w:rPr>
                <w:rFonts w:hint="eastAsia" w:ascii="仿宋" w:hAnsi="仿宋" w:eastAsia="仿宋"/>
                <w:kern w:val="0"/>
                <w:sz w:val="28"/>
                <w:szCs w:val="28"/>
                <w:lang w:eastAsia="zh-CN"/>
              </w:rPr>
              <w:t>全</w:t>
            </w:r>
            <w:r>
              <w:rPr>
                <w:rFonts w:hint="eastAsia" w:ascii="仿宋" w:hAnsi="仿宋" w:eastAsia="仿宋"/>
                <w:kern w:val="0"/>
                <w:sz w:val="28"/>
                <w:szCs w:val="28"/>
              </w:rPr>
              <w:t>市数字孪生工作，</w:t>
            </w:r>
            <w:r>
              <w:rPr>
                <w:rFonts w:hint="eastAsia" w:ascii="仿宋" w:hAnsi="仿宋" w:eastAsia="仿宋"/>
                <w:kern w:val="0"/>
                <w:sz w:val="28"/>
                <w:szCs w:val="28"/>
                <w:lang w:eastAsia="zh-CN"/>
              </w:rPr>
              <w:t>重点</w:t>
            </w:r>
            <w:r>
              <w:rPr>
                <w:rFonts w:hint="eastAsia" w:ascii="仿宋" w:hAnsi="仿宋" w:eastAsia="仿宋"/>
                <w:kern w:val="0"/>
                <w:sz w:val="28"/>
                <w:szCs w:val="28"/>
              </w:rPr>
              <w:t>围绕城市运行体征监测、应用需求、体制机制</w:t>
            </w:r>
            <w:r>
              <w:rPr>
                <w:rFonts w:hint="eastAsia" w:ascii="仿宋" w:hAnsi="仿宋" w:eastAsia="仿宋"/>
                <w:kern w:val="0"/>
                <w:sz w:val="28"/>
                <w:szCs w:val="28"/>
                <w:lang w:eastAsia="zh-CN"/>
              </w:rPr>
              <w:t>，</w:t>
            </w:r>
            <w:r>
              <w:rPr>
                <w:rFonts w:hint="eastAsia" w:ascii="仿宋" w:hAnsi="仿宋" w:eastAsia="仿宋"/>
                <w:kern w:val="0"/>
                <w:sz w:val="28"/>
                <w:szCs w:val="28"/>
              </w:rPr>
              <w:t>梳理需求清单、多跨场景清单</w:t>
            </w:r>
            <w:r>
              <w:rPr>
                <w:rFonts w:hint="eastAsia" w:ascii="仿宋" w:hAnsi="仿宋" w:eastAsia="仿宋"/>
                <w:kern w:val="0"/>
                <w:sz w:val="28"/>
                <w:szCs w:val="28"/>
                <w:lang w:eastAsia="zh-CN"/>
              </w:rPr>
              <w:t>、</w:t>
            </w:r>
            <w:r>
              <w:rPr>
                <w:rFonts w:hint="eastAsia" w:ascii="仿宋" w:hAnsi="仿宋" w:eastAsia="仿宋"/>
                <w:kern w:val="0"/>
                <w:sz w:val="28"/>
                <w:szCs w:val="28"/>
              </w:rPr>
              <w:t>改革清单，充分挖掘数字孪生应用场景，积极参与“揭榜挂帅”试点，形成示范效应。</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城市管理综合执法智能化。</w:t>
            </w:r>
            <w:r>
              <w:rPr>
                <w:rFonts w:hint="eastAsia" w:ascii="仿宋" w:hAnsi="仿宋" w:eastAsia="仿宋"/>
                <w:kern w:val="0"/>
                <w:sz w:val="28"/>
                <w:szCs w:val="28"/>
              </w:rPr>
              <w:t>构建“</w:t>
            </w:r>
            <w:r>
              <w:rPr>
                <w:rFonts w:ascii="仿宋" w:hAnsi="仿宋" w:eastAsia="仿宋"/>
                <w:kern w:val="0"/>
                <w:sz w:val="28"/>
                <w:szCs w:val="28"/>
              </w:rPr>
              <w:t>252+N”的市县一体化</w:t>
            </w:r>
            <w:bookmarkStart w:id="20" w:name="_Hlk80075174"/>
            <w:r>
              <w:rPr>
                <w:rFonts w:ascii="仿宋" w:hAnsi="仿宋" w:eastAsia="仿宋"/>
                <w:kern w:val="0"/>
                <w:sz w:val="28"/>
                <w:szCs w:val="28"/>
              </w:rPr>
              <w:t>城市管理综合行政执法</w:t>
            </w:r>
            <w:bookmarkEnd w:id="20"/>
            <w:r>
              <w:rPr>
                <w:rFonts w:hint="eastAsia" w:ascii="仿宋" w:hAnsi="仿宋" w:eastAsia="仿宋"/>
                <w:kern w:val="0"/>
                <w:sz w:val="28"/>
                <w:szCs w:val="28"/>
                <w:lang w:eastAsia="zh-CN"/>
              </w:rPr>
              <w:t>系统</w:t>
            </w:r>
            <w:r>
              <w:rPr>
                <w:rFonts w:ascii="仿宋" w:hAnsi="仿宋" w:eastAsia="仿宋"/>
                <w:kern w:val="0"/>
                <w:sz w:val="28"/>
                <w:szCs w:val="28"/>
              </w:rPr>
              <w:t>，</w:t>
            </w:r>
            <w:r>
              <w:rPr>
                <w:rFonts w:hint="eastAsia" w:ascii="仿宋" w:hAnsi="仿宋" w:eastAsia="仿宋"/>
                <w:kern w:val="0"/>
                <w:sz w:val="28"/>
                <w:szCs w:val="28"/>
                <w:lang w:eastAsia="zh-CN"/>
              </w:rPr>
              <w:t>建成</w:t>
            </w:r>
            <w:r>
              <w:rPr>
                <w:rFonts w:ascii="仿宋" w:hAnsi="仿宋" w:eastAsia="仿宋"/>
                <w:kern w:val="0"/>
                <w:sz w:val="28"/>
                <w:szCs w:val="28"/>
              </w:rPr>
              <w:t>综合行政执法数据仓，建设摊贩管理、违建防控、犬类管理、单车管理、法人管理等高频次城市管理场景</w:t>
            </w:r>
            <w:r>
              <w:rPr>
                <w:rFonts w:hint="eastAsia" w:ascii="仿宋" w:hAnsi="仿宋" w:eastAsia="仿宋"/>
                <w:kern w:val="0"/>
                <w:sz w:val="28"/>
                <w:szCs w:val="28"/>
                <w:lang w:eastAsia="zh-CN"/>
              </w:rPr>
              <w:t>应用</w:t>
            </w:r>
            <w:r>
              <w:rPr>
                <w:rFonts w:hint="eastAsia" w:ascii="仿宋" w:hAnsi="仿宋" w:eastAsia="仿宋"/>
                <w:kern w:val="0"/>
                <w:sz w:val="28"/>
                <w:szCs w:val="28"/>
              </w:rPr>
              <w:t>，</w:t>
            </w:r>
            <w:r>
              <w:rPr>
                <w:rFonts w:hint="eastAsia" w:ascii="仿宋" w:hAnsi="仿宋" w:eastAsia="仿宋"/>
                <w:kern w:val="0"/>
                <w:sz w:val="28"/>
                <w:szCs w:val="28"/>
                <w:lang w:eastAsia="zh-CN"/>
              </w:rPr>
              <w:t>形成支撑</w:t>
            </w:r>
            <w:r>
              <w:rPr>
                <w:rFonts w:ascii="仿宋" w:hAnsi="仿宋" w:eastAsia="仿宋"/>
                <w:kern w:val="0"/>
                <w:sz w:val="28"/>
                <w:szCs w:val="28"/>
              </w:rPr>
              <w:t>全领域、</w:t>
            </w:r>
            <w:r>
              <w:rPr>
                <w:rFonts w:hint="eastAsia" w:ascii="仿宋" w:hAnsi="仿宋" w:eastAsia="仿宋"/>
                <w:kern w:val="0"/>
                <w:sz w:val="28"/>
                <w:szCs w:val="28"/>
                <w:lang w:eastAsia="zh-CN"/>
              </w:rPr>
              <w:t>智能化、</w:t>
            </w:r>
            <w:r>
              <w:rPr>
                <w:rFonts w:ascii="仿宋" w:hAnsi="仿宋" w:eastAsia="仿宋"/>
                <w:kern w:val="0"/>
                <w:sz w:val="28"/>
                <w:szCs w:val="28"/>
              </w:rPr>
              <w:t>高效能的综合行政执法体系。</w:t>
            </w:r>
          </w:p>
          <w:p>
            <w:pPr>
              <w:pStyle w:val="5"/>
              <w:adjustRightInd w:val="0"/>
              <w:snapToGrid w:val="0"/>
              <w:spacing w:line="240" w:lineRule="auto"/>
              <w:ind w:firstLine="562"/>
              <w:rPr>
                <w:rFonts w:ascii="仿宋" w:hAnsi="仿宋" w:eastAsia="仿宋"/>
                <w:b/>
                <w:bCs/>
                <w:kern w:val="0"/>
                <w:sz w:val="24"/>
                <w:szCs w:val="16"/>
              </w:rPr>
            </w:pPr>
            <w:r>
              <w:rPr>
                <w:rFonts w:hint="eastAsia" w:ascii="仿宋" w:hAnsi="仿宋" w:eastAsia="仿宋"/>
                <w:b/>
                <w:bCs/>
                <w:kern w:val="0"/>
                <w:sz w:val="28"/>
                <w:szCs w:val="28"/>
              </w:rPr>
              <w:t>地下市政设施数字化监管。</w:t>
            </w:r>
            <w:r>
              <w:rPr>
                <w:rFonts w:hint="eastAsia" w:ascii="仿宋" w:hAnsi="仿宋" w:eastAsia="仿宋"/>
                <w:kern w:val="0"/>
                <w:sz w:val="28"/>
                <w:szCs w:val="28"/>
              </w:rPr>
              <w:t>建设城市地下市政基础设施综合管理信息</w:t>
            </w:r>
            <w:r>
              <w:rPr>
                <w:rFonts w:hint="eastAsia" w:ascii="仿宋" w:hAnsi="仿宋" w:eastAsia="仿宋"/>
                <w:kern w:val="0"/>
                <w:sz w:val="28"/>
                <w:szCs w:val="28"/>
                <w:lang w:eastAsia="zh-CN"/>
              </w:rPr>
              <w:t>系统</w:t>
            </w:r>
            <w:r>
              <w:rPr>
                <w:rFonts w:hint="eastAsia" w:ascii="仿宋" w:hAnsi="仿宋" w:eastAsia="仿宋"/>
                <w:kern w:val="0"/>
                <w:sz w:val="28"/>
                <w:szCs w:val="28"/>
              </w:rPr>
              <w:t>，绘制城市地下市政基础设施“一张图”。</w:t>
            </w:r>
          </w:p>
        </w:tc>
      </w:tr>
    </w:tbl>
    <w:p>
      <w:pPr>
        <w:ind w:firstLine="0" w:firstLineChars="0"/>
      </w:pPr>
    </w:p>
    <w:p>
      <w:pPr>
        <w:pStyle w:val="3"/>
        <w:numPr>
          <w:ilvl w:val="1"/>
          <w:numId w:val="0"/>
        </w:numPr>
        <w:ind w:firstLine="643" w:firstLineChars="200"/>
        <w:rPr>
          <w:rFonts w:hint="eastAsia" w:ascii="楷体" w:hAnsi="楷体" w:eastAsia="楷体" w:cs="楷体"/>
        </w:rPr>
      </w:pPr>
      <w:bookmarkStart w:id="21" w:name="_Toc85210003"/>
      <w:r>
        <w:rPr>
          <w:rFonts w:hint="eastAsia" w:ascii="楷体" w:hAnsi="楷体" w:eastAsia="楷体" w:cs="楷体"/>
          <w:lang w:val="en"/>
        </w:rPr>
        <w:t>（六）</w:t>
      </w:r>
      <w:r>
        <w:rPr>
          <w:rFonts w:hint="eastAsia" w:ascii="楷体" w:hAnsi="楷体" w:eastAsia="楷体" w:cs="楷体"/>
        </w:rPr>
        <w:t>围绕大花园核心区建设，推进区域生态保护智能化</w:t>
      </w:r>
      <w:bookmarkEnd w:id="21"/>
    </w:p>
    <w:p>
      <w:r>
        <w:rPr>
          <w:rFonts w:hint="eastAsia"/>
        </w:rPr>
        <w:t>加强生态环境治理体系、山水林田湖草沙统筹治理，基本形成人与自然和谐共生的现代化</w:t>
      </w:r>
      <w:r>
        <w:rPr>
          <w:rFonts w:hint="eastAsia"/>
          <w:lang w:eastAsia="zh-CN"/>
        </w:rPr>
        <w:t>生态</w:t>
      </w:r>
      <w:r>
        <w:rPr>
          <w:rFonts w:hint="eastAsia"/>
        </w:rPr>
        <w:t>发展新格局。</w:t>
      </w:r>
    </w:p>
    <w:p>
      <w:r>
        <w:rPr>
          <w:b/>
          <w:bCs/>
        </w:rPr>
        <w:t>1.</w:t>
      </w:r>
      <w:r>
        <w:rPr>
          <w:rFonts w:hint="eastAsia"/>
          <w:b/>
          <w:bCs/>
        </w:rPr>
        <w:t>构建现代生态环境治理体系。</w:t>
      </w:r>
      <w:r>
        <w:rPr>
          <w:rFonts w:hint="eastAsia"/>
          <w:lang w:eastAsia="zh-CN"/>
        </w:rPr>
        <w:t>完善</w:t>
      </w:r>
      <w:r>
        <w:rPr>
          <w:rFonts w:hint="eastAsia"/>
        </w:rPr>
        <w:t>生态环境物联感知网，构建覆盖</w:t>
      </w:r>
      <w:r>
        <w:rPr>
          <w:rFonts w:hint="eastAsia"/>
          <w:lang w:eastAsia="zh-CN"/>
        </w:rPr>
        <w:t>市县乡</w:t>
      </w:r>
      <w:r>
        <w:rPr>
          <w:rFonts w:hint="eastAsia"/>
        </w:rPr>
        <w:t>的全天候</w:t>
      </w:r>
      <w:r>
        <w:rPr>
          <w:rFonts w:hint="eastAsia"/>
          <w:lang w:eastAsia="zh-CN"/>
        </w:rPr>
        <w:t>、</w:t>
      </w:r>
      <w:r>
        <w:rPr>
          <w:rFonts w:hint="eastAsia"/>
        </w:rPr>
        <w:t>全要素环境监测网络。迭代升级生态环境智慧监管</w:t>
      </w:r>
      <w:r>
        <w:rPr>
          <w:rFonts w:hint="eastAsia"/>
          <w:lang w:eastAsia="zh-CN"/>
        </w:rPr>
        <w:t>系统</w:t>
      </w:r>
      <w:r>
        <w:rPr>
          <w:rFonts w:hint="eastAsia"/>
        </w:rPr>
        <w:t>，</w:t>
      </w:r>
      <w:r>
        <w:rPr>
          <w:rFonts w:hint="eastAsia"/>
          <w:lang w:eastAsia="zh-CN"/>
        </w:rPr>
        <w:t>实时</w:t>
      </w:r>
      <w:r>
        <w:rPr>
          <w:rFonts w:hint="eastAsia"/>
        </w:rPr>
        <w:t>、全量获取环境质量、环境污染、生态状况、自然资源、国土空间等领域多源数据，构建完善多层级</w:t>
      </w:r>
      <w:r>
        <w:rPr>
          <w:rFonts w:hint="eastAsia"/>
          <w:lang w:eastAsia="zh-CN"/>
        </w:rPr>
        <w:t>、</w:t>
      </w:r>
      <w:r>
        <w:rPr>
          <w:rFonts w:hint="eastAsia"/>
        </w:rPr>
        <w:t>全过程的生态环境风险防范体系，</w:t>
      </w:r>
      <w:r>
        <w:rPr>
          <w:rFonts w:hint="eastAsia"/>
          <w:lang w:eastAsia="zh-CN"/>
        </w:rPr>
        <w:t>推动</w:t>
      </w:r>
      <w:r>
        <w:rPr>
          <w:rFonts w:hint="eastAsia"/>
        </w:rPr>
        <w:t>生态环境监管向精细化、主动预防、科学决策转变</w:t>
      </w:r>
      <w:r>
        <w:rPr>
          <w:rFonts w:hint="eastAsia"/>
          <w:lang w:eastAsia="zh-CN"/>
        </w:rPr>
        <w:t>；对接</w:t>
      </w:r>
      <w:r>
        <w:rPr>
          <w:rFonts w:hint="eastAsia"/>
        </w:rPr>
        <w:t>基层治理四平台、业务协同、“浙里办”网上举报、生态信用等系统，探索构建“监测</w:t>
      </w:r>
      <w:r>
        <w:t>-触发-协同-处置-信用”</w:t>
      </w:r>
      <w:r>
        <w:rPr>
          <w:rFonts w:hint="eastAsia"/>
          <w:lang w:eastAsia="zh-CN"/>
        </w:rPr>
        <w:t>的</w:t>
      </w:r>
      <w:r>
        <w:t>全流程智慧监测监管</w:t>
      </w:r>
      <w:r>
        <w:rPr>
          <w:rFonts w:hint="eastAsia"/>
          <w:lang w:eastAsia="zh-CN"/>
        </w:rPr>
        <w:t>闭环</w:t>
      </w:r>
      <w:r>
        <w:t>体系。</w:t>
      </w:r>
      <w:r>
        <w:rPr>
          <w:rFonts w:hint="eastAsia"/>
          <w:lang w:eastAsia="zh-CN"/>
        </w:rPr>
        <w:t>充分</w:t>
      </w:r>
      <w:r>
        <w:rPr>
          <w:rFonts w:hint="eastAsia"/>
        </w:rPr>
        <w:t>运用生态环境全要素态势感知、污染源数字化档案、污染防治攻坚战指挥协同、生态环境治理</w:t>
      </w:r>
      <w:r>
        <w:rPr>
          <w:rFonts w:hint="eastAsia"/>
          <w:lang w:eastAsia="zh-CN"/>
        </w:rPr>
        <w:t>等</w:t>
      </w:r>
      <w:r>
        <w:rPr>
          <w:rFonts w:hint="eastAsia"/>
        </w:rPr>
        <w:t>应用，</w:t>
      </w:r>
      <w:r>
        <w:t>全域实现产废无增长、资源无浪费、设施无缺口、固废无</w:t>
      </w:r>
      <w:r>
        <w:rPr>
          <w:rFonts w:hint="eastAsia"/>
        </w:rPr>
        <w:t>倾倒、</w:t>
      </w:r>
      <w:r>
        <w:t>废水无直排、空气无异味</w:t>
      </w:r>
      <w:r>
        <w:rPr>
          <w:rFonts w:hint="eastAsia"/>
        </w:rPr>
        <w:t>，推进大花园城乡融合、品质提升。</w:t>
      </w:r>
    </w:p>
    <w:p>
      <w:pPr>
        <w:rPr>
          <w:rFonts w:hint="eastAsia"/>
        </w:rPr>
      </w:pPr>
      <w:r>
        <w:rPr>
          <w:b/>
          <w:bCs/>
        </w:rPr>
        <w:t>2.</w:t>
      </w:r>
      <w:r>
        <w:rPr>
          <w:rFonts w:hint="eastAsia"/>
          <w:b/>
          <w:bCs/>
        </w:rPr>
        <w:t>推进山水林田湖草沙统筹治理。</w:t>
      </w:r>
      <w:r>
        <w:rPr>
          <w:rFonts w:hint="eastAsia"/>
        </w:rPr>
        <w:t>加强自然保护地、水、森林、矿山等生态系统的保护</w:t>
      </w:r>
      <w:r>
        <w:rPr>
          <w:rFonts w:hint="eastAsia"/>
          <w:lang w:eastAsia="zh-CN"/>
        </w:rPr>
        <w:t>、</w:t>
      </w:r>
      <w:r>
        <w:rPr>
          <w:rFonts w:hint="eastAsia"/>
        </w:rPr>
        <w:t>修复，对</w:t>
      </w:r>
      <w:r>
        <w:rPr>
          <w:rFonts w:hint="eastAsia"/>
          <w:lang w:eastAsia="zh-CN"/>
        </w:rPr>
        <w:t>各类</w:t>
      </w:r>
      <w:r>
        <w:rPr>
          <w:rFonts w:hint="eastAsia"/>
        </w:rPr>
        <w:t>生态空间</w:t>
      </w:r>
      <w:r>
        <w:rPr>
          <w:rFonts w:hint="eastAsia"/>
          <w:lang w:eastAsia="zh-CN"/>
        </w:rPr>
        <w:t>进行</w:t>
      </w:r>
      <w:r>
        <w:rPr>
          <w:rFonts w:hint="eastAsia"/>
        </w:rPr>
        <w:t>智能监测</w:t>
      </w:r>
      <w:r>
        <w:rPr>
          <w:rFonts w:hint="eastAsia"/>
          <w:lang w:eastAsia="zh-CN"/>
        </w:rPr>
        <w:t>、</w:t>
      </w:r>
      <w:r>
        <w:rPr>
          <w:rFonts w:hint="eastAsia"/>
        </w:rPr>
        <w:t>综合评价，制定</w:t>
      </w:r>
      <w:r>
        <w:rPr>
          <w:rFonts w:hint="eastAsia"/>
          <w:lang w:eastAsia="zh-CN"/>
        </w:rPr>
        <w:t>差异化的</w:t>
      </w:r>
      <w:r>
        <w:rPr>
          <w:rFonts w:hint="eastAsia"/>
        </w:rPr>
        <w:t>生态空间修复策略</w:t>
      </w:r>
      <w:r>
        <w:rPr>
          <w:rFonts w:hint="eastAsia"/>
          <w:lang w:eastAsia="zh-CN"/>
        </w:rPr>
        <w:t>及</w:t>
      </w:r>
      <w:r>
        <w:rPr>
          <w:rFonts w:hint="eastAsia"/>
        </w:rPr>
        <w:t>综合整治</w:t>
      </w:r>
      <w:r>
        <w:rPr>
          <w:rFonts w:hint="eastAsia"/>
          <w:lang w:eastAsia="zh-CN"/>
        </w:rPr>
        <w:t>方案</w:t>
      </w:r>
      <w:r>
        <w:rPr>
          <w:rFonts w:hint="eastAsia"/>
        </w:rPr>
        <w:t>。全面开展生物物种资源</w:t>
      </w:r>
      <w:r>
        <w:rPr>
          <w:rFonts w:hint="eastAsia"/>
          <w:lang w:eastAsia="zh-CN"/>
        </w:rPr>
        <w:t>普查、</w:t>
      </w:r>
      <w:r>
        <w:rPr>
          <w:rFonts w:hint="eastAsia"/>
        </w:rPr>
        <w:t>评估，部署视频监控、物联感知、温湿度</w:t>
      </w:r>
      <w:r>
        <w:rPr>
          <w:rFonts w:hint="eastAsia"/>
          <w:lang w:eastAsia="zh-CN"/>
        </w:rPr>
        <w:t>及</w:t>
      </w:r>
      <w:r>
        <w:rPr>
          <w:rFonts w:hint="eastAsia"/>
        </w:rPr>
        <w:t>土壤监测</w:t>
      </w:r>
      <w:r>
        <w:rPr>
          <w:rFonts w:hint="eastAsia"/>
          <w:lang w:eastAsia="zh-CN"/>
        </w:rPr>
        <w:t>等</w:t>
      </w:r>
      <w:r>
        <w:rPr>
          <w:rFonts w:hint="eastAsia"/>
        </w:rPr>
        <w:t>设备，</w:t>
      </w:r>
      <w:r>
        <w:rPr>
          <w:rFonts w:hint="eastAsia"/>
          <w:lang w:eastAsia="zh-CN"/>
        </w:rPr>
        <w:t>建设全天候、全方位智能化的</w:t>
      </w:r>
      <w:r>
        <w:rPr>
          <w:rFonts w:hint="eastAsia"/>
        </w:rPr>
        <w:t>生物多样性观测站</w:t>
      </w:r>
      <w:r>
        <w:rPr>
          <w:rFonts w:hint="eastAsia"/>
          <w:lang w:eastAsia="zh-CN"/>
        </w:rPr>
        <w:t>点、网络</w:t>
      </w:r>
      <w:r>
        <w:rPr>
          <w:rFonts w:hint="eastAsia"/>
        </w:rPr>
        <w:t>及监管信息</w:t>
      </w:r>
      <w:r>
        <w:rPr>
          <w:rFonts w:hint="eastAsia"/>
          <w:lang w:eastAsia="zh-CN"/>
        </w:rPr>
        <w:t>系统</w:t>
      </w:r>
      <w:r>
        <w:rPr>
          <w:rFonts w:hint="eastAsia"/>
        </w:rPr>
        <w:t>，完善生物多样性监测与预警体系</w:t>
      </w:r>
      <w:r>
        <w:rPr>
          <w:rFonts w:hint="eastAsia"/>
          <w:lang w:eastAsia="zh-CN"/>
        </w:rPr>
        <w:t>，</w:t>
      </w:r>
      <w:r>
        <w:t>开展外来入侵物种和生物安全常态化监测预警，</w:t>
      </w:r>
      <w:r>
        <w:rPr>
          <w:rFonts w:hint="eastAsia"/>
        </w:rPr>
        <w:t>形成生物多样性监管“一张图”。建立国家公园标准体系、</w:t>
      </w:r>
      <w:r>
        <w:t>科研监测体系、智</w:t>
      </w:r>
      <w:r>
        <w:rPr>
          <w:rFonts w:hint="eastAsia"/>
        </w:rPr>
        <w:t>慧管理体系，</w:t>
      </w:r>
      <w:r>
        <w:rPr>
          <w:rFonts w:hint="eastAsia"/>
          <w:lang w:eastAsia="zh-CN"/>
        </w:rPr>
        <w:t>持续</w:t>
      </w:r>
      <w:r>
        <w:t>提升国家公园保护管理基础设施信息化水平</w:t>
      </w:r>
      <w:r>
        <w:rPr>
          <w:rFonts w:hint="eastAsia"/>
        </w:rPr>
        <w:t>。</w:t>
      </w:r>
    </w:p>
    <w:p>
      <w:pPr>
        <w:rPr>
          <w:rFonts w:hint="eastAsia"/>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numPr>
                <w:ilvl w:val="0"/>
                <w:numId w:val="2"/>
              </w:numPr>
              <w:spacing w:line="240" w:lineRule="auto"/>
              <w:ind w:left="0" w:firstLine="0" w:firstLineChars="0"/>
              <w:jc w:val="center"/>
              <w:rPr>
                <w:rFonts w:hint="eastAsia" w:ascii="黑体" w:hAnsi="黑体" w:eastAsia="黑体" w:cs="黑体"/>
                <w:kern w:val="0"/>
                <w:sz w:val="28"/>
                <w:szCs w:val="28"/>
              </w:rPr>
            </w:pPr>
            <w:r>
              <w:rPr>
                <w:rFonts w:hint="eastAsia" w:ascii="黑体" w:hAnsi="黑体" w:eastAsia="黑体" w:cs="黑体"/>
                <w:kern w:val="0"/>
                <w:sz w:val="28"/>
                <w:szCs w:val="28"/>
              </w:rPr>
              <w:t>区域生态保护类重点应用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生态产品信息普查。</w:t>
            </w:r>
            <w:r>
              <w:rPr>
                <w:rFonts w:hint="eastAsia" w:ascii="仿宋" w:hAnsi="仿宋" w:eastAsia="仿宋"/>
                <w:kern w:val="0"/>
                <w:sz w:val="28"/>
                <w:szCs w:val="28"/>
              </w:rPr>
              <w:t>基于现有自然资源和生态环境监测体系，</w:t>
            </w:r>
            <w:r>
              <w:rPr>
                <w:rFonts w:hint="eastAsia" w:ascii="仿宋" w:hAnsi="仿宋" w:eastAsia="仿宋"/>
                <w:kern w:val="0"/>
                <w:sz w:val="28"/>
                <w:szCs w:val="28"/>
                <w:lang w:eastAsia="zh-CN"/>
              </w:rPr>
              <w:t>采用</w:t>
            </w:r>
            <w:r>
              <w:rPr>
                <w:rFonts w:hint="eastAsia" w:ascii="仿宋" w:hAnsi="仿宋" w:eastAsia="仿宋"/>
                <w:kern w:val="0"/>
                <w:sz w:val="28"/>
                <w:szCs w:val="28"/>
              </w:rPr>
              <w:t>网格化监测</w:t>
            </w:r>
            <w:r>
              <w:rPr>
                <w:rFonts w:hint="eastAsia" w:ascii="仿宋" w:hAnsi="仿宋" w:eastAsia="仿宋"/>
                <w:kern w:val="0"/>
                <w:sz w:val="28"/>
                <w:szCs w:val="28"/>
                <w:lang w:eastAsia="zh-CN"/>
              </w:rPr>
              <w:t>模式</w:t>
            </w:r>
            <w:r>
              <w:rPr>
                <w:rFonts w:hint="eastAsia" w:ascii="仿宋" w:hAnsi="仿宋" w:eastAsia="仿宋"/>
                <w:kern w:val="0"/>
                <w:sz w:val="28"/>
                <w:szCs w:val="28"/>
              </w:rPr>
              <w:t>，开展生态产品基础信息</w:t>
            </w:r>
            <w:r>
              <w:rPr>
                <w:rFonts w:hint="eastAsia" w:ascii="仿宋" w:hAnsi="仿宋" w:eastAsia="仿宋"/>
                <w:kern w:val="0"/>
                <w:sz w:val="28"/>
                <w:szCs w:val="28"/>
                <w:lang w:eastAsia="zh-CN"/>
              </w:rPr>
              <w:t>普查</w:t>
            </w:r>
            <w:r>
              <w:rPr>
                <w:rFonts w:hint="eastAsia" w:ascii="仿宋" w:hAnsi="仿宋" w:eastAsia="仿宋"/>
                <w:kern w:val="0"/>
                <w:sz w:val="28"/>
                <w:szCs w:val="28"/>
              </w:rPr>
              <w:t>，摸清各类生态产品底数，形成生态产品目录清单。</w:t>
            </w:r>
            <w:r>
              <w:rPr>
                <w:rFonts w:hint="eastAsia" w:ascii="仿宋" w:hAnsi="仿宋" w:eastAsia="仿宋"/>
                <w:kern w:val="0"/>
                <w:sz w:val="28"/>
                <w:szCs w:val="28"/>
                <w:lang w:eastAsia="zh-CN"/>
              </w:rPr>
              <w:t>形成</w:t>
            </w:r>
            <w:r>
              <w:rPr>
                <w:rFonts w:hint="eastAsia" w:ascii="仿宋" w:hAnsi="仿宋" w:eastAsia="仿宋"/>
                <w:kern w:val="0"/>
                <w:sz w:val="28"/>
                <w:szCs w:val="28"/>
              </w:rPr>
              <w:t>生态产品动态监测</w:t>
            </w:r>
            <w:r>
              <w:rPr>
                <w:rFonts w:hint="eastAsia" w:ascii="仿宋" w:hAnsi="仿宋" w:eastAsia="仿宋"/>
                <w:kern w:val="0"/>
                <w:sz w:val="28"/>
                <w:szCs w:val="28"/>
                <w:lang w:eastAsia="zh-CN"/>
              </w:rPr>
              <w:t>机制</w:t>
            </w:r>
            <w:r>
              <w:rPr>
                <w:rFonts w:hint="eastAsia" w:ascii="仿宋" w:hAnsi="仿宋" w:eastAsia="仿宋"/>
                <w:kern w:val="0"/>
                <w:sz w:val="28"/>
                <w:szCs w:val="28"/>
              </w:rPr>
              <w:t>，及时跟踪掌握生态产品数量分布、质量等级、功能特点、权益归属、保护和开发利用情况等</w:t>
            </w:r>
            <w:r>
              <w:rPr>
                <w:rFonts w:hint="eastAsia" w:ascii="仿宋" w:hAnsi="仿宋" w:eastAsia="仿宋"/>
                <w:kern w:val="0"/>
                <w:sz w:val="28"/>
                <w:szCs w:val="28"/>
                <w:lang w:eastAsia="zh-CN"/>
              </w:rPr>
              <w:t>动态</w:t>
            </w:r>
            <w:r>
              <w:rPr>
                <w:rFonts w:hint="eastAsia" w:ascii="仿宋" w:hAnsi="仿宋" w:eastAsia="仿宋"/>
                <w:kern w:val="0"/>
                <w:sz w:val="28"/>
                <w:szCs w:val="28"/>
              </w:rPr>
              <w:t>信息，</w:t>
            </w:r>
            <w:r>
              <w:rPr>
                <w:rFonts w:hint="eastAsia" w:ascii="仿宋" w:hAnsi="仿宋" w:eastAsia="仿宋"/>
                <w:kern w:val="0"/>
                <w:sz w:val="28"/>
                <w:szCs w:val="28"/>
                <w:lang w:eastAsia="zh-CN"/>
              </w:rPr>
              <w:t>建成</w:t>
            </w:r>
            <w:r>
              <w:rPr>
                <w:rFonts w:hint="eastAsia" w:ascii="仿宋" w:hAnsi="仿宋" w:eastAsia="仿宋"/>
                <w:kern w:val="0"/>
                <w:sz w:val="28"/>
                <w:szCs w:val="28"/>
              </w:rPr>
              <w:t>开放共享的生态产品信息</w:t>
            </w:r>
            <w:r>
              <w:rPr>
                <w:rFonts w:hint="eastAsia" w:ascii="仿宋" w:hAnsi="仿宋" w:eastAsia="仿宋"/>
                <w:kern w:val="0"/>
                <w:sz w:val="28"/>
                <w:szCs w:val="28"/>
                <w:lang w:eastAsia="zh-CN"/>
              </w:rPr>
              <w:t>系统</w:t>
            </w:r>
            <w:r>
              <w:rPr>
                <w:rFonts w:hint="eastAsia" w:ascii="仿宋" w:hAnsi="仿宋" w:eastAsia="仿宋"/>
                <w:kern w:val="0"/>
                <w:sz w:val="28"/>
                <w:szCs w:val="28"/>
              </w:rPr>
              <w:t>。</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生态环境质量监测。</w:t>
            </w:r>
            <w:r>
              <w:rPr>
                <w:rFonts w:hint="eastAsia" w:ascii="仿宋" w:hAnsi="仿宋" w:eastAsia="仿宋"/>
                <w:kern w:val="0"/>
                <w:sz w:val="28"/>
                <w:szCs w:val="28"/>
              </w:rPr>
              <w:t>重点构建完善基于“卫星遥感</w:t>
            </w:r>
            <w:r>
              <w:rPr>
                <w:rFonts w:ascii="仿宋" w:hAnsi="仿宋" w:eastAsia="仿宋"/>
                <w:kern w:val="0"/>
                <w:sz w:val="28"/>
                <w:szCs w:val="28"/>
              </w:rPr>
              <w:t>+物联网监测+基层治理四平台网格”的“天眼+地眼+人眼”</w:t>
            </w:r>
            <w:r>
              <w:rPr>
                <w:rFonts w:hint="eastAsia" w:ascii="仿宋" w:hAnsi="仿宋" w:eastAsia="仿宋"/>
                <w:kern w:val="0"/>
                <w:sz w:val="28"/>
                <w:szCs w:val="28"/>
                <w:lang w:eastAsia="zh-CN"/>
              </w:rPr>
              <w:t>全方位</w:t>
            </w:r>
            <w:r>
              <w:rPr>
                <w:rFonts w:ascii="仿宋" w:hAnsi="仿宋" w:eastAsia="仿宋"/>
                <w:kern w:val="0"/>
                <w:sz w:val="28"/>
                <w:szCs w:val="28"/>
              </w:rPr>
              <w:t>立体化生态监测体系</w:t>
            </w:r>
            <w:r>
              <w:rPr>
                <w:rFonts w:hint="eastAsia" w:ascii="仿宋" w:hAnsi="仿宋" w:eastAsia="仿宋"/>
                <w:kern w:val="0"/>
                <w:sz w:val="28"/>
                <w:szCs w:val="28"/>
              </w:rPr>
              <w:t>，</w:t>
            </w:r>
            <w:r>
              <w:rPr>
                <w:rFonts w:ascii="仿宋" w:hAnsi="仿宋" w:eastAsia="仿宋"/>
                <w:kern w:val="0"/>
                <w:sz w:val="28"/>
                <w:szCs w:val="28"/>
              </w:rPr>
              <w:t>补齐生态环境</w:t>
            </w:r>
            <w:r>
              <w:rPr>
                <w:rFonts w:hint="eastAsia" w:ascii="仿宋" w:hAnsi="仿宋" w:eastAsia="仿宋"/>
                <w:kern w:val="0"/>
                <w:sz w:val="28"/>
                <w:szCs w:val="28"/>
                <w:lang w:eastAsia="zh-CN"/>
              </w:rPr>
              <w:t>监测、</w:t>
            </w:r>
            <w:r>
              <w:rPr>
                <w:rFonts w:ascii="仿宋" w:hAnsi="仿宋" w:eastAsia="仿宋"/>
                <w:kern w:val="0"/>
                <w:sz w:val="28"/>
                <w:szCs w:val="28"/>
              </w:rPr>
              <w:t>治理能力短板</w:t>
            </w:r>
            <w:r>
              <w:rPr>
                <w:rFonts w:hint="eastAsia" w:ascii="仿宋" w:hAnsi="仿宋" w:eastAsia="仿宋"/>
                <w:kern w:val="0"/>
                <w:sz w:val="28"/>
                <w:szCs w:val="28"/>
              </w:rPr>
              <w:t>。</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数字水利工程。</w:t>
            </w:r>
            <w:r>
              <w:rPr>
                <w:rFonts w:ascii="仿宋" w:hAnsi="仿宋" w:eastAsia="仿宋"/>
                <w:kern w:val="0"/>
                <w:sz w:val="28"/>
                <w:szCs w:val="28"/>
              </w:rPr>
              <w:t>建设水利数据仓</w:t>
            </w:r>
            <w:r>
              <w:rPr>
                <w:rFonts w:hint="eastAsia" w:ascii="仿宋" w:hAnsi="仿宋" w:eastAsia="仿宋"/>
                <w:kern w:val="0"/>
                <w:sz w:val="28"/>
                <w:szCs w:val="28"/>
                <w:lang w:eastAsia="zh-CN"/>
              </w:rPr>
              <w:t>、</w:t>
            </w:r>
            <w:r>
              <w:rPr>
                <w:rFonts w:ascii="仿宋" w:hAnsi="仿宋" w:eastAsia="仿宋"/>
                <w:kern w:val="0"/>
                <w:sz w:val="28"/>
                <w:szCs w:val="28"/>
              </w:rPr>
              <w:t>水利大数据分析应用、智慧水利展示、水利业务应用（水资源工作系统、瓯江流域防洪调度系统</w:t>
            </w:r>
            <w:r>
              <w:rPr>
                <w:rFonts w:hint="eastAsia" w:ascii="仿宋" w:hAnsi="仿宋" w:eastAsia="仿宋"/>
                <w:kern w:val="0"/>
                <w:sz w:val="28"/>
                <w:szCs w:val="28"/>
              </w:rPr>
              <w:t>、“互联网＋农村供水”</w:t>
            </w:r>
            <w:r>
              <w:rPr>
                <w:rFonts w:ascii="仿宋" w:hAnsi="仿宋" w:eastAsia="仿宋"/>
                <w:kern w:val="0"/>
                <w:sz w:val="28"/>
                <w:szCs w:val="28"/>
              </w:rPr>
              <w:t>等）</w:t>
            </w:r>
            <w:r>
              <w:rPr>
                <w:rFonts w:hint="eastAsia" w:ascii="仿宋" w:hAnsi="仿宋" w:eastAsia="仿宋"/>
                <w:kern w:val="0"/>
                <w:sz w:val="28"/>
                <w:szCs w:val="28"/>
                <w:lang w:eastAsia="zh-CN"/>
              </w:rPr>
              <w:t>，依托</w:t>
            </w:r>
            <w:r>
              <w:rPr>
                <w:rFonts w:ascii="仿宋" w:hAnsi="仿宋" w:eastAsia="仿宋"/>
                <w:kern w:val="0"/>
                <w:sz w:val="28"/>
                <w:szCs w:val="28"/>
              </w:rPr>
              <w:t>省级水管理平台支撑服务和安全体系</w:t>
            </w:r>
            <w:r>
              <w:rPr>
                <w:rFonts w:hint="eastAsia" w:ascii="仿宋" w:hAnsi="仿宋" w:eastAsia="仿宋"/>
                <w:kern w:val="0"/>
                <w:sz w:val="28"/>
                <w:szCs w:val="28"/>
              </w:rPr>
              <w:t>，构建高效</w:t>
            </w:r>
            <w:r>
              <w:rPr>
                <w:rFonts w:hint="eastAsia" w:ascii="仿宋" w:hAnsi="仿宋" w:eastAsia="仿宋"/>
                <w:kern w:val="0"/>
                <w:sz w:val="28"/>
                <w:szCs w:val="28"/>
                <w:lang w:eastAsia="zh-CN"/>
              </w:rPr>
              <w:t>能</w:t>
            </w:r>
            <w:r>
              <w:rPr>
                <w:rFonts w:hint="eastAsia" w:ascii="仿宋" w:hAnsi="仿宋" w:eastAsia="仿宋"/>
                <w:kern w:val="0"/>
                <w:sz w:val="28"/>
                <w:szCs w:val="28"/>
              </w:rPr>
              <w:t>水利网。</w:t>
            </w:r>
          </w:p>
          <w:p>
            <w:pPr>
              <w:pStyle w:val="5"/>
              <w:adjustRightInd w:val="0"/>
              <w:snapToGrid w:val="0"/>
              <w:spacing w:line="240" w:lineRule="auto"/>
              <w:ind w:firstLine="562"/>
              <w:rPr>
                <w:rFonts w:ascii="仿宋" w:hAnsi="仿宋" w:eastAsia="仿宋"/>
                <w:kern w:val="0"/>
                <w:sz w:val="24"/>
                <w:szCs w:val="16"/>
              </w:rPr>
            </w:pPr>
            <w:r>
              <w:rPr>
                <w:rFonts w:hint="eastAsia" w:ascii="仿宋" w:hAnsi="仿宋" w:eastAsia="仿宋"/>
                <w:b/>
                <w:bCs/>
                <w:kern w:val="0"/>
                <w:sz w:val="28"/>
                <w:szCs w:val="28"/>
              </w:rPr>
              <w:t>国家公园</w:t>
            </w:r>
            <w:r>
              <w:rPr>
                <w:rFonts w:hint="eastAsia" w:ascii="仿宋" w:hAnsi="仿宋" w:eastAsia="仿宋"/>
                <w:b/>
                <w:bCs/>
                <w:kern w:val="0"/>
                <w:sz w:val="28"/>
                <w:szCs w:val="28"/>
                <w:lang w:eastAsia="zh-CN"/>
              </w:rPr>
              <w:t>智慧</w:t>
            </w:r>
            <w:r>
              <w:rPr>
                <w:rFonts w:hint="eastAsia" w:ascii="仿宋" w:hAnsi="仿宋" w:eastAsia="仿宋"/>
                <w:b/>
                <w:bCs/>
                <w:kern w:val="0"/>
                <w:sz w:val="28"/>
                <w:szCs w:val="28"/>
              </w:rPr>
              <w:t>管理</w:t>
            </w:r>
            <w:r>
              <w:rPr>
                <w:rFonts w:hint="eastAsia" w:ascii="仿宋" w:hAnsi="仿宋" w:eastAsia="仿宋"/>
                <w:b/>
                <w:bCs/>
                <w:kern w:val="0"/>
                <w:sz w:val="28"/>
                <w:szCs w:val="28"/>
                <w:lang w:eastAsia="zh-CN"/>
              </w:rPr>
              <w:t>工程</w:t>
            </w:r>
            <w:r>
              <w:rPr>
                <w:rFonts w:hint="eastAsia" w:ascii="仿宋" w:hAnsi="仿宋" w:eastAsia="仿宋"/>
                <w:b/>
                <w:bCs/>
                <w:kern w:val="0"/>
                <w:sz w:val="28"/>
                <w:szCs w:val="28"/>
              </w:rPr>
              <w:t>。</w:t>
            </w:r>
            <w:r>
              <w:rPr>
                <w:rFonts w:hint="eastAsia" w:ascii="仿宋" w:hAnsi="仿宋" w:eastAsia="仿宋"/>
                <w:kern w:val="0"/>
                <w:sz w:val="28"/>
                <w:szCs w:val="28"/>
              </w:rPr>
              <w:t>整合以百山祖国家公园为主体的自然保护地基础地理、卫星遥感等多源、多</w:t>
            </w:r>
            <w:r>
              <w:rPr>
                <w:rFonts w:hint="eastAsia" w:ascii="仿宋" w:hAnsi="仿宋" w:eastAsia="仿宋"/>
                <w:kern w:val="0"/>
                <w:sz w:val="28"/>
                <w:szCs w:val="28"/>
                <w:lang w:eastAsia="zh-CN"/>
              </w:rPr>
              <w:t>维</w:t>
            </w:r>
            <w:r>
              <w:rPr>
                <w:rFonts w:hint="eastAsia" w:ascii="仿宋" w:hAnsi="仿宋" w:eastAsia="仿宋"/>
                <w:kern w:val="0"/>
                <w:sz w:val="28"/>
                <w:szCs w:val="28"/>
              </w:rPr>
              <w:t>数据，形成资源、环境、生物、生态等多领域融合、</w:t>
            </w:r>
            <w:r>
              <w:rPr>
                <w:rFonts w:hint="eastAsia" w:ascii="仿宋" w:hAnsi="仿宋" w:eastAsia="仿宋"/>
                <w:kern w:val="0"/>
                <w:sz w:val="28"/>
                <w:szCs w:val="28"/>
                <w:lang w:eastAsia="zh-CN"/>
              </w:rPr>
              <w:t>具有地方</w:t>
            </w:r>
            <w:r>
              <w:rPr>
                <w:rFonts w:hint="eastAsia" w:ascii="仿宋" w:hAnsi="仿宋" w:eastAsia="仿宋"/>
                <w:kern w:val="0"/>
                <w:sz w:val="28"/>
                <w:szCs w:val="28"/>
              </w:rPr>
              <w:t>特色的国家公园智慧</w:t>
            </w:r>
            <w:r>
              <w:rPr>
                <w:rFonts w:hint="eastAsia" w:ascii="仿宋" w:hAnsi="仿宋" w:eastAsia="仿宋"/>
                <w:kern w:val="0"/>
                <w:sz w:val="28"/>
                <w:szCs w:val="28"/>
                <w:lang w:eastAsia="zh-CN"/>
              </w:rPr>
              <w:t>管理系统</w:t>
            </w:r>
            <w:r>
              <w:rPr>
                <w:rFonts w:hint="eastAsia" w:ascii="仿宋" w:hAnsi="仿宋" w:eastAsia="仿宋"/>
                <w:kern w:val="0"/>
                <w:sz w:val="28"/>
                <w:szCs w:val="28"/>
              </w:rPr>
              <w:t>，为</w:t>
            </w:r>
            <w:r>
              <w:rPr>
                <w:rFonts w:hint="eastAsia" w:ascii="仿宋" w:hAnsi="仿宋" w:eastAsia="仿宋"/>
                <w:kern w:val="0"/>
                <w:sz w:val="28"/>
                <w:szCs w:val="28"/>
                <w:lang w:eastAsia="zh-CN"/>
              </w:rPr>
              <w:t>全市</w:t>
            </w:r>
            <w:r>
              <w:rPr>
                <w:rFonts w:hint="eastAsia" w:ascii="仿宋" w:hAnsi="仿宋" w:eastAsia="仿宋"/>
                <w:kern w:val="0"/>
                <w:sz w:val="28"/>
                <w:szCs w:val="28"/>
              </w:rPr>
              <w:t>国家公园</w:t>
            </w:r>
            <w:r>
              <w:rPr>
                <w:rFonts w:hint="eastAsia" w:ascii="仿宋" w:hAnsi="仿宋" w:eastAsia="仿宋"/>
                <w:kern w:val="0"/>
                <w:sz w:val="28"/>
                <w:szCs w:val="28"/>
                <w:lang w:eastAsia="zh-CN"/>
              </w:rPr>
              <w:t>监测、管理、</w:t>
            </w:r>
            <w:r>
              <w:rPr>
                <w:rFonts w:hint="eastAsia" w:ascii="仿宋" w:hAnsi="仿宋" w:eastAsia="仿宋"/>
                <w:kern w:val="0"/>
                <w:sz w:val="28"/>
                <w:szCs w:val="28"/>
              </w:rPr>
              <w:t>保护</w:t>
            </w:r>
            <w:r>
              <w:rPr>
                <w:rFonts w:hint="eastAsia" w:ascii="仿宋" w:hAnsi="仿宋" w:eastAsia="仿宋"/>
                <w:kern w:val="0"/>
                <w:sz w:val="28"/>
                <w:szCs w:val="28"/>
                <w:lang w:eastAsia="zh-CN"/>
              </w:rPr>
              <w:t>等</w:t>
            </w:r>
            <w:r>
              <w:rPr>
                <w:rFonts w:hint="eastAsia" w:ascii="仿宋" w:hAnsi="仿宋" w:eastAsia="仿宋"/>
                <w:kern w:val="0"/>
                <w:sz w:val="28"/>
                <w:szCs w:val="28"/>
              </w:rPr>
              <w:t>提供精准评价与决策</w:t>
            </w:r>
            <w:r>
              <w:rPr>
                <w:rFonts w:hint="eastAsia" w:ascii="仿宋" w:hAnsi="仿宋" w:eastAsia="仿宋"/>
                <w:kern w:val="0"/>
                <w:sz w:val="28"/>
                <w:szCs w:val="28"/>
                <w:lang w:eastAsia="zh-CN"/>
              </w:rPr>
              <w:t>支撑</w:t>
            </w:r>
            <w:r>
              <w:rPr>
                <w:rFonts w:hint="eastAsia" w:ascii="仿宋" w:hAnsi="仿宋" w:eastAsia="仿宋"/>
                <w:kern w:val="0"/>
                <w:sz w:val="28"/>
                <w:szCs w:val="28"/>
              </w:rPr>
              <w:t>。</w:t>
            </w:r>
          </w:p>
        </w:tc>
      </w:tr>
    </w:tbl>
    <w:p/>
    <w:p>
      <w:pPr>
        <w:pStyle w:val="3"/>
        <w:numPr>
          <w:ilvl w:val="1"/>
          <w:numId w:val="0"/>
        </w:numPr>
        <w:ind w:firstLine="643" w:firstLineChars="200"/>
        <w:rPr>
          <w:rFonts w:hint="eastAsia" w:ascii="楷体" w:hAnsi="楷体" w:eastAsia="楷体" w:cs="楷体"/>
        </w:rPr>
      </w:pPr>
      <w:bookmarkStart w:id="22" w:name="_Toc85210004"/>
      <w:r>
        <w:rPr>
          <w:rFonts w:hint="eastAsia" w:ascii="楷体" w:hAnsi="楷体" w:eastAsia="楷体" w:cs="楷体"/>
          <w:lang w:val="en"/>
        </w:rPr>
        <w:t>（七）</w:t>
      </w:r>
      <w:r>
        <w:rPr>
          <w:rFonts w:hint="eastAsia" w:ascii="楷体" w:hAnsi="楷体" w:eastAsia="楷体" w:cs="楷体"/>
        </w:rPr>
        <w:t>围绕平安丽水建设，推进安全应急管理精准化</w:t>
      </w:r>
      <w:bookmarkEnd w:id="22"/>
    </w:p>
    <w:p>
      <w:r>
        <w:rPr>
          <w:rFonts w:hint="eastAsia"/>
        </w:rPr>
        <w:t>形成“统一指挥、专常兼备、反应灵敏、上下联动、平战结合”的应急管理体制</w:t>
      </w:r>
      <w:r>
        <w:rPr>
          <w:rFonts w:hint="eastAsia"/>
          <w:lang w:eastAsia="zh-CN"/>
        </w:rPr>
        <w:t>机制</w:t>
      </w:r>
      <w:r>
        <w:rPr>
          <w:rFonts w:hint="eastAsia"/>
        </w:rPr>
        <w:t>，逐步实现各类灾害事故</w:t>
      </w:r>
      <w:r>
        <w:rPr>
          <w:rFonts w:hint="eastAsia"/>
          <w:lang w:eastAsia="zh-CN"/>
        </w:rPr>
        <w:t>、突发事件</w:t>
      </w:r>
      <w:r>
        <w:rPr>
          <w:rFonts w:hint="eastAsia"/>
        </w:rPr>
        <w:t>超前防御、精准预警、高效减灾、快速救援、重点保障和有序恢复，力争使我市应急管理体系</w:t>
      </w:r>
      <w:r>
        <w:rPr>
          <w:rFonts w:hint="eastAsia"/>
          <w:lang w:eastAsia="zh-CN"/>
        </w:rPr>
        <w:t>、应急处置</w:t>
      </w:r>
      <w:r>
        <w:rPr>
          <w:rFonts w:hint="eastAsia"/>
        </w:rPr>
        <w:t>能力走在全省前列。</w:t>
      </w:r>
    </w:p>
    <w:p>
      <w:r>
        <w:rPr>
          <w:b/>
          <w:bCs/>
        </w:rPr>
        <w:t>1.构建“智慧大应急”管理体系。</w:t>
      </w:r>
      <w:r>
        <w:t>完善市应急指挥中心、前端感知网络、指挥信息网、卫星通信网、应急管理综合应用框架</w:t>
      </w:r>
      <w:r>
        <w:rPr>
          <w:rFonts w:hint="eastAsia"/>
          <w:lang w:eastAsia="zh-CN"/>
        </w:rPr>
        <w:t>及</w:t>
      </w:r>
      <w:r>
        <w:t>应用支撑、危险化学品安全生产风险监测预警</w:t>
      </w:r>
      <w:r>
        <w:rPr>
          <w:rFonts w:hint="eastAsia"/>
          <w:lang w:eastAsia="zh-CN"/>
        </w:rPr>
        <w:t>等信息</w:t>
      </w:r>
      <w:r>
        <w:t>系统，构建科学、全面、开放、先进的应急管理</w:t>
      </w:r>
      <w:r>
        <w:rPr>
          <w:rFonts w:hint="eastAsia"/>
          <w:lang w:eastAsia="zh-CN"/>
        </w:rPr>
        <w:t>数字化</w:t>
      </w:r>
      <w:r>
        <w:t>体系，</w:t>
      </w:r>
      <w:r>
        <w:rPr>
          <w:rFonts w:hint="eastAsia"/>
          <w:lang w:eastAsia="zh-CN"/>
        </w:rPr>
        <w:t>加强</w:t>
      </w:r>
      <w:r>
        <w:t>应急基础资源</w:t>
      </w:r>
      <w:r>
        <w:rPr>
          <w:rFonts w:hint="eastAsia"/>
          <w:lang w:eastAsia="zh-CN"/>
        </w:rPr>
        <w:t>统筹</w:t>
      </w:r>
      <w:r>
        <w:t>管理，探索突发事件数据的快速</w:t>
      </w:r>
      <w:r>
        <w:rPr>
          <w:rFonts w:hint="eastAsia"/>
          <w:lang w:eastAsia="zh-CN"/>
        </w:rPr>
        <w:t>汇聚、分析</w:t>
      </w:r>
      <w:r>
        <w:t>和可视化</w:t>
      </w:r>
      <w:r>
        <w:rPr>
          <w:rFonts w:hint="eastAsia"/>
        </w:rPr>
        <w:t>展示</w:t>
      </w:r>
      <w:r>
        <w:t>，实现安全生产、自然灾害等突发事件的源头管控、过程</w:t>
      </w:r>
      <w:r>
        <w:rPr>
          <w:rFonts w:hint="eastAsia"/>
          <w:lang w:eastAsia="zh-CN"/>
        </w:rPr>
        <w:t>监控</w:t>
      </w:r>
      <w:r>
        <w:t>、预报预警、应急处置，</w:t>
      </w:r>
      <w:r>
        <w:rPr>
          <w:rFonts w:hint="eastAsia"/>
          <w:lang w:eastAsia="zh-CN"/>
        </w:rPr>
        <w:t>推进</w:t>
      </w:r>
      <w:r>
        <w:t>城市运行</w:t>
      </w:r>
      <w:r>
        <w:rPr>
          <w:rFonts w:hint="eastAsia"/>
          <w:lang w:eastAsia="zh-CN"/>
        </w:rPr>
        <w:t>更加安全、平稳、有序</w:t>
      </w:r>
      <w:r>
        <w:t>。</w:t>
      </w:r>
      <w:r>
        <w:rPr>
          <w:rFonts w:hint="eastAsia"/>
          <w:lang w:eastAsia="zh-CN"/>
        </w:rPr>
        <w:t>优化完善</w:t>
      </w:r>
      <w:r>
        <w:rPr>
          <w:rFonts w:hint="eastAsia"/>
        </w:rPr>
        <w:t>应急物资综合管理</w:t>
      </w:r>
      <w:r>
        <w:rPr>
          <w:rFonts w:hint="eastAsia"/>
          <w:lang w:eastAsia="zh-CN"/>
        </w:rPr>
        <w:t>系统</w:t>
      </w:r>
      <w:r>
        <w:rPr>
          <w:rFonts w:hint="eastAsia"/>
        </w:rPr>
        <w:t>，稳步推进各级救灾物资储备数据库建设，实现应急救灾物资入库、存储、出库、运输和分发的全流程智能化管理，</w:t>
      </w:r>
      <w:r>
        <w:rPr>
          <w:rFonts w:hint="eastAsia"/>
          <w:lang w:eastAsia="zh-CN"/>
        </w:rPr>
        <w:t>使</w:t>
      </w:r>
      <w:r>
        <w:rPr>
          <w:rFonts w:hint="eastAsia"/>
        </w:rPr>
        <w:t>应急物资储备调用的</w:t>
      </w:r>
      <w:r>
        <w:rPr>
          <w:rFonts w:hint="eastAsia"/>
          <w:lang w:eastAsia="zh-CN"/>
        </w:rPr>
        <w:t>合理化、</w:t>
      </w:r>
      <w:r>
        <w:rPr>
          <w:rFonts w:hint="eastAsia"/>
        </w:rPr>
        <w:t>协同化、规范化</w:t>
      </w:r>
      <w:r>
        <w:rPr>
          <w:rFonts w:hint="eastAsia"/>
          <w:lang w:eastAsia="zh-CN"/>
        </w:rPr>
        <w:t>，应急</w:t>
      </w:r>
      <w:r>
        <w:rPr>
          <w:rFonts w:hint="eastAsia"/>
        </w:rPr>
        <w:t>指挥可视化</w:t>
      </w:r>
      <w:r>
        <w:rPr>
          <w:rFonts w:hint="eastAsia"/>
          <w:lang w:eastAsia="zh-CN"/>
        </w:rPr>
        <w:t>、应急</w:t>
      </w:r>
      <w:r>
        <w:rPr>
          <w:rFonts w:hint="eastAsia"/>
        </w:rPr>
        <w:t>决策智能化。</w:t>
      </w:r>
    </w:p>
    <w:p>
      <w:pPr>
        <w:rPr>
          <w:rFonts w:hint="eastAsia"/>
        </w:rPr>
      </w:pPr>
      <w:r>
        <w:rPr>
          <w:b/>
          <w:bCs/>
        </w:rPr>
        <w:t>2.</w:t>
      </w:r>
      <w:r>
        <w:rPr>
          <w:rFonts w:hint="eastAsia"/>
          <w:b/>
          <w:bCs/>
        </w:rPr>
        <w:t>构建疫情常态化闭环管理</w:t>
      </w:r>
      <w:r>
        <w:rPr>
          <w:rFonts w:hint="eastAsia"/>
          <w:b/>
          <w:bCs/>
          <w:lang w:eastAsia="zh-CN"/>
        </w:rPr>
        <w:t>体系</w:t>
      </w:r>
      <w:r>
        <w:rPr>
          <w:rFonts w:hint="eastAsia"/>
          <w:b/>
          <w:bCs/>
        </w:rPr>
        <w:t>。</w:t>
      </w:r>
      <w:r>
        <w:rPr>
          <w:rFonts w:hint="eastAsia"/>
          <w:b w:val="0"/>
          <w:bCs w:val="0"/>
          <w:lang w:eastAsia="zh-CN"/>
        </w:rPr>
        <w:t>综合</w:t>
      </w:r>
      <w:r>
        <w:rPr>
          <w:rFonts w:hint="eastAsia"/>
        </w:rPr>
        <w:t>运用精密智控健康码、浙冷链、药品销售监测、发热门诊监测、学生健康监测、舆情监测等</w:t>
      </w:r>
      <w:r>
        <w:rPr>
          <w:rFonts w:hint="eastAsia"/>
          <w:lang w:eastAsia="zh-CN"/>
        </w:rPr>
        <w:t>应用</w:t>
      </w:r>
      <w:r>
        <w:rPr>
          <w:rFonts w:hint="eastAsia"/>
        </w:rPr>
        <w:t>，通过重点人员、发热门诊、核酸检测、冷链监测溯源、境外疫情输入、疫苗追溯（浙苗链）等</w:t>
      </w:r>
      <w:r>
        <w:rPr>
          <w:rFonts w:hint="eastAsia"/>
          <w:lang w:eastAsia="zh-CN"/>
        </w:rPr>
        <w:t>领域</w:t>
      </w:r>
      <w:r>
        <w:rPr>
          <w:rFonts w:hint="eastAsia"/>
        </w:rPr>
        <w:t>大数据分析，构建跨地区、跨</w:t>
      </w:r>
      <w:r>
        <w:rPr>
          <w:rFonts w:hint="eastAsia"/>
          <w:lang w:eastAsia="zh-CN"/>
        </w:rPr>
        <w:t>领域、</w:t>
      </w:r>
      <w:r>
        <w:rPr>
          <w:rFonts w:hint="eastAsia"/>
        </w:rPr>
        <w:t>跨部门的主动发现、快速响应、有效处置、科学评价、结果运用</w:t>
      </w:r>
      <w:r>
        <w:rPr>
          <w:rFonts w:hint="eastAsia"/>
          <w:lang w:eastAsia="zh-CN"/>
        </w:rPr>
        <w:t>的</w:t>
      </w:r>
      <w:r>
        <w:rPr>
          <w:rFonts w:hint="eastAsia"/>
        </w:rPr>
        <w:t>疫情防控闭环管理执行链，</w:t>
      </w:r>
      <w:r>
        <w:rPr>
          <w:rFonts w:hint="eastAsia"/>
          <w:lang w:eastAsia="zh-CN"/>
        </w:rPr>
        <w:t>持续完善</w:t>
      </w:r>
      <w:r>
        <w:rPr>
          <w:rFonts w:hint="eastAsia"/>
        </w:rPr>
        <w:t>“源头查控+硬核隔离+精密智控”疫情防控体制机制。</w:t>
      </w:r>
    </w:p>
    <w:p>
      <w:pPr>
        <w:rPr>
          <w:rFonts w:hint="eastAsia"/>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numPr>
                <w:ilvl w:val="0"/>
                <w:numId w:val="2"/>
              </w:numPr>
              <w:spacing w:line="240" w:lineRule="auto"/>
              <w:ind w:left="0" w:firstLine="0" w:firstLineChars="0"/>
              <w:jc w:val="center"/>
              <w:rPr>
                <w:rFonts w:hint="eastAsia" w:ascii="黑体" w:hAnsi="黑体" w:eastAsia="黑体" w:cs="黑体"/>
                <w:kern w:val="0"/>
                <w:sz w:val="28"/>
                <w:szCs w:val="28"/>
              </w:rPr>
            </w:pPr>
            <w:r>
              <w:rPr>
                <w:rFonts w:hint="eastAsia" w:ascii="黑体" w:hAnsi="黑体" w:eastAsia="黑体" w:cs="黑体"/>
                <w:kern w:val="0"/>
                <w:sz w:val="28"/>
                <w:szCs w:val="28"/>
              </w:rPr>
              <w:t>安全应急管理类重点应用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adjustRightInd w:val="0"/>
              <w:snapToGrid w:val="0"/>
              <w:spacing w:line="240" w:lineRule="auto"/>
              <w:ind w:firstLine="562"/>
              <w:rPr>
                <w:rFonts w:ascii="仿宋" w:hAnsi="仿宋" w:eastAsia="仿宋"/>
                <w:b/>
                <w:bCs/>
                <w:kern w:val="0"/>
                <w:sz w:val="28"/>
                <w:szCs w:val="28"/>
              </w:rPr>
            </w:pPr>
            <w:r>
              <w:rPr>
                <w:rFonts w:hint="eastAsia" w:ascii="仿宋" w:hAnsi="仿宋" w:eastAsia="仿宋"/>
                <w:b/>
                <w:bCs/>
                <w:kern w:val="0"/>
                <w:sz w:val="28"/>
                <w:szCs w:val="28"/>
              </w:rPr>
              <w:t>智慧应急。</w:t>
            </w:r>
            <w:r>
              <w:rPr>
                <w:rFonts w:ascii="仿宋" w:hAnsi="仿宋" w:eastAsia="仿宋"/>
                <w:kern w:val="0"/>
                <w:sz w:val="28"/>
                <w:szCs w:val="28"/>
              </w:rPr>
              <w:t>贯通市县乡三级应急指挥</w:t>
            </w:r>
            <w:r>
              <w:rPr>
                <w:rFonts w:hint="eastAsia" w:ascii="仿宋" w:hAnsi="仿宋" w:eastAsia="仿宋"/>
                <w:kern w:val="0"/>
                <w:sz w:val="28"/>
                <w:szCs w:val="28"/>
                <w:lang w:eastAsia="zh-CN"/>
              </w:rPr>
              <w:t>系统</w:t>
            </w:r>
            <w:r>
              <w:rPr>
                <w:rFonts w:ascii="仿宋" w:hAnsi="仿宋" w:eastAsia="仿宋"/>
                <w:kern w:val="0"/>
                <w:sz w:val="28"/>
                <w:szCs w:val="28"/>
              </w:rPr>
              <w:t>，加快推进智慧消防、小流域自然灾害预警、森林</w:t>
            </w:r>
            <w:r>
              <w:rPr>
                <w:rFonts w:hint="eastAsia" w:ascii="仿宋" w:hAnsi="仿宋" w:eastAsia="仿宋"/>
                <w:kern w:val="0"/>
                <w:sz w:val="28"/>
                <w:szCs w:val="28"/>
              </w:rPr>
              <w:t>火险</w:t>
            </w:r>
            <w:r>
              <w:rPr>
                <w:rFonts w:ascii="仿宋" w:hAnsi="仿宋" w:eastAsia="仿宋"/>
                <w:kern w:val="0"/>
                <w:sz w:val="28"/>
                <w:szCs w:val="28"/>
              </w:rPr>
              <w:t>监测预警等应用场景建设，</w:t>
            </w:r>
            <w:r>
              <w:rPr>
                <w:rFonts w:hint="eastAsia" w:ascii="仿宋" w:hAnsi="仿宋" w:eastAsia="仿宋"/>
                <w:kern w:val="0"/>
                <w:sz w:val="28"/>
                <w:szCs w:val="28"/>
                <w:lang w:eastAsia="zh-CN"/>
              </w:rPr>
              <w:t>综合</w:t>
            </w:r>
            <w:r>
              <w:rPr>
                <w:rFonts w:ascii="仿宋" w:hAnsi="仿宋" w:eastAsia="仿宋"/>
                <w:kern w:val="0"/>
                <w:sz w:val="28"/>
                <w:szCs w:val="28"/>
              </w:rPr>
              <w:t>运用企业安全风险评估、事故知识图谱、管控力指数等大数据分析，实现风险精准识别、高效处置、有效防范，确保群众安居乐业。</w:t>
            </w:r>
          </w:p>
        </w:tc>
      </w:tr>
    </w:tbl>
    <w:p/>
    <w:p>
      <w:pPr>
        <w:pStyle w:val="3"/>
        <w:numPr>
          <w:ilvl w:val="1"/>
          <w:numId w:val="0"/>
        </w:numPr>
        <w:ind w:firstLine="643" w:firstLineChars="200"/>
        <w:rPr>
          <w:rFonts w:hint="eastAsia" w:ascii="楷体" w:hAnsi="楷体" w:eastAsia="楷体" w:cs="楷体"/>
        </w:rPr>
      </w:pPr>
      <w:bookmarkStart w:id="23" w:name="_Toc85210005"/>
      <w:r>
        <w:rPr>
          <w:rFonts w:hint="eastAsia" w:ascii="楷体" w:hAnsi="楷体" w:eastAsia="楷体" w:cs="楷体"/>
          <w:lang w:val="en"/>
        </w:rPr>
        <w:t>（八）</w:t>
      </w:r>
      <w:r>
        <w:rPr>
          <w:rFonts w:hint="eastAsia" w:ascii="楷体" w:hAnsi="楷体" w:eastAsia="楷体" w:cs="楷体"/>
        </w:rPr>
        <w:t>围绕数字政府高效运</w:t>
      </w:r>
      <w:r>
        <w:rPr>
          <w:rFonts w:hint="eastAsia" w:ascii="楷体" w:hAnsi="楷体" w:eastAsia="楷体" w:cs="楷体"/>
          <w:lang w:eastAsia="zh-CN"/>
        </w:rPr>
        <w:t>行</w:t>
      </w:r>
      <w:r>
        <w:rPr>
          <w:rFonts w:hint="eastAsia" w:ascii="楷体" w:hAnsi="楷体" w:eastAsia="楷体" w:cs="楷体"/>
        </w:rPr>
        <w:t>，推进技术支撑平台集成化</w:t>
      </w:r>
      <w:bookmarkEnd w:id="23"/>
    </w:p>
    <w:p>
      <w:r>
        <w:rPr>
          <w:rFonts w:hint="eastAsia"/>
        </w:rPr>
        <w:t>依托一体化智能化公共数据平台，建设完善基础设施、数据资源、应用支撑、业务应用、政策制度、标准规范、组织保障、政务网络安全“四横四纵”体系和“浙里办”“浙政钉”两大前端，全面支撑各类数字化应用</w:t>
      </w:r>
      <w:r>
        <w:rPr>
          <w:rFonts w:hint="eastAsia"/>
          <w:lang w:eastAsia="zh-CN"/>
        </w:rPr>
        <w:t>稳定</w:t>
      </w:r>
      <w:r>
        <w:rPr>
          <w:rFonts w:hint="eastAsia"/>
        </w:rPr>
        <w:t>运行、协同治理。</w:t>
      </w:r>
    </w:p>
    <w:p>
      <w:r>
        <w:rPr>
          <w:rFonts w:hint="eastAsia"/>
          <w:b/>
          <w:bCs/>
        </w:rPr>
        <w:t>1</w:t>
      </w:r>
      <w:r>
        <w:rPr>
          <w:b/>
          <w:bCs/>
        </w:rPr>
        <w:t>.</w:t>
      </w:r>
      <w:r>
        <w:rPr>
          <w:rFonts w:hint="eastAsia"/>
          <w:b/>
          <w:bCs/>
          <w:lang w:eastAsia="zh-CN"/>
        </w:rPr>
        <w:t>强化</w:t>
      </w:r>
      <w:r>
        <w:rPr>
          <w:rFonts w:hint="eastAsia"/>
          <w:b/>
          <w:bCs/>
        </w:rPr>
        <w:t>“浙里办”“浙政钉”两个掌上</w:t>
      </w:r>
      <w:r>
        <w:rPr>
          <w:rFonts w:hint="eastAsia"/>
          <w:b/>
          <w:bCs/>
          <w:lang w:eastAsia="zh-CN"/>
        </w:rPr>
        <w:t>前</w:t>
      </w:r>
      <w:r>
        <w:rPr>
          <w:b/>
          <w:bCs/>
        </w:rPr>
        <w:t>端。</w:t>
      </w:r>
      <w:r>
        <w:t>依托“浙里办”提升服务群众</w:t>
      </w:r>
      <w:r>
        <w:rPr>
          <w:rFonts w:hint="eastAsia"/>
          <w:lang w:eastAsia="zh-CN"/>
        </w:rPr>
        <w:t>和</w:t>
      </w:r>
      <w:r>
        <w:t>企业能力。以群众</w:t>
      </w:r>
      <w:r>
        <w:rPr>
          <w:rFonts w:hint="eastAsia"/>
          <w:lang w:eastAsia="zh-CN"/>
        </w:rPr>
        <w:t>、</w:t>
      </w:r>
      <w:r>
        <w:t>企业需求为导向，推动服务领域由政务服务向城市生活、未来社区、数字乡村等领域延伸，全面融合便民惠企</w:t>
      </w:r>
      <w:r>
        <w:rPr>
          <w:rFonts w:hint="eastAsia"/>
          <w:lang w:eastAsia="zh-CN"/>
        </w:rPr>
        <w:t>、</w:t>
      </w:r>
      <w:r>
        <w:t>高频刚需服务。按照“统分结合”原则，推进城市频道建设，综合集成本地特色服务，实现一端集成、全市共享。聚焦群众</w:t>
      </w:r>
      <w:r>
        <w:rPr>
          <w:rFonts w:hint="eastAsia"/>
          <w:lang w:eastAsia="zh-CN"/>
        </w:rPr>
        <w:t>、</w:t>
      </w:r>
      <w:r>
        <w:t>企业个性化需求，强化智能服务与授权管理。依托“浙</w:t>
      </w:r>
      <w:r>
        <w:rPr>
          <w:rFonts w:hint="eastAsia"/>
        </w:rPr>
        <w:t>政钉”提升</w:t>
      </w:r>
      <w:r>
        <w:rPr>
          <w:rFonts w:hint="eastAsia"/>
          <w:lang w:eastAsia="zh-CN"/>
        </w:rPr>
        <w:t>政务</w:t>
      </w:r>
      <w:r>
        <w:rPr>
          <w:rFonts w:hint="eastAsia"/>
        </w:rPr>
        <w:t>办公、协同治理效能。将“浙政钉”</w:t>
      </w:r>
      <w:r>
        <w:rPr>
          <w:rFonts w:hint="eastAsia"/>
          <w:lang w:eastAsia="zh-CN"/>
        </w:rPr>
        <w:t>定位</w:t>
      </w:r>
      <w:r>
        <w:rPr>
          <w:rFonts w:hint="eastAsia"/>
        </w:rPr>
        <w:t>为党政机关掌上办公统一入口，推进各级部门办公、治理类应用</w:t>
      </w:r>
      <w:r>
        <w:rPr>
          <w:rFonts w:hint="eastAsia"/>
          <w:lang w:eastAsia="zh-CN"/>
        </w:rPr>
        <w:t>汇聚上钉</w:t>
      </w:r>
      <w:r>
        <w:rPr>
          <w:rFonts w:hint="eastAsia"/>
        </w:rPr>
        <w:t>，各级单位</w:t>
      </w:r>
      <w:r>
        <w:rPr>
          <w:rFonts w:hint="eastAsia"/>
          <w:lang w:eastAsia="zh-CN"/>
        </w:rPr>
        <w:t>“浙政钉”</w:t>
      </w:r>
      <w:r>
        <w:rPr>
          <w:rFonts w:hint="eastAsia"/>
        </w:rPr>
        <w:t>工作台</w:t>
      </w:r>
      <w:r>
        <w:rPr>
          <w:rFonts w:hint="eastAsia"/>
          <w:lang w:eastAsia="zh-CN"/>
        </w:rPr>
        <w:t>作为</w:t>
      </w:r>
      <w:r>
        <w:rPr>
          <w:rFonts w:hint="eastAsia"/>
        </w:rPr>
        <w:t>数字化改革的协同</w:t>
      </w:r>
      <w:r>
        <w:rPr>
          <w:rFonts w:hint="eastAsia"/>
          <w:lang w:eastAsia="zh-CN"/>
        </w:rPr>
        <w:t>子系统，</w:t>
      </w:r>
      <w:r>
        <w:rPr>
          <w:rFonts w:hint="eastAsia"/>
        </w:rPr>
        <w:t>实现</w:t>
      </w:r>
      <w:r>
        <w:rPr>
          <w:rFonts w:hint="eastAsia"/>
          <w:lang w:eastAsia="zh-CN"/>
        </w:rPr>
        <w:t>政务</w:t>
      </w:r>
      <w:r>
        <w:rPr>
          <w:rFonts w:hint="eastAsia"/>
        </w:rPr>
        <w:t>移动应用一端集成。</w:t>
      </w:r>
    </w:p>
    <w:p>
      <w:r>
        <w:rPr>
          <w:b/>
          <w:bCs/>
        </w:rPr>
        <w:t>2.</w:t>
      </w:r>
      <w:r>
        <w:rPr>
          <w:rFonts w:hint="eastAsia"/>
          <w:b/>
          <w:bCs/>
          <w:lang w:eastAsia="zh-CN"/>
        </w:rPr>
        <w:t>强化</w:t>
      </w:r>
      <w:r>
        <w:rPr>
          <w:rFonts w:hint="eastAsia"/>
          <w:b/>
          <w:bCs/>
        </w:rPr>
        <w:t>共享开放的一体化数据资源体系。</w:t>
      </w:r>
      <w:r>
        <w:rPr>
          <w:rFonts w:hint="eastAsia"/>
        </w:rPr>
        <w:t>加强基础域建设，扩大公共数据按需归集</w:t>
      </w:r>
      <w:r>
        <w:rPr>
          <w:rFonts w:hint="eastAsia"/>
          <w:lang w:eastAsia="zh-CN"/>
        </w:rPr>
        <w:t>、</w:t>
      </w:r>
      <w:r>
        <w:rPr>
          <w:rFonts w:hint="eastAsia"/>
        </w:rPr>
        <w:t>管理范围，实现全领域数据高质量供给。加强共享域建设，形成全市共建共治共享、数据循环利用的机制，</w:t>
      </w:r>
      <w:r>
        <w:rPr>
          <w:rFonts w:hint="eastAsia"/>
          <w:lang w:eastAsia="zh-CN"/>
        </w:rPr>
        <w:t>有力</w:t>
      </w:r>
      <w:r>
        <w:rPr>
          <w:rFonts w:hint="eastAsia"/>
        </w:rPr>
        <w:t>支撑重大改革应用。加强</w:t>
      </w:r>
      <w:r>
        <w:rPr>
          <w:rFonts w:hint="eastAsia"/>
          <w:lang w:eastAsia="zh-CN"/>
        </w:rPr>
        <w:t>系统</w:t>
      </w:r>
      <w:r>
        <w:rPr>
          <w:rFonts w:hint="eastAsia"/>
        </w:rPr>
        <w:t>对接，完善省市县一体的协同高效数据共享协调机制，实现数据“应共享尽共享”，推进县</w:t>
      </w:r>
      <w:r>
        <w:t>(市、区)、乡镇街道数据仓建设，实现数据资源按地域授权管理。加强开放域建设</w:t>
      </w:r>
      <w:r>
        <w:rPr>
          <w:rFonts w:hint="eastAsia"/>
        </w:rPr>
        <w:t>，</w:t>
      </w:r>
      <w:r>
        <w:t>完善开放域工具，推动公共数据和社会数据融合应用，形成数据开放创新生态体系。</w:t>
      </w:r>
    </w:p>
    <w:p>
      <w:r>
        <w:rPr>
          <w:b/>
          <w:bCs/>
        </w:rPr>
        <w:t>3.</w:t>
      </w:r>
      <w:r>
        <w:rPr>
          <w:rFonts w:hint="eastAsia"/>
          <w:b/>
          <w:bCs/>
          <w:lang w:eastAsia="zh-CN"/>
        </w:rPr>
        <w:t>强化</w:t>
      </w:r>
      <w:r>
        <w:rPr>
          <w:rFonts w:hint="eastAsia"/>
          <w:b/>
          <w:bCs/>
        </w:rPr>
        <w:t>一体化智能化应用支撑体系。</w:t>
      </w:r>
      <w:r>
        <w:rPr>
          <w:rFonts w:hint="eastAsia"/>
          <w:lang w:eastAsia="zh-CN"/>
        </w:rPr>
        <w:t>按照“</w:t>
      </w:r>
      <w:r>
        <w:rPr>
          <w:rFonts w:hint="eastAsia"/>
        </w:rPr>
        <w:t>全省统筹、共建共享</w:t>
      </w:r>
      <w:r>
        <w:rPr>
          <w:rFonts w:hint="eastAsia"/>
          <w:lang w:eastAsia="zh-CN"/>
        </w:rPr>
        <w:t>”原则</w:t>
      </w:r>
      <w:r>
        <w:rPr>
          <w:rFonts w:hint="eastAsia"/>
        </w:rPr>
        <w:t>，</w:t>
      </w:r>
      <w:r>
        <w:rPr>
          <w:rFonts w:hint="eastAsia"/>
          <w:lang w:eastAsia="zh-CN"/>
        </w:rPr>
        <w:t>持续</w:t>
      </w:r>
      <w:r>
        <w:rPr>
          <w:rFonts w:hint="eastAsia"/>
        </w:rPr>
        <w:t>完善一体化应用支撑体系，为</w:t>
      </w:r>
      <w:r>
        <w:rPr>
          <w:rFonts w:hint="eastAsia"/>
          <w:lang w:eastAsia="zh-CN"/>
        </w:rPr>
        <w:t>全市</w:t>
      </w:r>
      <w:r>
        <w:t>应用建设提供</w:t>
      </w:r>
      <w:r>
        <w:rPr>
          <w:rFonts w:hint="eastAsia"/>
          <w:lang w:eastAsia="zh-CN"/>
        </w:rPr>
        <w:t>统一</w:t>
      </w:r>
      <w:r>
        <w:t>支撑。加强业务培训，确保用户中心、交互中心、业务中心、信用中心、空间中心、智能中心</w:t>
      </w:r>
      <w:r>
        <w:rPr>
          <w:rFonts w:hint="eastAsia"/>
        </w:rPr>
        <w:t>等六</w:t>
      </w:r>
      <w:r>
        <w:t>大中心强制类、推荐类支撑组件利用率达到省级标准。迭代升级花园云多业务协同应用支撑组件，拓展组件应用范围。</w:t>
      </w:r>
      <w:r>
        <w:rPr>
          <w:rFonts w:hint="eastAsia"/>
          <w:lang w:eastAsia="zh-CN"/>
        </w:rPr>
        <w:t>引导全市各</w:t>
      </w:r>
      <w:r>
        <w:t>级部门</w:t>
      </w:r>
      <w:r>
        <w:rPr>
          <w:rFonts w:hint="eastAsia"/>
          <w:lang w:eastAsia="zh-CN"/>
        </w:rPr>
        <w:t>积极</w:t>
      </w:r>
      <w:r>
        <w:t>开发智能组件、通用组件、领域组件，</w:t>
      </w:r>
      <w:r>
        <w:rPr>
          <w:rFonts w:hint="eastAsia"/>
          <w:lang w:eastAsia="zh-CN"/>
        </w:rPr>
        <w:t>争取形成一批</w:t>
      </w:r>
      <w:r>
        <w:t>省级优秀组件。</w:t>
      </w:r>
    </w:p>
    <w:p>
      <w:r>
        <w:rPr>
          <w:b/>
          <w:bCs/>
        </w:rPr>
        <w:t>4.</w:t>
      </w:r>
      <w:r>
        <w:rPr>
          <w:rFonts w:hint="eastAsia"/>
          <w:b/>
          <w:bCs/>
          <w:lang w:eastAsia="zh-CN"/>
        </w:rPr>
        <w:t>强化</w:t>
      </w:r>
      <w:r>
        <w:rPr>
          <w:rFonts w:hint="eastAsia"/>
          <w:b/>
          <w:bCs/>
        </w:rPr>
        <w:t>集约</w:t>
      </w:r>
      <w:r>
        <w:rPr>
          <w:rFonts w:hint="eastAsia"/>
          <w:b/>
          <w:bCs/>
          <w:lang w:eastAsia="zh-CN"/>
        </w:rPr>
        <w:t>稳定</w:t>
      </w:r>
      <w:r>
        <w:rPr>
          <w:rFonts w:hint="eastAsia"/>
          <w:b/>
          <w:bCs/>
        </w:rPr>
        <w:t>的基础设施体系。</w:t>
      </w:r>
      <w:r>
        <w:rPr>
          <w:rFonts w:hint="eastAsia"/>
        </w:rPr>
        <w:t>统筹完善全市政务“一朵云”</w:t>
      </w:r>
      <w:r>
        <w:rPr>
          <w:rFonts w:hint="eastAsia"/>
          <w:lang w:eastAsia="zh-CN"/>
        </w:rPr>
        <w:t>、</w:t>
      </w:r>
      <w:r>
        <w:rPr>
          <w:rFonts w:hint="eastAsia"/>
        </w:rPr>
        <w:t>加快形成政务云“两地三中心”</w:t>
      </w:r>
      <w:r>
        <w:rPr>
          <w:rFonts w:hint="eastAsia"/>
          <w:lang w:eastAsia="zh-CN"/>
        </w:rPr>
        <w:t>、</w:t>
      </w:r>
      <w:r>
        <w:rPr>
          <w:rFonts w:hint="eastAsia"/>
        </w:rPr>
        <w:t>按需打造行业云，保障各类应用业务连续性</w:t>
      </w:r>
      <w:r>
        <w:rPr>
          <w:rFonts w:hint="eastAsia"/>
          <w:lang w:eastAsia="zh-CN"/>
        </w:rPr>
        <w:t>，提升</w:t>
      </w:r>
      <w:r>
        <w:rPr>
          <w:rFonts w:hint="eastAsia"/>
        </w:rPr>
        <w:t>灾备能力。完善云资源使用监管体系，持续提升云资源使用效率。完善政务网络体系，迭代升级电子政务外网，整合部门互联网出口，推进部门非涉密业务专网与政务外网整合联通。</w:t>
      </w:r>
      <w:r>
        <w:rPr>
          <w:rFonts w:hint="eastAsia"/>
          <w:lang w:eastAsia="zh-CN"/>
        </w:rPr>
        <w:t>基于</w:t>
      </w:r>
      <w:r>
        <w:rPr>
          <w:rFonts w:hint="eastAsia"/>
        </w:rPr>
        <w:t>“雪亮工程”整合接入物联感知设备，形成智能物联感知体系。建设完善电子政务内网，提升内网基础支撑能力。</w:t>
      </w:r>
    </w:p>
    <w:p>
      <w:pPr>
        <w:rPr>
          <w:rFonts w:hint="eastAsia"/>
        </w:rPr>
      </w:pPr>
      <w:r>
        <w:rPr>
          <w:b/>
          <w:bCs/>
          <w:i w:val="0"/>
          <w:iCs w:val="0"/>
        </w:rPr>
        <w:t>5.</w:t>
      </w:r>
      <w:r>
        <w:rPr>
          <w:rFonts w:hint="eastAsia"/>
          <w:b/>
          <w:bCs/>
          <w:i w:val="0"/>
          <w:iCs w:val="0"/>
          <w:lang w:eastAsia="zh-CN"/>
        </w:rPr>
        <w:t>强化</w:t>
      </w:r>
      <w:r>
        <w:rPr>
          <w:rFonts w:hint="eastAsia"/>
          <w:b/>
          <w:bCs/>
          <w:i w:val="0"/>
          <w:iCs w:val="0"/>
        </w:rPr>
        <w:t>严密可靠的网络安全防护体系。</w:t>
      </w:r>
      <w:r>
        <w:rPr>
          <w:rFonts w:hint="eastAsia"/>
        </w:rPr>
        <w:t>建设市电子政务外网安全监管系统，纵向级联省级安全监管平台，横向对接市网络安全协调指挥</w:t>
      </w:r>
      <w:r>
        <w:rPr>
          <w:rFonts w:hint="eastAsia"/>
          <w:lang w:eastAsia="zh-CN"/>
        </w:rPr>
        <w:t>系统</w:t>
      </w:r>
      <w:r>
        <w:rPr>
          <w:rFonts w:hint="eastAsia"/>
        </w:rPr>
        <w:t>。建设覆盖公共数据全生命周期的监测预警系统，实现对数据提供者、使用者和管理者的日志汇聚、监测分析、安全审计；形成公共数据分级分类和预警处置机制，建立事前管审批、事中全留痕、事后可追溯的安全监管体系。建设一体化网络安全运营</w:t>
      </w:r>
      <w:r>
        <w:rPr>
          <w:rFonts w:hint="eastAsia"/>
          <w:lang w:eastAsia="zh-CN"/>
        </w:rPr>
        <w:t>系统</w:t>
      </w:r>
      <w:r>
        <w:rPr>
          <w:rFonts w:hint="eastAsia"/>
        </w:rPr>
        <w:t>，</w:t>
      </w:r>
      <w:r>
        <w:rPr>
          <w:rFonts w:hint="eastAsia"/>
          <w:lang w:eastAsia="zh-CN"/>
        </w:rPr>
        <w:t>形成</w:t>
      </w:r>
      <w:r>
        <w:rPr>
          <w:rFonts w:hint="eastAsia"/>
        </w:rPr>
        <w:t>常态化安全运营机制，开展常态化安全监测预警、通报、处置等工作。</w:t>
      </w:r>
    </w:p>
    <w:p>
      <w:pPr>
        <w:ind w:left="0" w:leftChars="0" w:firstLine="0" w:firstLineChars="0"/>
        <w:rPr>
          <w:rFonts w:hint="eastAsia"/>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numPr>
                <w:ilvl w:val="0"/>
                <w:numId w:val="2"/>
              </w:numPr>
              <w:spacing w:line="240" w:lineRule="auto"/>
              <w:ind w:left="0" w:firstLine="0" w:firstLineChars="0"/>
              <w:jc w:val="center"/>
              <w:rPr>
                <w:rFonts w:hint="eastAsia" w:ascii="黑体" w:hAnsi="黑体" w:eastAsia="黑体" w:cs="黑体"/>
                <w:kern w:val="0"/>
                <w:sz w:val="28"/>
                <w:szCs w:val="28"/>
              </w:rPr>
            </w:pPr>
            <w:r>
              <w:rPr>
                <w:rFonts w:hint="eastAsia" w:ascii="黑体" w:hAnsi="黑体" w:eastAsia="黑体" w:cs="黑体"/>
                <w:kern w:val="0"/>
                <w:sz w:val="28"/>
                <w:szCs w:val="28"/>
              </w:rPr>
              <w:t>技术支撑平台类重点</w:t>
            </w:r>
            <w:r>
              <w:rPr>
                <w:rFonts w:hint="eastAsia" w:ascii="黑体" w:hAnsi="黑体" w:eastAsia="黑体" w:cs="黑体"/>
                <w:kern w:val="0"/>
                <w:sz w:val="28"/>
                <w:szCs w:val="28"/>
                <w:lang w:eastAsia="zh-CN"/>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优化完善市县公共数据平台。</w:t>
            </w:r>
            <w:r>
              <w:rPr>
                <w:rFonts w:hint="eastAsia" w:ascii="仿宋" w:hAnsi="仿宋" w:eastAsia="仿宋"/>
                <w:kern w:val="0"/>
                <w:sz w:val="28"/>
                <w:szCs w:val="28"/>
              </w:rPr>
              <w:t>按照“顶层设计、增量开发、迭代升级”</w:t>
            </w:r>
            <w:r>
              <w:rPr>
                <w:rFonts w:hint="eastAsia" w:ascii="仿宋" w:hAnsi="仿宋" w:eastAsia="仿宋"/>
                <w:kern w:val="0"/>
                <w:sz w:val="28"/>
                <w:szCs w:val="28"/>
                <w:lang w:eastAsia="zh-CN"/>
              </w:rPr>
              <w:t>原则</w:t>
            </w:r>
            <w:r>
              <w:rPr>
                <w:rFonts w:hint="eastAsia" w:ascii="仿宋" w:hAnsi="仿宋" w:eastAsia="仿宋"/>
                <w:kern w:val="0"/>
                <w:sz w:val="28"/>
                <w:szCs w:val="28"/>
              </w:rPr>
              <w:t>，持续深化市县两级公共数据归集、治理、共享、开放和安全管理，建设完善县级数据仓、基础数据库。围绕跨部门协同应用需求，建设各类专题数据库。推进地方物联感知数据库和特色专题库建设，强化市域个性化数据管理。整合、继承、复用省域空间治理</w:t>
            </w:r>
            <w:r>
              <w:rPr>
                <w:rFonts w:hint="eastAsia" w:ascii="仿宋" w:hAnsi="仿宋" w:eastAsia="仿宋"/>
                <w:kern w:val="0"/>
                <w:sz w:val="28"/>
                <w:szCs w:val="28"/>
                <w:lang w:eastAsia="zh-CN"/>
              </w:rPr>
              <w:t>系统</w:t>
            </w:r>
            <w:r>
              <w:rPr>
                <w:rFonts w:hint="eastAsia" w:ascii="仿宋" w:hAnsi="仿宋" w:eastAsia="仿宋"/>
                <w:kern w:val="0"/>
                <w:sz w:val="28"/>
                <w:szCs w:val="28"/>
              </w:rPr>
              <w:t>资源，夯实数字孪生数据底座。</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优化完善花园云多业务协同</w:t>
            </w:r>
            <w:r>
              <w:rPr>
                <w:rFonts w:hint="eastAsia" w:ascii="仿宋" w:hAnsi="仿宋" w:eastAsia="仿宋"/>
                <w:b/>
                <w:bCs/>
                <w:kern w:val="0"/>
                <w:sz w:val="28"/>
                <w:szCs w:val="28"/>
                <w:lang w:eastAsia="zh-CN"/>
              </w:rPr>
              <w:t>系统</w:t>
            </w:r>
            <w:r>
              <w:rPr>
                <w:rFonts w:hint="eastAsia" w:ascii="仿宋" w:hAnsi="仿宋" w:eastAsia="仿宋"/>
                <w:b/>
                <w:bCs/>
                <w:kern w:val="0"/>
                <w:sz w:val="28"/>
                <w:szCs w:val="28"/>
              </w:rPr>
              <w:t>。</w:t>
            </w:r>
            <w:r>
              <w:rPr>
                <w:rFonts w:hint="eastAsia" w:ascii="仿宋" w:hAnsi="仿宋" w:eastAsia="仿宋"/>
                <w:kern w:val="0"/>
                <w:sz w:val="28"/>
                <w:szCs w:val="28"/>
              </w:rPr>
              <w:t>围绕</w:t>
            </w:r>
            <w:r>
              <w:rPr>
                <w:rFonts w:hint="eastAsia" w:ascii="仿宋" w:hAnsi="仿宋" w:eastAsia="仿宋"/>
                <w:kern w:val="0"/>
                <w:sz w:val="28"/>
                <w:szCs w:val="28"/>
                <w:lang w:eastAsia="zh-CN"/>
              </w:rPr>
              <w:t>多跨、多业务协同应用</w:t>
            </w:r>
            <w:r>
              <w:rPr>
                <w:rFonts w:hint="eastAsia" w:ascii="仿宋" w:hAnsi="仿宋" w:eastAsia="仿宋"/>
                <w:kern w:val="0"/>
                <w:sz w:val="28"/>
                <w:szCs w:val="28"/>
              </w:rPr>
              <w:t>场景</w:t>
            </w:r>
            <w:r>
              <w:rPr>
                <w:rFonts w:hint="eastAsia" w:ascii="仿宋" w:hAnsi="仿宋" w:eastAsia="仿宋"/>
                <w:kern w:val="0"/>
                <w:sz w:val="28"/>
                <w:szCs w:val="28"/>
                <w:lang w:eastAsia="zh-CN"/>
              </w:rPr>
              <w:t>事件触发</w:t>
            </w:r>
            <w:r>
              <w:rPr>
                <w:rFonts w:hint="eastAsia" w:ascii="仿宋" w:hAnsi="仿宋" w:eastAsia="仿宋"/>
                <w:kern w:val="0"/>
                <w:sz w:val="28"/>
                <w:szCs w:val="28"/>
              </w:rPr>
              <w:t>、受理、</w:t>
            </w:r>
            <w:r>
              <w:rPr>
                <w:rFonts w:hint="eastAsia" w:ascii="仿宋" w:hAnsi="仿宋" w:eastAsia="仿宋"/>
                <w:kern w:val="0"/>
                <w:sz w:val="28"/>
                <w:szCs w:val="28"/>
                <w:lang w:eastAsia="zh-CN"/>
              </w:rPr>
              <w:t>流转</w:t>
            </w:r>
            <w:r>
              <w:rPr>
                <w:rFonts w:hint="eastAsia" w:ascii="仿宋" w:hAnsi="仿宋" w:eastAsia="仿宋"/>
                <w:kern w:val="0"/>
                <w:sz w:val="28"/>
                <w:szCs w:val="28"/>
              </w:rPr>
              <w:t>、处置、反馈</w:t>
            </w:r>
            <w:r>
              <w:rPr>
                <w:rFonts w:hint="eastAsia" w:ascii="仿宋" w:hAnsi="仿宋" w:eastAsia="仿宋"/>
                <w:kern w:val="0"/>
                <w:sz w:val="28"/>
                <w:szCs w:val="28"/>
                <w:lang w:eastAsia="zh-CN"/>
              </w:rPr>
              <w:t>各</w:t>
            </w:r>
            <w:r>
              <w:rPr>
                <w:rFonts w:hint="eastAsia" w:ascii="仿宋" w:hAnsi="仿宋" w:eastAsia="仿宋"/>
                <w:kern w:val="0"/>
                <w:sz w:val="28"/>
                <w:szCs w:val="28"/>
              </w:rPr>
              <w:t>环节需求，</w:t>
            </w:r>
            <w:r>
              <w:rPr>
                <w:rFonts w:hint="eastAsia" w:ascii="仿宋" w:hAnsi="仿宋" w:eastAsia="仿宋"/>
                <w:kern w:val="0"/>
                <w:sz w:val="28"/>
                <w:szCs w:val="28"/>
                <w:lang w:eastAsia="zh-CN"/>
              </w:rPr>
              <w:t>持续</w:t>
            </w:r>
            <w:r>
              <w:rPr>
                <w:rFonts w:hint="eastAsia" w:ascii="仿宋" w:hAnsi="仿宋" w:eastAsia="仿宋"/>
                <w:kern w:val="0"/>
                <w:sz w:val="28"/>
                <w:szCs w:val="28"/>
              </w:rPr>
              <w:t>升级多业务协同</w:t>
            </w:r>
            <w:r>
              <w:rPr>
                <w:rFonts w:hint="eastAsia" w:ascii="仿宋" w:hAnsi="仿宋" w:eastAsia="仿宋"/>
                <w:kern w:val="0"/>
                <w:sz w:val="28"/>
                <w:szCs w:val="28"/>
                <w:lang w:eastAsia="zh-CN"/>
              </w:rPr>
              <w:t>系统</w:t>
            </w:r>
            <w:r>
              <w:rPr>
                <w:rFonts w:hint="eastAsia" w:ascii="仿宋" w:hAnsi="仿宋" w:eastAsia="仿宋"/>
                <w:kern w:val="0"/>
                <w:sz w:val="28"/>
                <w:szCs w:val="28"/>
              </w:rPr>
              <w:t>。</w:t>
            </w:r>
            <w:r>
              <w:rPr>
                <w:rFonts w:hint="eastAsia" w:ascii="仿宋" w:hAnsi="仿宋" w:eastAsia="仿宋"/>
                <w:kern w:val="0"/>
                <w:sz w:val="28"/>
                <w:szCs w:val="28"/>
                <w:lang w:eastAsia="zh-CN"/>
              </w:rPr>
              <w:t>拓展</w:t>
            </w:r>
            <w:r>
              <w:rPr>
                <w:rFonts w:hint="eastAsia" w:ascii="仿宋" w:hAnsi="仿宋" w:eastAsia="仿宋"/>
                <w:kern w:val="0"/>
                <w:sz w:val="28"/>
                <w:szCs w:val="28"/>
              </w:rPr>
              <w:t>业务受理、业务协同、业务监管等</w:t>
            </w:r>
            <w:r>
              <w:rPr>
                <w:rFonts w:hint="eastAsia" w:ascii="仿宋" w:hAnsi="仿宋" w:eastAsia="仿宋"/>
                <w:kern w:val="0"/>
                <w:sz w:val="28"/>
                <w:szCs w:val="28"/>
                <w:lang w:eastAsia="zh-CN"/>
              </w:rPr>
              <w:t>子</w:t>
            </w:r>
            <w:r>
              <w:rPr>
                <w:rFonts w:hint="eastAsia" w:ascii="仿宋" w:hAnsi="仿宋" w:eastAsia="仿宋"/>
                <w:kern w:val="0"/>
                <w:sz w:val="28"/>
                <w:szCs w:val="28"/>
              </w:rPr>
              <w:t>模块</w:t>
            </w:r>
            <w:r>
              <w:rPr>
                <w:rFonts w:hint="eastAsia" w:ascii="仿宋" w:hAnsi="仿宋" w:eastAsia="仿宋"/>
                <w:kern w:val="0"/>
                <w:sz w:val="28"/>
                <w:szCs w:val="28"/>
                <w:lang w:eastAsia="zh-CN"/>
              </w:rPr>
              <w:t>功能</w:t>
            </w:r>
            <w:r>
              <w:rPr>
                <w:rFonts w:hint="eastAsia" w:ascii="仿宋" w:hAnsi="仿宋" w:eastAsia="仿宋"/>
                <w:kern w:val="0"/>
                <w:sz w:val="28"/>
                <w:szCs w:val="28"/>
              </w:rPr>
              <w:t>，新增事件服务、运维中心</w:t>
            </w:r>
            <w:r>
              <w:rPr>
                <w:rFonts w:hint="eastAsia" w:ascii="仿宋" w:hAnsi="仿宋" w:eastAsia="仿宋"/>
                <w:kern w:val="0"/>
                <w:sz w:val="28"/>
                <w:szCs w:val="28"/>
                <w:lang w:eastAsia="zh-CN"/>
              </w:rPr>
              <w:t>子模块</w:t>
            </w:r>
            <w:r>
              <w:rPr>
                <w:rFonts w:hint="eastAsia" w:ascii="仿宋" w:hAnsi="仿宋" w:eastAsia="仿宋"/>
                <w:kern w:val="0"/>
                <w:sz w:val="28"/>
                <w:szCs w:val="28"/>
              </w:rPr>
              <w:t>，</w:t>
            </w:r>
            <w:r>
              <w:rPr>
                <w:rFonts w:hint="eastAsia" w:ascii="仿宋" w:hAnsi="仿宋" w:eastAsia="仿宋"/>
                <w:kern w:val="0"/>
                <w:sz w:val="28"/>
                <w:szCs w:val="28"/>
                <w:lang w:eastAsia="zh-CN"/>
              </w:rPr>
              <w:t>持续</w:t>
            </w:r>
            <w:r>
              <w:rPr>
                <w:rFonts w:hint="eastAsia" w:ascii="仿宋" w:hAnsi="仿宋" w:eastAsia="仿宋"/>
                <w:kern w:val="0"/>
                <w:sz w:val="28"/>
                <w:szCs w:val="28"/>
              </w:rPr>
              <w:t>提升丽水市“花园云”多业务协同</w:t>
            </w:r>
            <w:r>
              <w:rPr>
                <w:rFonts w:hint="eastAsia" w:ascii="仿宋" w:hAnsi="仿宋" w:eastAsia="仿宋"/>
                <w:kern w:val="0"/>
                <w:sz w:val="28"/>
                <w:szCs w:val="28"/>
                <w:lang w:eastAsia="zh-CN"/>
              </w:rPr>
              <w:t>体系</w:t>
            </w:r>
            <w:r>
              <w:rPr>
                <w:rFonts w:hint="eastAsia" w:ascii="仿宋" w:hAnsi="仿宋" w:eastAsia="仿宋"/>
                <w:kern w:val="0"/>
                <w:sz w:val="28"/>
                <w:szCs w:val="28"/>
              </w:rPr>
              <w:t>服务能力，</w:t>
            </w:r>
            <w:r>
              <w:rPr>
                <w:rFonts w:hint="eastAsia" w:ascii="仿宋" w:hAnsi="仿宋" w:eastAsia="仿宋"/>
                <w:kern w:val="0"/>
                <w:sz w:val="28"/>
                <w:szCs w:val="28"/>
                <w:lang w:eastAsia="zh-CN"/>
              </w:rPr>
              <w:t>有力</w:t>
            </w:r>
            <w:r>
              <w:rPr>
                <w:rFonts w:hint="eastAsia" w:ascii="仿宋" w:hAnsi="仿宋" w:eastAsia="仿宋"/>
                <w:kern w:val="0"/>
                <w:sz w:val="28"/>
                <w:szCs w:val="28"/>
              </w:rPr>
              <w:t>支撑数字孪生体系建设。</w:t>
            </w:r>
          </w:p>
          <w:p>
            <w:pPr>
              <w:pStyle w:val="5"/>
              <w:adjustRightInd w:val="0"/>
              <w:snapToGrid w:val="0"/>
              <w:spacing w:line="240" w:lineRule="auto"/>
              <w:ind w:firstLine="562"/>
              <w:rPr>
                <w:rFonts w:ascii="仿宋" w:hAnsi="仿宋" w:eastAsia="仿宋"/>
                <w:b/>
                <w:bCs/>
                <w:kern w:val="0"/>
                <w:sz w:val="28"/>
                <w:szCs w:val="28"/>
              </w:rPr>
            </w:pPr>
            <w:r>
              <w:rPr>
                <w:rFonts w:hint="eastAsia" w:ascii="仿宋" w:hAnsi="仿宋" w:eastAsia="仿宋"/>
                <w:b/>
                <w:bCs/>
                <w:kern w:val="0"/>
                <w:sz w:val="28"/>
                <w:szCs w:val="28"/>
              </w:rPr>
              <w:t>优化完善“雪亮工程”总平台。</w:t>
            </w:r>
            <w:r>
              <w:rPr>
                <w:rFonts w:hint="eastAsia" w:ascii="仿宋" w:hAnsi="仿宋" w:eastAsia="仿宋"/>
                <w:kern w:val="0"/>
                <w:sz w:val="28"/>
                <w:szCs w:val="28"/>
              </w:rPr>
              <w:t>建设物联设备管控</w:t>
            </w:r>
            <w:r>
              <w:rPr>
                <w:rFonts w:hint="eastAsia" w:ascii="仿宋" w:hAnsi="仿宋" w:eastAsia="仿宋"/>
                <w:kern w:val="0"/>
                <w:sz w:val="28"/>
                <w:szCs w:val="28"/>
                <w:lang w:eastAsia="zh-CN"/>
              </w:rPr>
              <w:t>系统</w:t>
            </w:r>
            <w:r>
              <w:rPr>
                <w:rFonts w:hint="eastAsia" w:ascii="仿宋" w:hAnsi="仿宋" w:eastAsia="仿宋"/>
                <w:kern w:val="0"/>
                <w:sz w:val="28"/>
                <w:szCs w:val="28"/>
              </w:rPr>
              <w:t>，制定</w:t>
            </w:r>
            <w:r>
              <w:rPr>
                <w:rFonts w:hint="eastAsia" w:ascii="仿宋" w:hAnsi="仿宋" w:eastAsia="仿宋"/>
                <w:kern w:val="0"/>
                <w:sz w:val="28"/>
                <w:szCs w:val="28"/>
                <w:lang w:eastAsia="zh-CN"/>
              </w:rPr>
              <w:t>统一的</w:t>
            </w:r>
            <w:r>
              <w:rPr>
                <w:rFonts w:hint="eastAsia" w:ascii="仿宋" w:hAnsi="仿宋" w:eastAsia="仿宋"/>
                <w:kern w:val="0"/>
                <w:sz w:val="28"/>
                <w:szCs w:val="28"/>
              </w:rPr>
              <w:t>汇聚标准，规范接入全市视频监控、物联设备。建设</w:t>
            </w:r>
            <w:r>
              <w:rPr>
                <w:rFonts w:hint="eastAsia" w:ascii="仿宋" w:hAnsi="仿宋" w:eastAsia="仿宋"/>
                <w:kern w:val="0"/>
                <w:sz w:val="28"/>
                <w:szCs w:val="28"/>
                <w:lang w:eastAsia="zh-CN"/>
              </w:rPr>
              <w:t>推广</w:t>
            </w:r>
            <w:r>
              <w:rPr>
                <w:rFonts w:hint="eastAsia" w:ascii="仿宋" w:hAnsi="仿宋" w:eastAsia="仿宋"/>
                <w:kern w:val="0"/>
                <w:sz w:val="28"/>
                <w:szCs w:val="28"/>
              </w:rPr>
              <w:t>视频应用支撑</w:t>
            </w:r>
            <w:r>
              <w:rPr>
                <w:rFonts w:hint="eastAsia" w:ascii="仿宋" w:hAnsi="仿宋" w:eastAsia="仿宋"/>
                <w:kern w:val="0"/>
                <w:sz w:val="28"/>
                <w:szCs w:val="28"/>
                <w:lang w:eastAsia="zh-CN"/>
              </w:rPr>
              <w:t>系统</w:t>
            </w:r>
            <w:r>
              <w:rPr>
                <w:rFonts w:hint="eastAsia" w:ascii="仿宋" w:hAnsi="仿宋" w:eastAsia="仿宋"/>
                <w:kern w:val="0"/>
                <w:sz w:val="28"/>
                <w:szCs w:val="28"/>
              </w:rPr>
              <w:t>，提供视频图像应用数据和算法支撑，完善公共安全视频数据共享机制。</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优化完善一体化公共信用信息系统。</w:t>
            </w:r>
            <w:r>
              <w:rPr>
                <w:rFonts w:hint="eastAsia" w:ascii="仿宋" w:hAnsi="仿宋" w:eastAsia="仿宋"/>
                <w:b w:val="0"/>
                <w:bCs w:val="0"/>
                <w:kern w:val="0"/>
                <w:sz w:val="28"/>
                <w:szCs w:val="28"/>
                <w:lang w:eastAsia="zh-CN"/>
              </w:rPr>
              <w:t>迭代升级公共信用信息系统，</w:t>
            </w:r>
            <w:r>
              <w:rPr>
                <w:rFonts w:hint="eastAsia" w:ascii="仿宋" w:hAnsi="仿宋" w:eastAsia="仿宋"/>
                <w:kern w:val="0"/>
                <w:sz w:val="28"/>
                <w:szCs w:val="28"/>
                <w:lang w:eastAsia="zh-CN"/>
              </w:rPr>
              <w:t>归集多源</w:t>
            </w:r>
            <w:r>
              <w:rPr>
                <w:rFonts w:ascii="仿宋" w:hAnsi="仿宋" w:eastAsia="仿宋"/>
                <w:kern w:val="0"/>
                <w:sz w:val="28"/>
                <w:szCs w:val="28"/>
              </w:rPr>
              <w:t>公共信用数据，夯实公共信用基础支撑，强化信用</w:t>
            </w:r>
            <w:r>
              <w:rPr>
                <w:rFonts w:hint="eastAsia" w:ascii="仿宋" w:hAnsi="仿宋" w:eastAsia="仿宋"/>
                <w:kern w:val="0"/>
                <w:sz w:val="28"/>
                <w:szCs w:val="28"/>
                <w:lang w:eastAsia="zh-CN"/>
              </w:rPr>
              <w:t>信息</w:t>
            </w:r>
            <w:r>
              <w:rPr>
                <w:rFonts w:ascii="仿宋" w:hAnsi="仿宋" w:eastAsia="仿宋"/>
                <w:kern w:val="0"/>
                <w:sz w:val="28"/>
                <w:szCs w:val="28"/>
              </w:rPr>
              <w:t>协同联动。扎实推进全市“信用大脑”建设，实现城市信用“驾驶舱”常态化运行。</w:t>
            </w:r>
          </w:p>
          <w:p>
            <w:pPr>
              <w:pStyle w:val="5"/>
              <w:adjustRightInd w:val="0"/>
              <w:snapToGrid w:val="0"/>
              <w:spacing w:line="240" w:lineRule="auto"/>
              <w:ind w:firstLine="562"/>
              <w:rPr>
                <w:rFonts w:ascii="仿宋" w:hAnsi="仿宋" w:eastAsia="仿宋"/>
                <w:kern w:val="0"/>
                <w:sz w:val="28"/>
                <w:szCs w:val="28"/>
              </w:rPr>
            </w:pPr>
            <w:r>
              <w:rPr>
                <w:rFonts w:hint="eastAsia" w:ascii="仿宋" w:hAnsi="仿宋" w:eastAsia="仿宋"/>
                <w:b/>
                <w:bCs/>
                <w:kern w:val="0"/>
                <w:sz w:val="28"/>
                <w:szCs w:val="28"/>
              </w:rPr>
              <w:t>优化完善</w:t>
            </w:r>
            <w:r>
              <w:rPr>
                <w:rFonts w:hint="eastAsia" w:ascii="仿宋" w:hAnsi="仿宋" w:eastAsia="仿宋"/>
                <w:b/>
                <w:bCs/>
                <w:kern w:val="0"/>
                <w:sz w:val="28"/>
                <w:szCs w:val="28"/>
                <w:lang w:eastAsia="zh-CN"/>
              </w:rPr>
              <w:t>电子</w:t>
            </w:r>
            <w:r>
              <w:rPr>
                <w:rFonts w:hint="eastAsia" w:ascii="仿宋" w:hAnsi="仿宋" w:eastAsia="仿宋"/>
                <w:b/>
                <w:bCs/>
                <w:kern w:val="0"/>
                <w:sz w:val="28"/>
                <w:szCs w:val="28"/>
              </w:rPr>
              <w:t>政务云。</w:t>
            </w:r>
            <w:r>
              <w:rPr>
                <w:rFonts w:hint="eastAsia" w:ascii="仿宋" w:hAnsi="仿宋" w:eastAsia="仿宋"/>
                <w:kern w:val="0"/>
                <w:sz w:val="28"/>
                <w:szCs w:val="28"/>
                <w:lang w:eastAsia="zh-CN"/>
              </w:rPr>
              <w:t>建立健全</w:t>
            </w:r>
            <w:r>
              <w:rPr>
                <w:rFonts w:hint="eastAsia" w:ascii="仿宋" w:hAnsi="仿宋" w:eastAsia="仿宋"/>
                <w:kern w:val="0"/>
                <w:sz w:val="28"/>
                <w:szCs w:val="28"/>
              </w:rPr>
              <w:t>政务云资源使用审查规范，加强云资源使用监管。</w:t>
            </w:r>
            <w:r>
              <w:rPr>
                <w:rFonts w:hint="eastAsia" w:ascii="仿宋" w:hAnsi="仿宋" w:eastAsia="仿宋"/>
                <w:kern w:val="0"/>
                <w:sz w:val="28"/>
                <w:szCs w:val="28"/>
                <w:lang w:eastAsia="zh-CN"/>
              </w:rPr>
              <w:t>持续</w:t>
            </w:r>
            <w:r>
              <w:rPr>
                <w:rFonts w:hint="eastAsia" w:ascii="仿宋" w:hAnsi="仿宋" w:eastAsia="仿宋"/>
                <w:kern w:val="0"/>
                <w:sz w:val="28"/>
                <w:szCs w:val="28"/>
              </w:rPr>
              <w:t>提升云服务能力</w:t>
            </w:r>
            <w:r>
              <w:rPr>
                <w:rFonts w:hint="eastAsia" w:ascii="仿宋" w:hAnsi="仿宋" w:eastAsia="仿宋"/>
                <w:kern w:val="0"/>
                <w:sz w:val="28"/>
                <w:szCs w:val="28"/>
                <w:lang w:eastAsia="zh-CN"/>
              </w:rPr>
              <w:t>、</w:t>
            </w:r>
            <w:r>
              <w:rPr>
                <w:rFonts w:hint="eastAsia" w:ascii="仿宋" w:hAnsi="仿宋" w:eastAsia="仿宋"/>
                <w:kern w:val="0"/>
                <w:sz w:val="28"/>
                <w:szCs w:val="28"/>
              </w:rPr>
              <w:t>扩展云服务范围</w:t>
            </w:r>
            <w:r>
              <w:rPr>
                <w:rFonts w:hint="eastAsia" w:ascii="仿宋" w:hAnsi="仿宋" w:eastAsia="仿宋"/>
                <w:kern w:val="0"/>
                <w:sz w:val="28"/>
                <w:szCs w:val="28"/>
                <w:lang w:eastAsia="zh-CN"/>
              </w:rPr>
              <w:t>、提高云服务效能</w:t>
            </w:r>
            <w:r>
              <w:rPr>
                <w:rFonts w:hint="eastAsia" w:ascii="仿宋" w:hAnsi="仿宋" w:eastAsia="仿宋"/>
                <w:kern w:val="0"/>
                <w:sz w:val="28"/>
                <w:szCs w:val="28"/>
              </w:rPr>
              <w:t>，保障部门</w:t>
            </w:r>
            <w:r>
              <w:rPr>
                <w:rFonts w:hint="eastAsia" w:ascii="仿宋" w:hAnsi="仿宋" w:eastAsia="仿宋"/>
                <w:kern w:val="0"/>
                <w:sz w:val="28"/>
                <w:szCs w:val="28"/>
                <w:lang w:eastAsia="zh-CN"/>
              </w:rPr>
              <w:t>应用</w:t>
            </w:r>
            <w:r>
              <w:rPr>
                <w:rFonts w:hint="eastAsia" w:ascii="仿宋" w:hAnsi="仿宋" w:eastAsia="仿宋"/>
                <w:kern w:val="0"/>
                <w:sz w:val="28"/>
                <w:szCs w:val="28"/>
              </w:rPr>
              <w:t>系统上云需求。开展政务云数据备份系统建设，保障政务云数据安全。</w:t>
            </w:r>
          </w:p>
          <w:p>
            <w:pPr>
              <w:pStyle w:val="5"/>
              <w:adjustRightInd w:val="0"/>
              <w:snapToGrid w:val="0"/>
              <w:spacing w:line="240" w:lineRule="auto"/>
              <w:ind w:firstLine="562"/>
              <w:rPr>
                <w:rFonts w:ascii="仿宋" w:hAnsi="仿宋" w:eastAsia="仿宋"/>
                <w:kern w:val="0"/>
                <w:sz w:val="24"/>
                <w:szCs w:val="16"/>
              </w:rPr>
            </w:pPr>
            <w:r>
              <w:rPr>
                <w:rFonts w:hint="eastAsia" w:ascii="仿宋" w:hAnsi="仿宋" w:eastAsia="仿宋"/>
                <w:b/>
                <w:bCs/>
                <w:kern w:val="0"/>
                <w:sz w:val="28"/>
                <w:szCs w:val="28"/>
              </w:rPr>
              <w:t>优化完善电子政务网络。</w:t>
            </w:r>
            <w:r>
              <w:rPr>
                <w:rFonts w:hint="eastAsia" w:ascii="仿宋" w:hAnsi="仿宋" w:eastAsia="仿宋"/>
                <w:b w:val="0"/>
                <w:bCs w:val="0"/>
                <w:kern w:val="0"/>
                <w:sz w:val="28"/>
                <w:szCs w:val="28"/>
                <w:lang w:eastAsia="zh-CN"/>
              </w:rPr>
              <w:t>加强内外网统筹，</w:t>
            </w:r>
            <w:r>
              <w:rPr>
                <w:rFonts w:hint="eastAsia" w:ascii="仿宋" w:hAnsi="仿宋" w:eastAsia="仿宋"/>
                <w:kern w:val="0"/>
                <w:sz w:val="28"/>
                <w:szCs w:val="28"/>
              </w:rPr>
              <w:t>优化政务网架构，提升主备网性能</w:t>
            </w:r>
            <w:r>
              <w:rPr>
                <w:rFonts w:hint="eastAsia" w:ascii="仿宋" w:hAnsi="仿宋" w:eastAsia="仿宋"/>
                <w:kern w:val="0"/>
                <w:sz w:val="28"/>
                <w:szCs w:val="28"/>
                <w:lang w:eastAsia="zh-CN"/>
              </w:rPr>
              <w:t>。</w:t>
            </w:r>
            <w:r>
              <w:rPr>
                <w:rFonts w:hint="eastAsia" w:ascii="仿宋" w:hAnsi="仿宋" w:eastAsia="仿宋"/>
                <w:kern w:val="0"/>
                <w:sz w:val="28"/>
                <w:szCs w:val="28"/>
              </w:rPr>
              <w:t>建设互联网安全接入区，满足</w:t>
            </w:r>
            <w:r>
              <w:rPr>
                <w:rFonts w:hint="eastAsia" w:ascii="仿宋" w:hAnsi="仿宋" w:eastAsia="仿宋"/>
                <w:kern w:val="0"/>
                <w:sz w:val="28"/>
                <w:szCs w:val="28"/>
                <w:lang w:eastAsia="zh-CN"/>
              </w:rPr>
              <w:t>各领域</w:t>
            </w:r>
            <w:r>
              <w:rPr>
                <w:rFonts w:hint="eastAsia" w:ascii="仿宋" w:hAnsi="仿宋" w:eastAsia="仿宋"/>
                <w:kern w:val="0"/>
                <w:sz w:val="28"/>
                <w:szCs w:val="28"/>
              </w:rPr>
              <w:t>公共服务接入政务外网需求。构建完善</w:t>
            </w:r>
            <w:r>
              <w:rPr>
                <w:rFonts w:hint="eastAsia" w:ascii="仿宋" w:hAnsi="仿宋" w:eastAsia="仿宋"/>
                <w:kern w:val="0"/>
                <w:sz w:val="28"/>
                <w:szCs w:val="28"/>
                <w:lang w:eastAsia="zh-CN"/>
              </w:rPr>
              <w:t>高度</w:t>
            </w:r>
            <w:r>
              <w:rPr>
                <w:rFonts w:hint="eastAsia" w:ascii="仿宋" w:hAnsi="仿宋" w:eastAsia="仿宋"/>
                <w:kern w:val="0"/>
                <w:sz w:val="28"/>
                <w:szCs w:val="28"/>
              </w:rPr>
              <w:t>集约、高</w:t>
            </w:r>
            <w:r>
              <w:rPr>
                <w:rFonts w:hint="eastAsia" w:ascii="仿宋" w:hAnsi="仿宋" w:eastAsia="仿宋"/>
                <w:kern w:val="0"/>
                <w:sz w:val="28"/>
                <w:szCs w:val="28"/>
                <w:lang w:eastAsia="zh-CN"/>
              </w:rPr>
              <w:t>度</w:t>
            </w:r>
            <w:r>
              <w:rPr>
                <w:rFonts w:hint="eastAsia" w:ascii="仿宋" w:hAnsi="仿宋" w:eastAsia="仿宋"/>
                <w:kern w:val="0"/>
                <w:sz w:val="28"/>
                <w:szCs w:val="28"/>
              </w:rPr>
              <w:t>可靠</w:t>
            </w:r>
            <w:r>
              <w:rPr>
                <w:rFonts w:hint="eastAsia" w:ascii="仿宋" w:hAnsi="仿宋" w:eastAsia="仿宋"/>
                <w:kern w:val="0"/>
                <w:sz w:val="28"/>
                <w:szCs w:val="28"/>
                <w:lang w:eastAsia="zh-CN"/>
              </w:rPr>
              <w:t>、充分可信</w:t>
            </w:r>
            <w:r>
              <w:rPr>
                <w:rFonts w:hint="eastAsia" w:ascii="仿宋" w:hAnsi="仿宋" w:eastAsia="仿宋"/>
                <w:kern w:val="0"/>
                <w:sz w:val="28"/>
                <w:szCs w:val="28"/>
              </w:rPr>
              <w:t>的电子政务内网基础设施。</w:t>
            </w:r>
          </w:p>
        </w:tc>
      </w:tr>
    </w:tbl>
    <w:p/>
    <w:p>
      <w:pPr>
        <w:pStyle w:val="2"/>
        <w:numPr>
          <w:ilvl w:val="0"/>
          <w:numId w:val="0"/>
        </w:numPr>
        <w:ind w:leftChars="0" w:firstLine="640" w:firstLineChars="200"/>
        <w:jc w:val="both"/>
        <w:rPr>
          <w:rFonts w:hint="eastAsia" w:ascii="黑体" w:hAnsi="黑体" w:eastAsia="黑体" w:cs="黑体"/>
          <w:b w:val="0"/>
          <w:bCs w:val="0"/>
        </w:rPr>
      </w:pPr>
      <w:bookmarkStart w:id="24" w:name="_Toc85210006"/>
      <w:r>
        <w:rPr>
          <w:rFonts w:hint="eastAsia" w:ascii="黑体" w:hAnsi="黑体" w:eastAsia="黑体" w:cs="黑体"/>
          <w:b w:val="0"/>
          <w:bCs w:val="0"/>
          <w:lang w:val="en"/>
        </w:rPr>
        <w:t>四、</w:t>
      </w:r>
      <w:r>
        <w:rPr>
          <w:rFonts w:hint="eastAsia" w:ascii="黑体" w:hAnsi="黑体" w:eastAsia="黑体" w:cs="黑体"/>
          <w:b w:val="0"/>
          <w:bCs w:val="0"/>
        </w:rPr>
        <w:t>保障措施</w:t>
      </w:r>
      <w:bookmarkEnd w:id="24"/>
    </w:p>
    <w:p>
      <w:pPr>
        <w:pStyle w:val="3"/>
        <w:numPr>
          <w:ilvl w:val="1"/>
          <w:numId w:val="0"/>
        </w:numPr>
        <w:ind w:firstLine="643" w:firstLineChars="200"/>
        <w:rPr>
          <w:rFonts w:hint="eastAsia" w:ascii="楷体" w:hAnsi="楷体" w:eastAsia="楷体" w:cs="楷体"/>
        </w:rPr>
      </w:pPr>
      <w:bookmarkStart w:id="25" w:name="_Toc85210007"/>
      <w:r>
        <w:rPr>
          <w:rFonts w:hint="eastAsia" w:ascii="楷体" w:hAnsi="楷体" w:eastAsia="楷体" w:cs="楷体"/>
          <w:lang w:val="en"/>
        </w:rPr>
        <w:t>（一）</w:t>
      </w:r>
      <w:r>
        <w:rPr>
          <w:rFonts w:hint="eastAsia" w:ascii="楷体" w:hAnsi="楷体" w:eastAsia="楷体" w:cs="楷体"/>
        </w:rPr>
        <w:t>加强组织领导</w:t>
      </w:r>
      <w:bookmarkEnd w:id="25"/>
    </w:p>
    <w:p>
      <w:r>
        <w:rPr>
          <w:rFonts w:hint="eastAsia"/>
        </w:rPr>
        <w:t>组建数字政府建设工作专班，落实“一把手”</w:t>
      </w:r>
      <w:r>
        <w:rPr>
          <w:rFonts w:hint="eastAsia"/>
          <w:lang w:eastAsia="zh-CN"/>
        </w:rPr>
        <w:t>责任</w:t>
      </w:r>
      <w:r>
        <w:rPr>
          <w:rFonts w:hint="eastAsia"/>
        </w:rPr>
        <w:t>制、“首席数据官+数据专员”协同工作</w:t>
      </w:r>
      <w:r>
        <w:rPr>
          <w:rFonts w:hint="eastAsia"/>
          <w:lang w:eastAsia="zh-CN"/>
        </w:rPr>
        <w:t>机</w:t>
      </w:r>
      <w:r>
        <w:rPr>
          <w:rFonts w:hint="eastAsia"/>
        </w:rPr>
        <w:t>制，实行“项目化实施+专班化推进”</w:t>
      </w:r>
      <w:r>
        <w:rPr>
          <w:rFonts w:hint="eastAsia"/>
          <w:lang w:eastAsia="zh-CN"/>
        </w:rPr>
        <w:t>工作模式</w:t>
      </w:r>
      <w:r>
        <w:rPr>
          <w:rFonts w:hint="eastAsia"/>
        </w:rPr>
        <w:t>，完善跨领域</w:t>
      </w:r>
      <w:r>
        <w:rPr>
          <w:rFonts w:hint="eastAsia"/>
          <w:lang w:eastAsia="zh-CN"/>
        </w:rPr>
        <w:t>、</w:t>
      </w:r>
      <w:r>
        <w:rPr>
          <w:rFonts w:hint="eastAsia"/>
        </w:rPr>
        <w:t>跨层级、跨部门的高效</w:t>
      </w:r>
      <w:r>
        <w:rPr>
          <w:rFonts w:hint="eastAsia"/>
          <w:lang w:eastAsia="zh-CN"/>
        </w:rPr>
        <w:t>多跨</w:t>
      </w:r>
      <w:r>
        <w:rPr>
          <w:rFonts w:hint="eastAsia"/>
        </w:rPr>
        <w:t>协同机制。强化清单式</w:t>
      </w:r>
      <w:r>
        <w:rPr>
          <w:rFonts w:hint="eastAsia"/>
          <w:lang w:eastAsia="zh-CN"/>
        </w:rPr>
        <w:t>、销号制</w:t>
      </w:r>
      <w:r>
        <w:rPr>
          <w:rFonts w:hint="eastAsia"/>
        </w:rPr>
        <w:t>管理，形成谋划工作、实施举措、解决问题、反馈激励的工作闭环。</w:t>
      </w:r>
    </w:p>
    <w:p>
      <w:pPr>
        <w:pStyle w:val="3"/>
        <w:numPr>
          <w:ilvl w:val="1"/>
          <w:numId w:val="0"/>
        </w:numPr>
        <w:ind w:firstLine="643" w:firstLineChars="200"/>
        <w:rPr>
          <w:rFonts w:hint="eastAsia" w:ascii="楷体" w:hAnsi="楷体" w:eastAsia="楷体" w:cs="楷体"/>
        </w:rPr>
      </w:pPr>
      <w:bookmarkStart w:id="26" w:name="_Toc85210008"/>
      <w:r>
        <w:rPr>
          <w:rFonts w:hint="eastAsia" w:ascii="楷体" w:hAnsi="楷体" w:eastAsia="楷体" w:cs="楷体"/>
          <w:lang w:val="en"/>
        </w:rPr>
        <w:t>（二）</w:t>
      </w:r>
      <w:r>
        <w:rPr>
          <w:rFonts w:hint="eastAsia" w:ascii="楷体" w:hAnsi="楷体" w:eastAsia="楷体" w:cs="楷体"/>
          <w:lang w:val="en" w:eastAsia="zh-CN"/>
        </w:rPr>
        <w:t>强化</w:t>
      </w:r>
      <w:r>
        <w:rPr>
          <w:rFonts w:hint="eastAsia" w:ascii="楷体" w:hAnsi="楷体" w:eastAsia="楷体" w:cs="楷体"/>
        </w:rPr>
        <w:t>人才支撑</w:t>
      </w:r>
      <w:bookmarkEnd w:id="26"/>
    </w:p>
    <w:p>
      <w:r>
        <w:rPr>
          <w:rFonts w:hint="eastAsia"/>
        </w:rPr>
        <w:t>加大</w:t>
      </w:r>
      <w:r>
        <w:rPr>
          <w:rFonts w:hint="eastAsia"/>
          <w:lang w:eastAsia="zh-CN"/>
        </w:rPr>
        <w:t>数字</w:t>
      </w:r>
      <w:r>
        <w:rPr>
          <w:rFonts w:hint="eastAsia"/>
        </w:rPr>
        <w:t>政府</w:t>
      </w:r>
      <w:r>
        <w:rPr>
          <w:rFonts w:hint="eastAsia"/>
          <w:lang w:eastAsia="zh-CN"/>
        </w:rPr>
        <w:t>领域</w:t>
      </w:r>
      <w:r>
        <w:rPr>
          <w:rFonts w:hint="eastAsia"/>
        </w:rPr>
        <w:t>专业人才引进力度，</w:t>
      </w:r>
      <w:r>
        <w:rPr>
          <w:rFonts w:hint="eastAsia"/>
          <w:lang w:eastAsia="zh-CN"/>
        </w:rPr>
        <w:t>建立健全</w:t>
      </w:r>
      <w:r>
        <w:t>数字政府</w:t>
      </w:r>
      <w:r>
        <w:rPr>
          <w:rFonts w:hint="eastAsia"/>
        </w:rPr>
        <w:t>高层次、</w:t>
      </w:r>
      <w:r>
        <w:t>复合型人才培育机制。</w:t>
      </w:r>
      <w:r>
        <w:rPr>
          <w:rFonts w:hint="eastAsia"/>
          <w:lang w:eastAsia="zh-CN"/>
        </w:rPr>
        <w:t>完善</w:t>
      </w:r>
      <w:r>
        <w:t>政府部门技术型人才职业</w:t>
      </w:r>
      <w:r>
        <w:rPr>
          <w:rFonts w:hint="eastAsia"/>
        </w:rPr>
        <w:t>发展体系，</w:t>
      </w:r>
      <w:r>
        <w:t>建立多元化岗位晋升通道和激励机制。</w:t>
      </w:r>
      <w:r>
        <w:rPr>
          <w:rFonts w:hint="eastAsia"/>
          <w:lang w:eastAsia="zh-CN"/>
        </w:rPr>
        <w:t>构建</w:t>
      </w:r>
      <w:r>
        <w:t>政府数</w:t>
      </w:r>
      <w:r>
        <w:rPr>
          <w:rFonts w:hint="eastAsia"/>
        </w:rPr>
        <w:t>字化转型培训课程体系，</w:t>
      </w:r>
      <w:r>
        <w:t>制定</w:t>
      </w:r>
      <w:r>
        <w:rPr>
          <w:rFonts w:hint="eastAsia"/>
          <w:lang w:eastAsia="zh-CN"/>
        </w:rPr>
        <w:t>落实</w:t>
      </w:r>
      <w:r>
        <w:t>领导干部和各级政府工作人员</w:t>
      </w:r>
      <w:r>
        <w:rPr>
          <w:rFonts w:hint="eastAsia"/>
        </w:rPr>
        <w:t>学习培训计划，</w:t>
      </w:r>
      <w:r>
        <w:t>持续</w:t>
      </w:r>
      <w:r>
        <w:rPr>
          <w:rFonts w:hint="eastAsia"/>
          <w:lang w:eastAsia="zh-CN"/>
        </w:rPr>
        <w:t>提升政府工作</w:t>
      </w:r>
      <w:r>
        <w:rPr>
          <w:rFonts w:hint="eastAsia"/>
        </w:rPr>
        <w:t>人员</w:t>
      </w:r>
      <w:r>
        <w:t>数字化素养。</w:t>
      </w:r>
    </w:p>
    <w:p>
      <w:pPr>
        <w:pStyle w:val="3"/>
        <w:numPr>
          <w:ilvl w:val="1"/>
          <w:numId w:val="0"/>
        </w:numPr>
        <w:ind w:firstLine="643" w:firstLineChars="200"/>
        <w:rPr>
          <w:rFonts w:hint="eastAsia" w:ascii="楷体" w:hAnsi="楷体" w:eastAsia="楷体" w:cs="楷体"/>
        </w:rPr>
      </w:pPr>
      <w:bookmarkStart w:id="27" w:name="_Toc85210009"/>
      <w:r>
        <w:rPr>
          <w:rFonts w:hint="eastAsia" w:ascii="楷体" w:hAnsi="楷体" w:eastAsia="楷体" w:cs="楷体"/>
          <w:lang w:val="en"/>
        </w:rPr>
        <w:t>（三）</w:t>
      </w:r>
      <w:r>
        <w:rPr>
          <w:rFonts w:hint="eastAsia" w:ascii="楷体" w:hAnsi="楷体" w:eastAsia="楷体" w:cs="楷体"/>
        </w:rPr>
        <w:t>优化要素配置</w:t>
      </w:r>
      <w:bookmarkEnd w:id="27"/>
    </w:p>
    <w:p>
      <w:pPr>
        <w:rPr>
          <w:color w:val="auto"/>
        </w:rPr>
      </w:pPr>
      <w:r>
        <w:rPr>
          <w:rFonts w:hint="eastAsia"/>
        </w:rPr>
        <w:t>完善</w:t>
      </w:r>
      <w:r>
        <w:rPr>
          <w:rFonts w:hint="eastAsia"/>
          <w:lang w:eastAsia="zh-CN"/>
        </w:rPr>
        <w:t>差异化</w:t>
      </w:r>
      <w:r>
        <w:rPr>
          <w:rFonts w:hint="eastAsia"/>
        </w:rPr>
        <w:t>政策，提高政策激励精准度。加大财政保障力度，健全省级指导、部门间协同、市县联动的</w:t>
      </w:r>
      <w:r>
        <w:rPr>
          <w:rFonts w:hint="eastAsia"/>
          <w:lang w:eastAsia="zh-CN"/>
        </w:rPr>
        <w:t>项目</w:t>
      </w:r>
      <w:r>
        <w:rPr>
          <w:rFonts w:hint="eastAsia"/>
        </w:rPr>
        <w:t>立项评审机制，建立符合信息化项目规律的预算和采购管理规程。依托省</w:t>
      </w:r>
      <w:r>
        <w:rPr>
          <w:b/>
          <w:bCs/>
        </w:rPr>
        <w:t>IRS</w:t>
      </w:r>
      <w:r>
        <w:rPr>
          <w:rFonts w:hint="eastAsia"/>
          <w:b/>
          <w:bCs/>
          <w:vertAlign w:val="superscript"/>
          <w:lang w:val="en-US" w:eastAsia="zh-CN"/>
        </w:rPr>
        <w:t>11</w:t>
      </w:r>
      <w:r>
        <w:t>系统深化落实项目统筹管理，全面、高质量编制地方信息系统“一本账”。</w:t>
      </w:r>
      <w:r>
        <w:rPr>
          <w:rFonts w:hint="eastAsia"/>
          <w:lang w:eastAsia="zh-CN"/>
        </w:rPr>
        <w:t>落实</w:t>
      </w:r>
      <w:r>
        <w:rPr>
          <w:rFonts w:hint="eastAsia"/>
        </w:rPr>
        <w:t>“花园云”联合创新实验室</w:t>
      </w:r>
      <w:r>
        <w:rPr>
          <w:rFonts w:hint="eastAsia"/>
          <w:b/>
          <w:bCs/>
        </w:rPr>
        <w:t>“四法”机制</w:t>
      </w:r>
      <w:r>
        <w:rPr>
          <w:rFonts w:hint="eastAsia"/>
          <w:b/>
          <w:bCs/>
          <w:vertAlign w:val="superscript"/>
          <w:lang w:val="en-US" w:eastAsia="zh-CN"/>
        </w:rPr>
        <w:t>12</w:t>
      </w:r>
      <w:r>
        <w:rPr>
          <w:rFonts w:hint="eastAsia"/>
          <w:b w:val="0"/>
          <w:bCs w:val="0"/>
        </w:rPr>
        <w:t>，</w:t>
      </w:r>
      <w:r>
        <w:rPr>
          <w:rFonts w:hint="eastAsia"/>
        </w:rPr>
        <w:t>制定科学的项目评价体系，实现项目经费与绩效评价挂钩。</w:t>
      </w:r>
      <w:r>
        <w:rPr>
          <w:rFonts w:hint="eastAsia"/>
          <w:color w:val="auto"/>
          <w:lang w:eastAsia="zh-CN"/>
        </w:rPr>
        <w:t>结合“一地创新、全省共享”机制，构建全市应用</w:t>
      </w:r>
      <w:r>
        <w:rPr>
          <w:rFonts w:hint="eastAsia"/>
          <w:color w:val="auto"/>
        </w:rPr>
        <w:t>复制推广模式。</w:t>
      </w:r>
    </w:p>
    <w:p>
      <w:pPr>
        <w:pStyle w:val="3"/>
        <w:numPr>
          <w:ilvl w:val="1"/>
          <w:numId w:val="0"/>
        </w:numPr>
        <w:ind w:firstLine="643" w:firstLineChars="200"/>
        <w:rPr>
          <w:rFonts w:hint="eastAsia" w:ascii="楷体" w:hAnsi="楷体" w:eastAsia="楷体" w:cs="楷体"/>
        </w:rPr>
      </w:pPr>
      <w:bookmarkStart w:id="28" w:name="_Toc85210010"/>
      <w:r>
        <w:rPr>
          <w:rFonts w:hint="eastAsia" w:ascii="楷体" w:hAnsi="楷体" w:eastAsia="楷体" w:cs="楷体"/>
          <w:lang w:val="en"/>
        </w:rPr>
        <w:t>（四）</w:t>
      </w:r>
      <w:r>
        <w:rPr>
          <w:rFonts w:hint="eastAsia" w:ascii="楷体" w:hAnsi="楷体" w:eastAsia="楷体" w:cs="楷体"/>
        </w:rPr>
        <w:t>健全制度规范</w:t>
      </w:r>
      <w:bookmarkEnd w:id="28"/>
    </w:p>
    <w:p>
      <w:r>
        <w:rPr>
          <w:rFonts w:hint="eastAsia"/>
        </w:rPr>
        <w:t>健全数字政府建设部门联席会议、“首席数据官”“数据专员”、专家委员会等制度，实行实名备案登记制、数据专员A</w:t>
      </w:r>
      <w:r>
        <w:t>B</w:t>
      </w:r>
      <w:r>
        <w:rPr>
          <w:rFonts w:hint="eastAsia"/>
        </w:rPr>
        <w:t>岗，推动形成部门合力、多元参与的数字政府建设与运行生态。健全数据共享和开放制度，促进数据流动和高效应用，加强数据安全和个人信息保护，形成公共数据资源市场化配置机制。构建数字政府建设标准体系，加快制定出台数据标准、政务服务标准、应用技术标准、基础设施标准、运行管理标准、数据安全标准等，推动标准实施和监督管理。</w:t>
      </w:r>
    </w:p>
    <w:p>
      <w:pPr>
        <w:pStyle w:val="3"/>
        <w:numPr>
          <w:ilvl w:val="1"/>
          <w:numId w:val="0"/>
        </w:numPr>
        <w:ind w:firstLine="643" w:firstLineChars="200"/>
        <w:rPr>
          <w:rFonts w:hint="eastAsia" w:ascii="楷体" w:hAnsi="楷体" w:eastAsia="楷体" w:cs="楷体"/>
        </w:rPr>
      </w:pPr>
      <w:bookmarkStart w:id="29" w:name="_Toc85210011"/>
      <w:r>
        <w:rPr>
          <w:rFonts w:hint="eastAsia" w:ascii="楷体" w:hAnsi="楷体" w:eastAsia="楷体" w:cs="楷体"/>
          <w:lang w:val="en"/>
        </w:rPr>
        <w:t>（五）</w:t>
      </w:r>
      <w:r>
        <w:rPr>
          <w:rFonts w:hint="eastAsia" w:ascii="楷体" w:hAnsi="楷体" w:eastAsia="楷体" w:cs="楷体"/>
        </w:rPr>
        <w:t>完善评价机制</w:t>
      </w:r>
      <w:bookmarkEnd w:id="29"/>
    </w:p>
    <w:p>
      <w:pPr>
        <w:sectPr>
          <w:pgSz w:w="11906" w:h="16838"/>
          <w:pgMar w:top="1440" w:right="1800" w:bottom="1440" w:left="1800" w:header="851" w:footer="992" w:gutter="0"/>
          <w:cols w:space="425" w:num="1"/>
          <w:docGrid w:type="lines" w:linePitch="312" w:charSpace="0"/>
        </w:sectPr>
      </w:pPr>
      <w:r>
        <w:rPr>
          <w:rFonts w:hint="eastAsia"/>
        </w:rPr>
        <w:t>围绕数据赋能</w:t>
      </w:r>
      <w:r>
        <w:rPr>
          <w:rFonts w:hint="eastAsia"/>
          <w:lang w:eastAsia="zh-CN"/>
        </w:rPr>
        <w:t>、流程再造</w:t>
      </w:r>
      <w:r>
        <w:rPr>
          <w:rFonts w:hint="eastAsia"/>
        </w:rPr>
        <w:t>和制度重塑等要求，建立科学合理的数字政府</w:t>
      </w:r>
      <w:r>
        <w:rPr>
          <w:rFonts w:hint="eastAsia"/>
          <w:lang w:eastAsia="zh-CN"/>
        </w:rPr>
        <w:t>建设</w:t>
      </w:r>
      <w:r>
        <w:rPr>
          <w:rFonts w:hint="eastAsia"/>
        </w:rPr>
        <w:t>评价体系。</w:t>
      </w:r>
      <w:r>
        <w:rPr>
          <w:rFonts w:hint="eastAsia"/>
          <w:lang w:eastAsia="zh-CN"/>
        </w:rPr>
        <w:t>落实</w:t>
      </w:r>
      <w:r>
        <w:rPr>
          <w:rFonts w:hint="eastAsia"/>
        </w:rPr>
        <w:t>专项</w:t>
      </w:r>
      <w:r>
        <w:rPr>
          <w:rFonts w:hint="eastAsia"/>
          <w:lang w:eastAsia="zh-CN"/>
        </w:rPr>
        <w:t>工作定期晾晒、跟进、整改机制</w:t>
      </w:r>
      <w:r>
        <w:rPr>
          <w:rFonts w:hint="eastAsia"/>
        </w:rPr>
        <w:t>。建立可量化、可评估的数字政府综合绩效评价体系。加强第三方评估、社会监督评价，</w:t>
      </w:r>
      <w:r>
        <w:rPr>
          <w:rFonts w:hint="eastAsia"/>
          <w:lang w:eastAsia="zh-CN"/>
        </w:rPr>
        <w:t>持续</w:t>
      </w:r>
      <w:r>
        <w:rPr>
          <w:rFonts w:hint="eastAsia"/>
        </w:rPr>
        <w:t>提升数字政府应用效能和</w:t>
      </w:r>
      <w:r>
        <w:rPr>
          <w:rFonts w:hint="eastAsia"/>
          <w:lang w:eastAsia="zh-CN"/>
        </w:rPr>
        <w:t>群众</w:t>
      </w:r>
      <w:r>
        <w:rPr>
          <w:rFonts w:hint="eastAsia"/>
        </w:rPr>
        <w:t>满意度水平。开展</w:t>
      </w:r>
      <w:r>
        <w:rPr>
          <w:rFonts w:hint="eastAsia"/>
          <w:lang w:eastAsia="zh-CN"/>
        </w:rPr>
        <w:t>专项</w:t>
      </w:r>
      <w:r>
        <w:rPr>
          <w:rFonts w:hint="eastAsia"/>
        </w:rPr>
        <w:t>检查和经验交流活动，推广典型应用，</w:t>
      </w:r>
      <w:r>
        <w:rPr>
          <w:rFonts w:hint="eastAsia"/>
          <w:lang w:eastAsia="zh-CN"/>
        </w:rPr>
        <w:t>复制最佳实践，</w:t>
      </w:r>
      <w:r>
        <w:rPr>
          <w:rFonts w:hint="eastAsia"/>
        </w:rPr>
        <w:t>鼓励基层创新。</w:t>
      </w:r>
    </w:p>
    <w:p>
      <w:pPr>
        <w:pStyle w:val="2"/>
        <w:numPr>
          <w:ilvl w:val="0"/>
          <w:numId w:val="0"/>
        </w:numPr>
        <w:jc w:val="both"/>
        <w:rPr>
          <w:rFonts w:hint="eastAsia"/>
          <w:color w:val="auto"/>
        </w:rPr>
      </w:pPr>
      <w:bookmarkStart w:id="30" w:name="_Toc75882006"/>
      <w:bookmarkStart w:id="31" w:name="_Toc85210012"/>
      <w:r>
        <w:rPr>
          <w:rFonts w:hint="eastAsia" w:ascii="黑体" w:hAnsi="黑体" w:eastAsia="黑体" w:cs="黑体"/>
          <w:b w:val="0"/>
          <w:bCs w:val="0"/>
          <w:color w:val="auto"/>
        </w:rPr>
        <w:t>附</w:t>
      </w:r>
      <w:bookmarkEnd w:id="30"/>
      <w:r>
        <w:rPr>
          <w:rFonts w:hint="eastAsia" w:ascii="黑体" w:hAnsi="黑体" w:eastAsia="黑体" w:cs="黑体"/>
          <w:b w:val="0"/>
          <w:bCs w:val="0"/>
          <w:color w:val="auto"/>
          <w:lang w:eastAsia="zh-CN"/>
        </w:rPr>
        <w:t>件</w:t>
      </w:r>
    </w:p>
    <w:p>
      <w:pPr>
        <w:pStyle w:val="2"/>
        <w:numPr>
          <w:ilvl w:val="0"/>
          <w:numId w:val="0"/>
        </w:num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名词解释</w:t>
      </w:r>
      <w:bookmarkEnd w:id="31"/>
    </w:p>
    <w:p>
      <w:pPr>
        <w:pStyle w:val="32"/>
        <w:numPr>
          <w:ilvl w:val="0"/>
          <w:numId w:val="0"/>
        </w:numPr>
        <w:ind w:firstLine="643" w:firstLineChars="200"/>
      </w:pPr>
      <w:r>
        <w:rPr>
          <w:rFonts w:hint="eastAsia"/>
          <w:b/>
          <w:bCs/>
          <w:lang w:val="en-US" w:eastAsia="zh-CN"/>
        </w:rPr>
        <w:t>1.</w:t>
      </w:r>
      <w:r>
        <w:rPr>
          <w:rFonts w:hint="eastAsia"/>
          <w:b/>
          <w:bCs/>
        </w:rPr>
        <w:t>“1</w:t>
      </w:r>
      <w:r>
        <w:rPr>
          <w:b/>
          <w:bCs/>
        </w:rPr>
        <w:t>3251</w:t>
      </w:r>
      <w:r>
        <w:rPr>
          <w:rFonts w:hint="eastAsia"/>
          <w:b/>
          <w:bCs/>
        </w:rPr>
        <w:t>”重点工作：</w:t>
      </w:r>
      <w:r>
        <w:rPr>
          <w:rFonts w:hint="eastAsia"/>
        </w:rPr>
        <w:t>即做好公共数据和电子政务发展“十四五”规划这“</w:t>
      </w:r>
      <w:r>
        <w:t>1”大规划，聚焦掌上办公、掌上办事和“互联网+监管”这“3”大工程，争取省级试点和谋划好本地数字化治理典型应用这“2”大类项目，做好“花园云”、数据中心、基层治理四平台和云、网整合“5”大数转支撑，抓好数转这“1”大关键队伍建设。</w:t>
      </w:r>
    </w:p>
    <w:p>
      <w:pPr>
        <w:pStyle w:val="32"/>
        <w:numPr>
          <w:ilvl w:val="0"/>
          <w:numId w:val="0"/>
        </w:numPr>
        <w:ind w:firstLine="643" w:firstLineChars="200"/>
      </w:pPr>
      <w:r>
        <w:rPr>
          <w:rFonts w:hint="eastAsia"/>
          <w:b/>
          <w:bCs/>
          <w:lang w:val="en-US" w:eastAsia="zh-CN"/>
        </w:rPr>
        <w:t>2.</w:t>
      </w:r>
      <w:r>
        <w:rPr>
          <w:rFonts w:hint="eastAsia"/>
          <w:b/>
          <w:bCs/>
        </w:rPr>
        <w:t>“护绿出新”子场景:</w:t>
      </w:r>
      <w:r>
        <w:rPr>
          <w:rFonts w:hint="eastAsia"/>
        </w:rPr>
        <w:t>包括生态环境保护类（大气监测预警、水质监测预警、土壤环境监测预警、固废监测预警、自然保护地监测预警）和自然资源监测类（森林火险监测预警、地质灾害监测预警、非法采矿监测、违法违规建筑监测、生态保护红线监测、“云耕保”）。</w:t>
      </w:r>
    </w:p>
    <w:p>
      <w:pPr>
        <w:pStyle w:val="32"/>
        <w:numPr>
          <w:ilvl w:val="0"/>
          <w:numId w:val="0"/>
        </w:numPr>
        <w:ind w:firstLine="643" w:firstLineChars="200"/>
      </w:pPr>
      <w:r>
        <w:rPr>
          <w:rFonts w:hint="eastAsia"/>
          <w:b/>
          <w:bCs/>
          <w:lang w:val="en-US" w:eastAsia="zh-CN"/>
        </w:rPr>
        <w:t>3.</w:t>
      </w:r>
      <w:r>
        <w:rPr>
          <w:rFonts w:hint="eastAsia"/>
          <w:b/>
          <w:bCs/>
        </w:rPr>
        <w:t>“点绿成金”子场景:</w:t>
      </w:r>
      <w:r>
        <w:rPr>
          <w:rFonts w:hint="eastAsia"/>
        </w:rPr>
        <w:t>围绕破解生态产品价值“难度量、难抵押、难交易、难变现”问题，目前已上线</w:t>
      </w:r>
      <w:r>
        <w:t>GEP核算“一键算”，并</w:t>
      </w:r>
      <w:r>
        <w:rPr>
          <w:rFonts w:hint="eastAsia"/>
          <w:lang w:eastAsia="zh-CN"/>
        </w:rPr>
        <w:t>将</w:t>
      </w:r>
      <w:r>
        <w:t>探索实践GEP健康码“一码清”、GEP交易“一点通”、GEP“信易贷”、GEP“山字经”（山耕、山居、山景、山泉）等</w:t>
      </w:r>
      <w:r>
        <w:rPr>
          <w:rFonts w:hint="eastAsia"/>
          <w:color w:val="auto"/>
          <w:u w:val="none"/>
          <w:lang w:eastAsia="zh-CN"/>
        </w:rPr>
        <w:t>应用</w:t>
      </w:r>
      <w:r>
        <w:rPr>
          <w:rFonts w:hint="eastAsia"/>
        </w:rPr>
        <w:t>。</w:t>
      </w:r>
    </w:p>
    <w:p>
      <w:pPr>
        <w:pStyle w:val="32"/>
        <w:numPr>
          <w:ilvl w:val="0"/>
          <w:numId w:val="0"/>
        </w:numPr>
        <w:ind w:firstLine="643" w:firstLineChars="200"/>
      </w:pPr>
      <w:r>
        <w:rPr>
          <w:rFonts w:hint="eastAsia"/>
          <w:b/>
          <w:bCs/>
          <w:lang w:val="en-US" w:eastAsia="zh-CN"/>
        </w:rPr>
        <w:t>4.</w:t>
      </w:r>
      <w:r>
        <w:rPr>
          <w:rFonts w:hint="eastAsia"/>
          <w:b/>
          <w:bCs/>
        </w:rPr>
        <w:t>两个较快增长：</w:t>
      </w:r>
      <w:r>
        <w:t>GDP和GEP规模总量</w:t>
      </w:r>
      <w:r>
        <w:rPr>
          <w:rFonts w:hint="eastAsia"/>
        </w:rPr>
        <w:t>协同较快增长、</w:t>
      </w:r>
      <w:r>
        <w:t>相互之间转化效率持续较快增长</w:t>
      </w:r>
      <w:r>
        <w:rPr>
          <w:rFonts w:hint="eastAsia"/>
        </w:rPr>
        <w:t>。</w:t>
      </w:r>
    </w:p>
    <w:p>
      <w:pPr>
        <w:pStyle w:val="32"/>
        <w:numPr>
          <w:ilvl w:val="0"/>
          <w:numId w:val="0"/>
        </w:numPr>
        <w:ind w:firstLine="643" w:firstLineChars="200"/>
      </w:pPr>
      <w:r>
        <w:rPr>
          <w:rFonts w:hint="eastAsia"/>
          <w:b/>
          <w:bCs/>
          <w:lang w:val="en-US" w:eastAsia="zh-CN"/>
        </w:rPr>
        <w:t>5.</w:t>
      </w:r>
      <w:r>
        <w:rPr>
          <w:b/>
          <w:bCs/>
        </w:rPr>
        <w:t>“</w:t>
      </w:r>
      <w:r>
        <w:rPr>
          <w:rFonts w:hint="eastAsia"/>
          <w:b/>
          <w:bCs/>
        </w:rPr>
        <w:t>五位一体”总体布局：</w:t>
      </w:r>
      <w:r>
        <w:rPr>
          <w:rFonts w:hint="eastAsia"/>
        </w:rPr>
        <w:t>经济建设、政治建设、文化建设、社会建设和生态文明建设。</w:t>
      </w:r>
    </w:p>
    <w:p>
      <w:pPr>
        <w:pStyle w:val="32"/>
        <w:numPr>
          <w:ilvl w:val="0"/>
          <w:numId w:val="0"/>
        </w:numPr>
        <w:ind w:firstLine="643" w:firstLineChars="200"/>
      </w:pPr>
      <w:r>
        <w:rPr>
          <w:rFonts w:hint="eastAsia"/>
          <w:b/>
          <w:bCs/>
          <w:lang w:val="en-US" w:eastAsia="zh-CN"/>
        </w:rPr>
        <w:t>6.</w:t>
      </w:r>
      <w:r>
        <w:rPr>
          <w:b/>
          <w:bCs/>
        </w:rPr>
        <w:t>12个有:</w:t>
      </w:r>
      <w:r>
        <w:rPr>
          <w:rFonts w:hint="eastAsia"/>
        </w:rPr>
        <w:t>幼有所育、学有所教、劳有所得、住有所居、文有所化、体有所健、游有所乐、病有所医、老有所养、弱有所扶、行有所畅、事有所便。</w:t>
      </w:r>
    </w:p>
    <w:p>
      <w:pPr>
        <w:pStyle w:val="32"/>
        <w:numPr>
          <w:ilvl w:val="0"/>
          <w:numId w:val="0"/>
        </w:numPr>
        <w:ind w:firstLine="643" w:firstLineChars="200"/>
      </w:pPr>
      <w:r>
        <w:rPr>
          <w:rFonts w:hint="eastAsia"/>
          <w:b/>
          <w:bCs/>
          <w:lang w:val="en-US" w:eastAsia="zh-CN"/>
        </w:rPr>
        <w:t>7.GEP“</w:t>
      </w:r>
      <w:r>
        <w:rPr>
          <w:rFonts w:hint="eastAsia"/>
          <w:b/>
          <w:bCs/>
        </w:rPr>
        <w:t>六进</w:t>
      </w:r>
      <w:r>
        <w:rPr>
          <w:rFonts w:hint="eastAsia"/>
          <w:b/>
          <w:bCs/>
          <w:lang w:val="en-US" w:eastAsia="zh-CN"/>
        </w:rPr>
        <w:t>”</w:t>
      </w:r>
      <w:r>
        <w:rPr>
          <w:rFonts w:hint="eastAsia"/>
          <w:b/>
          <w:bCs/>
        </w:rPr>
        <w:t>：</w:t>
      </w:r>
      <w:r>
        <w:rPr>
          <w:rFonts w:hint="eastAsia"/>
        </w:rPr>
        <w:t>进规划、</w:t>
      </w:r>
      <w:r>
        <w:t>进决策、进项目、</w:t>
      </w:r>
      <w:r>
        <w:rPr>
          <w:rFonts w:hint="eastAsia"/>
        </w:rPr>
        <w:t>进交易、</w:t>
      </w:r>
      <w:r>
        <w:t>进监测、进考核</w:t>
      </w:r>
      <w:r>
        <w:rPr>
          <w:rFonts w:hint="eastAsia"/>
        </w:rPr>
        <w:t>。</w:t>
      </w:r>
    </w:p>
    <w:p>
      <w:pPr>
        <w:pStyle w:val="32"/>
        <w:numPr>
          <w:ilvl w:val="0"/>
          <w:numId w:val="0"/>
        </w:numPr>
        <w:ind w:firstLine="643" w:firstLineChars="200"/>
      </w:pPr>
      <w:r>
        <w:rPr>
          <w:rFonts w:hint="eastAsia"/>
          <w:b/>
          <w:bCs/>
          <w:lang w:val="en-US" w:eastAsia="zh-CN"/>
        </w:rPr>
        <w:t>8.</w:t>
      </w:r>
      <w:r>
        <w:rPr>
          <w:rFonts w:hint="eastAsia"/>
          <w:b/>
          <w:bCs/>
        </w:rPr>
        <w:t>三线一单:</w:t>
      </w:r>
      <w:r>
        <w:rPr>
          <w:rFonts w:hint="eastAsia"/>
        </w:rPr>
        <w:t>生态保护红线、环境质量底线、资源利用上线和生态环境准入清单。</w:t>
      </w:r>
    </w:p>
    <w:p>
      <w:pPr>
        <w:pStyle w:val="32"/>
        <w:numPr>
          <w:ilvl w:val="0"/>
          <w:numId w:val="0"/>
        </w:numPr>
        <w:ind w:firstLine="643" w:firstLineChars="200"/>
      </w:pPr>
      <w:r>
        <w:rPr>
          <w:rFonts w:hint="eastAsia"/>
          <w:b/>
          <w:bCs/>
          <w:lang w:val="en-US" w:eastAsia="zh-CN"/>
        </w:rPr>
        <w:t>9.</w:t>
      </w:r>
      <w:r>
        <w:rPr>
          <w:rFonts w:hint="eastAsia"/>
          <w:b/>
          <w:bCs/>
        </w:rPr>
        <w:t>一带三区：</w:t>
      </w:r>
      <w:r>
        <w:rPr>
          <w:rFonts w:hint="eastAsia"/>
        </w:rPr>
        <w:t>“一带”，即市域发展核心带，包括莲都、青田、缙云</w:t>
      </w:r>
      <w:r>
        <w:t>3个县（区）和丽水经济技术开发区；“三区”，即特色发展示范区，分别由龙泉庆元、遂昌松阳、云和景宁等西部6个县（市）组成。</w:t>
      </w:r>
    </w:p>
    <w:p>
      <w:pPr>
        <w:pStyle w:val="32"/>
        <w:numPr>
          <w:ilvl w:val="0"/>
          <w:numId w:val="0"/>
        </w:numPr>
        <w:ind w:firstLine="643" w:firstLineChars="200"/>
      </w:pPr>
      <w:r>
        <w:rPr>
          <w:rFonts w:hint="eastAsia"/>
          <w:b/>
          <w:bCs/>
          <w:lang w:val="en-US" w:eastAsia="zh-CN"/>
        </w:rPr>
        <w:t>10.</w:t>
      </w:r>
      <w:r>
        <w:rPr>
          <w:rFonts w:hint="eastAsia"/>
          <w:b/>
          <w:bCs/>
        </w:rPr>
        <w:t>三张清单：</w:t>
      </w:r>
      <w:r>
        <w:rPr>
          <w:rFonts w:hint="eastAsia"/>
        </w:rPr>
        <w:t>需求清单、多跨场景应用清单、改革事项清单。</w:t>
      </w:r>
    </w:p>
    <w:p>
      <w:pPr>
        <w:pStyle w:val="32"/>
        <w:numPr>
          <w:ilvl w:val="0"/>
          <w:numId w:val="0"/>
        </w:numPr>
        <w:ind w:firstLine="643" w:firstLineChars="200"/>
      </w:pPr>
      <w:r>
        <w:rPr>
          <w:rFonts w:hint="eastAsia"/>
          <w:b/>
          <w:bCs/>
          <w:lang w:val="en-US" w:eastAsia="zh-CN"/>
        </w:rPr>
        <w:t>11.</w:t>
      </w:r>
      <w:r>
        <w:rPr>
          <w:b/>
          <w:bCs/>
        </w:rPr>
        <w:t>IRS</w:t>
      </w:r>
      <w:r>
        <w:rPr>
          <w:rFonts w:hint="eastAsia"/>
          <w:b/>
          <w:bCs/>
        </w:rPr>
        <w:t>：</w:t>
      </w:r>
      <w:r>
        <w:rPr>
          <w:rFonts w:hint="eastAsia"/>
        </w:rPr>
        <w:t>浙江省一体化数字资源系统。</w:t>
      </w:r>
    </w:p>
    <w:p>
      <w:pPr>
        <w:pStyle w:val="32"/>
        <w:numPr>
          <w:ilvl w:val="0"/>
          <w:numId w:val="0"/>
        </w:numPr>
        <w:ind w:firstLine="643" w:firstLineChars="200"/>
      </w:pPr>
      <w:r>
        <w:rPr>
          <w:rFonts w:hint="eastAsia"/>
          <w:b/>
          <w:bCs/>
          <w:lang w:val="en-US" w:eastAsia="zh-CN"/>
        </w:rPr>
        <w:t>12.</w:t>
      </w:r>
      <w:r>
        <w:rPr>
          <w:rFonts w:hint="eastAsia"/>
          <w:b/>
          <w:bCs/>
        </w:rPr>
        <w:t>“四法”机制：</w:t>
      </w:r>
      <w:r>
        <w:rPr>
          <w:rFonts w:hint="eastAsia"/>
        </w:rPr>
        <w:t>部门提“想法”</w:t>
      </w:r>
      <w:r>
        <w:rPr>
          <w:rFonts w:hint="eastAsia"/>
          <w:lang w:eastAsia="zh-CN"/>
        </w:rPr>
        <w:t>，</w:t>
      </w:r>
      <w:r>
        <w:rPr>
          <w:rFonts w:hint="eastAsia"/>
        </w:rPr>
        <w:t>实验室提“办法”</w:t>
      </w:r>
      <w:r>
        <w:rPr>
          <w:rFonts w:hint="eastAsia"/>
          <w:lang w:eastAsia="zh-CN"/>
        </w:rPr>
        <w:t>，</w:t>
      </w:r>
      <w:r>
        <w:rPr>
          <w:rFonts w:hint="eastAsia"/>
        </w:rPr>
        <w:t>技术公司出“算法”</w:t>
      </w:r>
      <w:r>
        <w:rPr>
          <w:rFonts w:hint="eastAsia"/>
          <w:lang w:eastAsia="zh-CN"/>
        </w:rPr>
        <w:t>，</w:t>
      </w:r>
      <w:r>
        <w:rPr>
          <w:rFonts w:hint="eastAsia"/>
        </w:rPr>
        <w:t>总结提升为好“做法”。</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AAB505-2F89-4FD4-B934-30E12C5A7F0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2" w:fontKey="{857F3911-623D-4B1E-9853-26837FD3846F}"/>
  </w:font>
  <w:font w:name="仿宋">
    <w:panose1 w:val="02010609060101010101"/>
    <w:charset w:val="86"/>
    <w:family w:val="modern"/>
    <w:pitch w:val="default"/>
    <w:sig w:usb0="800002BF" w:usb1="38CF7CFA" w:usb2="00000016" w:usb3="00000000" w:csb0="00040001" w:csb1="00000000"/>
    <w:embedRegular r:id="rId3" w:fontKey="{05ADF31E-C554-438E-B510-EDEC54F409AF}"/>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4" w:fontKey="{EB8D9467-EB6B-4B36-8595-62537DBA370A}"/>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5" w:fontKey="{03519EE7-DB9D-4392-A02C-962EE28E6C34}"/>
  </w:font>
  <w:font w:name="楷体">
    <w:panose1 w:val="02010609060101010101"/>
    <w:charset w:val="86"/>
    <w:family w:val="auto"/>
    <w:pitch w:val="default"/>
    <w:sig w:usb0="800002BF" w:usb1="38CF7CFA" w:usb2="00000016" w:usb3="00000000" w:csb0="00040001" w:csb1="00000000"/>
    <w:embedRegular r:id="rId6" w:fontKey="{3458D11B-F47C-4739-942B-0183511F08E9}"/>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1"/>
      </w:rPr>
      <w:id w:val="1012886332"/>
      <w:docPartObj>
        <w:docPartGallery w:val="autotext"/>
      </w:docPartObj>
    </w:sdtPr>
    <w:sdtEndPr>
      <w:rPr>
        <w:rStyle w:val="21"/>
      </w:rPr>
    </w:sdtEndPr>
    <w:sdtContent>
      <w:p>
        <w:pPr>
          <w:pStyle w:val="10"/>
          <w:ind w:firstLine="360"/>
          <w:rPr>
            <w:rStyle w:val="21"/>
          </w:rPr>
        </w:pPr>
        <w:r>
          <w:rPr>
            <w:rStyle w:val="21"/>
          </w:rPr>
          <w:fldChar w:fldCharType="begin"/>
        </w:r>
        <w:r>
          <w:rPr>
            <w:rStyle w:val="21"/>
          </w:rPr>
          <w:instrText xml:space="preserve"> PAGE </w:instrText>
        </w:r>
        <w:r>
          <w:rPr>
            <w:rStyle w:val="21"/>
          </w:rPr>
          <w:fldChar w:fldCharType="end"/>
        </w:r>
      </w:p>
    </w:sdtContent>
  </w:sdt>
  <w:sdt>
    <w:sdtPr>
      <w:rPr>
        <w:rStyle w:val="21"/>
      </w:rPr>
      <w:id w:val="922692729"/>
      <w:docPartObj>
        <w:docPartGallery w:val="autotext"/>
      </w:docPartObj>
    </w:sdtPr>
    <w:sdtEndPr>
      <w:rPr>
        <w:rStyle w:val="21"/>
      </w:rPr>
    </w:sdtEndPr>
    <w:sdtContent>
      <w:p>
        <w:pPr>
          <w:pStyle w:val="10"/>
          <w:ind w:firstLine="360"/>
          <w:rPr>
            <w:rStyle w:val="21"/>
          </w:rPr>
        </w:pPr>
        <w:r>
          <w:rPr>
            <w:rStyle w:val="21"/>
          </w:rPr>
          <w:fldChar w:fldCharType="begin"/>
        </w:r>
        <w:r>
          <w:rPr>
            <w:rStyle w:val="21"/>
          </w:rPr>
          <w:instrText xml:space="preserve"> PAGE </w:instrText>
        </w:r>
        <w:r>
          <w:rPr>
            <w:rStyle w:val="21"/>
          </w:rPr>
          <w:fldChar w:fldCharType="end"/>
        </w:r>
      </w:p>
    </w:sdtContent>
  </w:sdt>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1"/>
      </w:rPr>
      <w:id w:val="2087640877"/>
      <w:docPartObj>
        <w:docPartGallery w:val="autotext"/>
      </w:docPartObj>
    </w:sdtPr>
    <w:sdtEndPr>
      <w:rPr>
        <w:rStyle w:val="21"/>
        <w:sz w:val="20"/>
        <w:szCs w:val="20"/>
      </w:rPr>
    </w:sdtEndPr>
    <w:sdtContent>
      <w:p>
        <w:pPr>
          <w:pStyle w:val="10"/>
          <w:ind w:firstLine="360"/>
          <w:jc w:val="center"/>
          <w:rPr>
            <w:sz w:val="20"/>
            <w:szCs w:val="20"/>
          </w:rPr>
        </w:pPr>
        <w:r>
          <w:rPr>
            <w:rStyle w:val="21"/>
            <w:sz w:val="20"/>
            <w:szCs w:val="20"/>
          </w:rPr>
          <w:fldChar w:fldCharType="begin"/>
        </w:r>
        <w:r>
          <w:rPr>
            <w:rStyle w:val="21"/>
            <w:sz w:val="20"/>
            <w:szCs w:val="20"/>
          </w:rPr>
          <w:instrText xml:space="preserve"> PAGE </w:instrText>
        </w:r>
        <w:r>
          <w:rPr>
            <w:rStyle w:val="21"/>
            <w:sz w:val="20"/>
            <w:szCs w:val="20"/>
          </w:rPr>
          <w:fldChar w:fldCharType="separate"/>
        </w:r>
        <w:r>
          <w:rPr>
            <w:rStyle w:val="21"/>
            <w:sz w:val="20"/>
            <w:szCs w:val="20"/>
          </w:rPr>
          <w:t>1</w:t>
        </w:r>
        <w:r>
          <w:rPr>
            <w:rStyle w:val="21"/>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1"/>
      </w:rPr>
      <w:id w:val="857624186"/>
      <w:docPartObj>
        <w:docPartGallery w:val="autotext"/>
      </w:docPartObj>
    </w:sdtPr>
    <w:sdtEndPr>
      <w:rPr>
        <w:rStyle w:val="21"/>
        <w:sz w:val="20"/>
        <w:szCs w:val="20"/>
      </w:rPr>
    </w:sdtEndPr>
    <w:sdtContent>
      <w:p>
        <w:pPr>
          <w:pStyle w:val="10"/>
          <w:ind w:firstLine="360"/>
          <w:jc w:val="center"/>
          <w:rPr>
            <w:sz w:val="20"/>
            <w:szCs w:val="20"/>
          </w:rPr>
        </w:pPr>
        <w:r>
          <w:rPr>
            <w:rStyle w:val="21"/>
            <w:sz w:val="20"/>
            <w:szCs w:val="20"/>
          </w:rPr>
          <w:fldChar w:fldCharType="begin"/>
        </w:r>
        <w:r>
          <w:rPr>
            <w:rStyle w:val="21"/>
            <w:sz w:val="20"/>
            <w:szCs w:val="20"/>
          </w:rPr>
          <w:instrText xml:space="preserve"> PAGE </w:instrText>
        </w:r>
        <w:r>
          <w:rPr>
            <w:rStyle w:val="21"/>
            <w:sz w:val="20"/>
            <w:szCs w:val="20"/>
          </w:rPr>
          <w:fldChar w:fldCharType="separate"/>
        </w:r>
        <w:r>
          <w:rPr>
            <w:rStyle w:val="21"/>
            <w:sz w:val="20"/>
            <w:szCs w:val="20"/>
          </w:rPr>
          <w:t>1</w:t>
        </w:r>
        <w:r>
          <w:rPr>
            <w:rStyle w:val="21"/>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612AD6"/>
    <w:multiLevelType w:val="multilevel"/>
    <w:tmpl w:val="2D612AD6"/>
    <w:lvl w:ilvl="0" w:tentative="0">
      <w:start w:val="1"/>
      <w:numFmt w:val="chineseCountingThousand"/>
      <w:pStyle w:val="2"/>
      <w:suff w:val="space"/>
      <w:lvlText w:val="%1、"/>
      <w:lvlJc w:val="left"/>
      <w:pPr>
        <w:ind w:left="0" w:firstLine="420"/>
      </w:pPr>
      <w:rPr>
        <w:rFonts w:hint="eastAsia"/>
      </w:rPr>
    </w:lvl>
    <w:lvl w:ilvl="1" w:tentative="0">
      <w:start w:val="1"/>
      <w:numFmt w:val="chineseCountingThousand"/>
      <w:pStyle w:val="3"/>
      <w:suff w:val="space"/>
      <w:lvlText w:val="（%2）"/>
      <w:lvlJc w:val="left"/>
      <w:pPr>
        <w:ind w:left="572" w:firstLine="420"/>
      </w:pPr>
      <w:rPr>
        <w:i w:val="0"/>
        <w:iCs w:val="0"/>
        <w:caps w:val="0"/>
        <w:smallCaps w:val="0"/>
        <w:strike w:val="0"/>
        <w:dstrike w:val="0"/>
        <w:outline w:val="0"/>
        <w:shadow w:val="0"/>
        <w:emboss w:val="0"/>
        <w:imprint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4"/>
      <w:suff w:val="space"/>
      <w:lvlText w:val="%3."/>
      <w:lvlJc w:val="left"/>
      <w:pPr>
        <w:ind w:left="0" w:firstLine="420"/>
      </w:pPr>
      <w:rPr>
        <w:rFonts w:hint="eastAsia"/>
      </w:rPr>
    </w:lvl>
    <w:lvl w:ilvl="3" w:tentative="0">
      <w:start w:val="1"/>
      <w:numFmt w:val="decimal"/>
      <w:lvlText w:val="%4."/>
      <w:lvlJc w:val="left"/>
      <w:pPr>
        <w:ind w:left="0" w:firstLine="420"/>
      </w:pPr>
      <w:rPr>
        <w:rFonts w:hint="eastAsia"/>
      </w:rPr>
    </w:lvl>
    <w:lvl w:ilvl="4" w:tentative="0">
      <w:start w:val="1"/>
      <w:numFmt w:val="lowerLetter"/>
      <w:lvlText w:val="%5)"/>
      <w:lvlJc w:val="left"/>
      <w:pPr>
        <w:ind w:left="0" w:firstLine="420"/>
      </w:pPr>
      <w:rPr>
        <w:rFonts w:hint="eastAsia"/>
      </w:rPr>
    </w:lvl>
    <w:lvl w:ilvl="5" w:tentative="0">
      <w:start w:val="1"/>
      <w:numFmt w:val="lowerRoman"/>
      <w:lvlText w:val="%6."/>
      <w:lvlJc w:val="right"/>
      <w:pPr>
        <w:ind w:left="0" w:firstLine="420"/>
      </w:pPr>
      <w:rPr>
        <w:rFonts w:hint="eastAsia"/>
      </w:rPr>
    </w:lvl>
    <w:lvl w:ilvl="6" w:tentative="0">
      <w:start w:val="1"/>
      <w:numFmt w:val="decimal"/>
      <w:lvlText w:val="%7."/>
      <w:lvlJc w:val="left"/>
      <w:pPr>
        <w:ind w:left="0" w:firstLine="420"/>
      </w:pPr>
      <w:rPr>
        <w:rFonts w:hint="eastAsia"/>
      </w:rPr>
    </w:lvl>
    <w:lvl w:ilvl="7" w:tentative="0">
      <w:start w:val="1"/>
      <w:numFmt w:val="lowerLetter"/>
      <w:lvlText w:val="%8)"/>
      <w:lvlJc w:val="left"/>
      <w:pPr>
        <w:ind w:left="0" w:firstLine="420"/>
      </w:pPr>
      <w:rPr>
        <w:rFonts w:hint="eastAsia"/>
      </w:rPr>
    </w:lvl>
    <w:lvl w:ilvl="8" w:tentative="0">
      <w:start w:val="1"/>
      <w:numFmt w:val="lowerRoman"/>
      <w:lvlText w:val="%9."/>
      <w:lvlJc w:val="right"/>
      <w:pPr>
        <w:ind w:left="0" w:firstLine="420"/>
      </w:pPr>
      <w:rPr>
        <w:rFonts w:hint="eastAsia"/>
      </w:rPr>
    </w:lvl>
  </w:abstractNum>
  <w:abstractNum w:abstractNumId="1">
    <w:nsid w:val="45DE1605"/>
    <w:multiLevelType w:val="multilevel"/>
    <w:tmpl w:val="45DE1605"/>
    <w:lvl w:ilvl="0" w:tentative="0">
      <w:start w:val="1"/>
      <w:numFmt w:val="decimal"/>
      <w:lvlText w:val="专栏 %1"/>
      <w:lvlJc w:val="left"/>
      <w:pPr>
        <w:ind w:left="2972"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19"/>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yNTgxNjlhMjdhMjVhYjFhMzg5OWFiZDcwNDY3NDkifQ=="/>
  </w:docVars>
  <w:rsids>
    <w:rsidRoot w:val="00CB74C0"/>
    <w:rsid w:val="00000E38"/>
    <w:rsid w:val="00000F0C"/>
    <w:rsid w:val="00002C1B"/>
    <w:rsid w:val="00002FF4"/>
    <w:rsid w:val="0000323D"/>
    <w:rsid w:val="000032BD"/>
    <w:rsid w:val="000033D6"/>
    <w:rsid w:val="00003A2C"/>
    <w:rsid w:val="00003C50"/>
    <w:rsid w:val="000042AC"/>
    <w:rsid w:val="0001037A"/>
    <w:rsid w:val="0001133C"/>
    <w:rsid w:val="000114A1"/>
    <w:rsid w:val="000121FE"/>
    <w:rsid w:val="0001398D"/>
    <w:rsid w:val="000141C5"/>
    <w:rsid w:val="000154F4"/>
    <w:rsid w:val="000161CA"/>
    <w:rsid w:val="00017075"/>
    <w:rsid w:val="0001758C"/>
    <w:rsid w:val="00017621"/>
    <w:rsid w:val="000179B4"/>
    <w:rsid w:val="00020551"/>
    <w:rsid w:val="0002289C"/>
    <w:rsid w:val="00022CBE"/>
    <w:rsid w:val="00022D3C"/>
    <w:rsid w:val="000232F4"/>
    <w:rsid w:val="00024575"/>
    <w:rsid w:val="000248A1"/>
    <w:rsid w:val="00027BEB"/>
    <w:rsid w:val="00030B61"/>
    <w:rsid w:val="00032540"/>
    <w:rsid w:val="00032C37"/>
    <w:rsid w:val="00033961"/>
    <w:rsid w:val="0003411F"/>
    <w:rsid w:val="000342FC"/>
    <w:rsid w:val="000352A3"/>
    <w:rsid w:val="00036342"/>
    <w:rsid w:val="000364CC"/>
    <w:rsid w:val="00036B64"/>
    <w:rsid w:val="0004277B"/>
    <w:rsid w:val="00042AF1"/>
    <w:rsid w:val="00044A1D"/>
    <w:rsid w:val="000457A0"/>
    <w:rsid w:val="000463B4"/>
    <w:rsid w:val="0004641F"/>
    <w:rsid w:val="00046B39"/>
    <w:rsid w:val="00046F53"/>
    <w:rsid w:val="00050237"/>
    <w:rsid w:val="00051A51"/>
    <w:rsid w:val="00053F8F"/>
    <w:rsid w:val="00054D52"/>
    <w:rsid w:val="00054E74"/>
    <w:rsid w:val="00055938"/>
    <w:rsid w:val="00056ADA"/>
    <w:rsid w:val="00057700"/>
    <w:rsid w:val="00057C66"/>
    <w:rsid w:val="00062F23"/>
    <w:rsid w:val="000633CC"/>
    <w:rsid w:val="000636CB"/>
    <w:rsid w:val="00064855"/>
    <w:rsid w:val="000653E7"/>
    <w:rsid w:val="000654CA"/>
    <w:rsid w:val="000662B6"/>
    <w:rsid w:val="00066593"/>
    <w:rsid w:val="00066F67"/>
    <w:rsid w:val="00067194"/>
    <w:rsid w:val="0007061B"/>
    <w:rsid w:val="00070A51"/>
    <w:rsid w:val="00070E90"/>
    <w:rsid w:val="000715E7"/>
    <w:rsid w:val="0007184C"/>
    <w:rsid w:val="000728AD"/>
    <w:rsid w:val="00072D29"/>
    <w:rsid w:val="00073259"/>
    <w:rsid w:val="00073A48"/>
    <w:rsid w:val="0007443D"/>
    <w:rsid w:val="000748E3"/>
    <w:rsid w:val="00074D64"/>
    <w:rsid w:val="000760CE"/>
    <w:rsid w:val="00076604"/>
    <w:rsid w:val="00077F85"/>
    <w:rsid w:val="00080636"/>
    <w:rsid w:val="00080677"/>
    <w:rsid w:val="00080961"/>
    <w:rsid w:val="00082300"/>
    <w:rsid w:val="0008281C"/>
    <w:rsid w:val="00084EAC"/>
    <w:rsid w:val="000851D1"/>
    <w:rsid w:val="000859EE"/>
    <w:rsid w:val="00085E1E"/>
    <w:rsid w:val="000864EF"/>
    <w:rsid w:val="000875C6"/>
    <w:rsid w:val="000875E8"/>
    <w:rsid w:val="00091354"/>
    <w:rsid w:val="00092D86"/>
    <w:rsid w:val="000949B0"/>
    <w:rsid w:val="000954D4"/>
    <w:rsid w:val="00095846"/>
    <w:rsid w:val="00095BF0"/>
    <w:rsid w:val="00096745"/>
    <w:rsid w:val="00096A3A"/>
    <w:rsid w:val="000971A2"/>
    <w:rsid w:val="000974C5"/>
    <w:rsid w:val="000A0B39"/>
    <w:rsid w:val="000A1465"/>
    <w:rsid w:val="000A2842"/>
    <w:rsid w:val="000A32CD"/>
    <w:rsid w:val="000A3CD1"/>
    <w:rsid w:val="000A4C6D"/>
    <w:rsid w:val="000A4D9D"/>
    <w:rsid w:val="000A4E65"/>
    <w:rsid w:val="000A5721"/>
    <w:rsid w:val="000A5B74"/>
    <w:rsid w:val="000A5EA1"/>
    <w:rsid w:val="000A640D"/>
    <w:rsid w:val="000A6BA1"/>
    <w:rsid w:val="000A7996"/>
    <w:rsid w:val="000A7F55"/>
    <w:rsid w:val="000B03B5"/>
    <w:rsid w:val="000B0B15"/>
    <w:rsid w:val="000B0E53"/>
    <w:rsid w:val="000B1D5E"/>
    <w:rsid w:val="000B2C6E"/>
    <w:rsid w:val="000B36ED"/>
    <w:rsid w:val="000B3D64"/>
    <w:rsid w:val="000B3D67"/>
    <w:rsid w:val="000B4D8D"/>
    <w:rsid w:val="000B50E9"/>
    <w:rsid w:val="000B5627"/>
    <w:rsid w:val="000B5715"/>
    <w:rsid w:val="000B5EF8"/>
    <w:rsid w:val="000B6000"/>
    <w:rsid w:val="000B7CF6"/>
    <w:rsid w:val="000C0999"/>
    <w:rsid w:val="000C0EC5"/>
    <w:rsid w:val="000C1A6A"/>
    <w:rsid w:val="000C29C3"/>
    <w:rsid w:val="000C2AE0"/>
    <w:rsid w:val="000C2B51"/>
    <w:rsid w:val="000C2CD9"/>
    <w:rsid w:val="000C39BA"/>
    <w:rsid w:val="000C4050"/>
    <w:rsid w:val="000C4A5D"/>
    <w:rsid w:val="000C58F1"/>
    <w:rsid w:val="000C6A67"/>
    <w:rsid w:val="000C6AF0"/>
    <w:rsid w:val="000C6AF1"/>
    <w:rsid w:val="000C6C83"/>
    <w:rsid w:val="000C73C1"/>
    <w:rsid w:val="000D096F"/>
    <w:rsid w:val="000D0D39"/>
    <w:rsid w:val="000D1586"/>
    <w:rsid w:val="000D1B3D"/>
    <w:rsid w:val="000D1C7B"/>
    <w:rsid w:val="000D1FE5"/>
    <w:rsid w:val="000D3061"/>
    <w:rsid w:val="000D4041"/>
    <w:rsid w:val="000D4513"/>
    <w:rsid w:val="000D65F4"/>
    <w:rsid w:val="000E0553"/>
    <w:rsid w:val="000E1299"/>
    <w:rsid w:val="000E15E0"/>
    <w:rsid w:val="000E1744"/>
    <w:rsid w:val="000E1A0A"/>
    <w:rsid w:val="000E1E70"/>
    <w:rsid w:val="000E3E26"/>
    <w:rsid w:val="000E4A87"/>
    <w:rsid w:val="000E4BBB"/>
    <w:rsid w:val="000E4C36"/>
    <w:rsid w:val="000E51B8"/>
    <w:rsid w:val="000E7C07"/>
    <w:rsid w:val="000F04FA"/>
    <w:rsid w:val="000F1CEF"/>
    <w:rsid w:val="000F2256"/>
    <w:rsid w:val="000F37A0"/>
    <w:rsid w:val="000F3D10"/>
    <w:rsid w:val="000F5004"/>
    <w:rsid w:val="000F5C43"/>
    <w:rsid w:val="000F6A73"/>
    <w:rsid w:val="000F7C11"/>
    <w:rsid w:val="00101A3B"/>
    <w:rsid w:val="0010233A"/>
    <w:rsid w:val="00103F6C"/>
    <w:rsid w:val="001045B2"/>
    <w:rsid w:val="001048BC"/>
    <w:rsid w:val="00104C32"/>
    <w:rsid w:val="00105B5A"/>
    <w:rsid w:val="00105F36"/>
    <w:rsid w:val="00106747"/>
    <w:rsid w:val="0010683C"/>
    <w:rsid w:val="00107048"/>
    <w:rsid w:val="00107CF9"/>
    <w:rsid w:val="0011013B"/>
    <w:rsid w:val="00110295"/>
    <w:rsid w:val="00110885"/>
    <w:rsid w:val="00113592"/>
    <w:rsid w:val="00115702"/>
    <w:rsid w:val="0011683A"/>
    <w:rsid w:val="001172DF"/>
    <w:rsid w:val="001177BC"/>
    <w:rsid w:val="0011785F"/>
    <w:rsid w:val="001178DD"/>
    <w:rsid w:val="00121000"/>
    <w:rsid w:val="00121246"/>
    <w:rsid w:val="00121A6F"/>
    <w:rsid w:val="0012225B"/>
    <w:rsid w:val="00123296"/>
    <w:rsid w:val="00123512"/>
    <w:rsid w:val="00123721"/>
    <w:rsid w:val="001238A0"/>
    <w:rsid w:val="00123D36"/>
    <w:rsid w:val="00124501"/>
    <w:rsid w:val="00124624"/>
    <w:rsid w:val="0012515E"/>
    <w:rsid w:val="0012570C"/>
    <w:rsid w:val="00126AE6"/>
    <w:rsid w:val="00127648"/>
    <w:rsid w:val="00130672"/>
    <w:rsid w:val="00131065"/>
    <w:rsid w:val="001334A9"/>
    <w:rsid w:val="00137344"/>
    <w:rsid w:val="0014154F"/>
    <w:rsid w:val="001415C1"/>
    <w:rsid w:val="00141A84"/>
    <w:rsid w:val="00142608"/>
    <w:rsid w:val="00142B33"/>
    <w:rsid w:val="00143796"/>
    <w:rsid w:val="00143D63"/>
    <w:rsid w:val="00146386"/>
    <w:rsid w:val="0014651C"/>
    <w:rsid w:val="0015059D"/>
    <w:rsid w:val="001514E1"/>
    <w:rsid w:val="001516FA"/>
    <w:rsid w:val="00151760"/>
    <w:rsid w:val="00151D1A"/>
    <w:rsid w:val="001526C5"/>
    <w:rsid w:val="00152A4A"/>
    <w:rsid w:val="00153FE8"/>
    <w:rsid w:val="001559F5"/>
    <w:rsid w:val="00155D1E"/>
    <w:rsid w:val="00155D37"/>
    <w:rsid w:val="00156623"/>
    <w:rsid w:val="00157627"/>
    <w:rsid w:val="001576AF"/>
    <w:rsid w:val="00160279"/>
    <w:rsid w:val="001606C8"/>
    <w:rsid w:val="0016073D"/>
    <w:rsid w:val="001607DD"/>
    <w:rsid w:val="00161050"/>
    <w:rsid w:val="00163AF8"/>
    <w:rsid w:val="001646DE"/>
    <w:rsid w:val="00164CDD"/>
    <w:rsid w:val="00165F6C"/>
    <w:rsid w:val="001666F1"/>
    <w:rsid w:val="0016775B"/>
    <w:rsid w:val="00167E13"/>
    <w:rsid w:val="001706A3"/>
    <w:rsid w:val="001719CE"/>
    <w:rsid w:val="001720AE"/>
    <w:rsid w:val="00172ABD"/>
    <w:rsid w:val="00174940"/>
    <w:rsid w:val="00175970"/>
    <w:rsid w:val="00175A93"/>
    <w:rsid w:val="00175B2B"/>
    <w:rsid w:val="0017624D"/>
    <w:rsid w:val="00176615"/>
    <w:rsid w:val="001770BB"/>
    <w:rsid w:val="00177F44"/>
    <w:rsid w:val="00180576"/>
    <w:rsid w:val="00181D38"/>
    <w:rsid w:val="001822FE"/>
    <w:rsid w:val="00182A54"/>
    <w:rsid w:val="00182F6E"/>
    <w:rsid w:val="001830D9"/>
    <w:rsid w:val="001832E2"/>
    <w:rsid w:val="00183E25"/>
    <w:rsid w:val="001863A5"/>
    <w:rsid w:val="00187663"/>
    <w:rsid w:val="00190485"/>
    <w:rsid w:val="00190BC9"/>
    <w:rsid w:val="00191857"/>
    <w:rsid w:val="001923F6"/>
    <w:rsid w:val="00192552"/>
    <w:rsid w:val="00193B79"/>
    <w:rsid w:val="00193CA8"/>
    <w:rsid w:val="00194A96"/>
    <w:rsid w:val="00194C2E"/>
    <w:rsid w:val="001950B6"/>
    <w:rsid w:val="0019666E"/>
    <w:rsid w:val="00197447"/>
    <w:rsid w:val="001A1360"/>
    <w:rsid w:val="001A146F"/>
    <w:rsid w:val="001A21A6"/>
    <w:rsid w:val="001A3A5A"/>
    <w:rsid w:val="001A3E64"/>
    <w:rsid w:val="001A43EE"/>
    <w:rsid w:val="001A4531"/>
    <w:rsid w:val="001A48F4"/>
    <w:rsid w:val="001A4E1E"/>
    <w:rsid w:val="001A4E1F"/>
    <w:rsid w:val="001A4FF1"/>
    <w:rsid w:val="001A55EF"/>
    <w:rsid w:val="001A5853"/>
    <w:rsid w:val="001A5ED8"/>
    <w:rsid w:val="001A638C"/>
    <w:rsid w:val="001A723E"/>
    <w:rsid w:val="001B07F7"/>
    <w:rsid w:val="001B0A62"/>
    <w:rsid w:val="001B0B7F"/>
    <w:rsid w:val="001B1388"/>
    <w:rsid w:val="001B1E0C"/>
    <w:rsid w:val="001B4132"/>
    <w:rsid w:val="001B4B06"/>
    <w:rsid w:val="001B6510"/>
    <w:rsid w:val="001B670A"/>
    <w:rsid w:val="001B743F"/>
    <w:rsid w:val="001B7764"/>
    <w:rsid w:val="001C0262"/>
    <w:rsid w:val="001C04B9"/>
    <w:rsid w:val="001C0BF2"/>
    <w:rsid w:val="001C0CD1"/>
    <w:rsid w:val="001C179C"/>
    <w:rsid w:val="001C4781"/>
    <w:rsid w:val="001C496C"/>
    <w:rsid w:val="001C5758"/>
    <w:rsid w:val="001C602B"/>
    <w:rsid w:val="001C6F4F"/>
    <w:rsid w:val="001D041E"/>
    <w:rsid w:val="001D0AB2"/>
    <w:rsid w:val="001D0DFB"/>
    <w:rsid w:val="001D101C"/>
    <w:rsid w:val="001D2761"/>
    <w:rsid w:val="001D2938"/>
    <w:rsid w:val="001D2A6A"/>
    <w:rsid w:val="001D4B28"/>
    <w:rsid w:val="001D5925"/>
    <w:rsid w:val="001D7828"/>
    <w:rsid w:val="001D7FD5"/>
    <w:rsid w:val="001E093D"/>
    <w:rsid w:val="001E1D75"/>
    <w:rsid w:val="001E4BD7"/>
    <w:rsid w:val="001E4D23"/>
    <w:rsid w:val="001E4DD6"/>
    <w:rsid w:val="001E5975"/>
    <w:rsid w:val="001E60E9"/>
    <w:rsid w:val="001E6C00"/>
    <w:rsid w:val="001E7893"/>
    <w:rsid w:val="001F093C"/>
    <w:rsid w:val="001F09EA"/>
    <w:rsid w:val="001F0C58"/>
    <w:rsid w:val="001F3C38"/>
    <w:rsid w:val="001F417C"/>
    <w:rsid w:val="001F55A3"/>
    <w:rsid w:val="001F5A8B"/>
    <w:rsid w:val="001F5C78"/>
    <w:rsid w:val="001F74F0"/>
    <w:rsid w:val="001F79B2"/>
    <w:rsid w:val="002011BE"/>
    <w:rsid w:val="00202009"/>
    <w:rsid w:val="00202047"/>
    <w:rsid w:val="0020237B"/>
    <w:rsid w:val="00202772"/>
    <w:rsid w:val="00202DB7"/>
    <w:rsid w:val="002046E6"/>
    <w:rsid w:val="00204A86"/>
    <w:rsid w:val="00204BFB"/>
    <w:rsid w:val="00205FC3"/>
    <w:rsid w:val="0020606E"/>
    <w:rsid w:val="00206B52"/>
    <w:rsid w:val="0020744C"/>
    <w:rsid w:val="002078DD"/>
    <w:rsid w:val="00207A1F"/>
    <w:rsid w:val="00207A30"/>
    <w:rsid w:val="00210894"/>
    <w:rsid w:val="00211AF9"/>
    <w:rsid w:val="00212A69"/>
    <w:rsid w:val="002132A0"/>
    <w:rsid w:val="0021357B"/>
    <w:rsid w:val="00213AEA"/>
    <w:rsid w:val="002142DC"/>
    <w:rsid w:val="0021463F"/>
    <w:rsid w:val="002153EC"/>
    <w:rsid w:val="0021603E"/>
    <w:rsid w:val="00216067"/>
    <w:rsid w:val="0021637D"/>
    <w:rsid w:val="00216F3B"/>
    <w:rsid w:val="00217687"/>
    <w:rsid w:val="002200BD"/>
    <w:rsid w:val="0022147D"/>
    <w:rsid w:val="002217AF"/>
    <w:rsid w:val="00224257"/>
    <w:rsid w:val="00224313"/>
    <w:rsid w:val="00224F07"/>
    <w:rsid w:val="00225540"/>
    <w:rsid w:val="0022583A"/>
    <w:rsid w:val="00225D72"/>
    <w:rsid w:val="00230482"/>
    <w:rsid w:val="00230877"/>
    <w:rsid w:val="00230C2A"/>
    <w:rsid w:val="00234610"/>
    <w:rsid w:val="00234CFA"/>
    <w:rsid w:val="00235A31"/>
    <w:rsid w:val="00235AB9"/>
    <w:rsid w:val="00236CDF"/>
    <w:rsid w:val="00236E2B"/>
    <w:rsid w:val="00237778"/>
    <w:rsid w:val="00240A5D"/>
    <w:rsid w:val="00241645"/>
    <w:rsid w:val="002430F4"/>
    <w:rsid w:val="00243599"/>
    <w:rsid w:val="00244DB8"/>
    <w:rsid w:val="00246BA1"/>
    <w:rsid w:val="002470E7"/>
    <w:rsid w:val="00247E50"/>
    <w:rsid w:val="0025005D"/>
    <w:rsid w:val="0025084C"/>
    <w:rsid w:val="002508B8"/>
    <w:rsid w:val="00250DBF"/>
    <w:rsid w:val="00251079"/>
    <w:rsid w:val="002510ED"/>
    <w:rsid w:val="002515A1"/>
    <w:rsid w:val="0025367B"/>
    <w:rsid w:val="00253687"/>
    <w:rsid w:val="002538D5"/>
    <w:rsid w:val="0025421E"/>
    <w:rsid w:val="002549D2"/>
    <w:rsid w:val="00255322"/>
    <w:rsid w:val="00255A82"/>
    <w:rsid w:val="0025700D"/>
    <w:rsid w:val="00257ACC"/>
    <w:rsid w:val="00257C9C"/>
    <w:rsid w:val="00257CD5"/>
    <w:rsid w:val="00260344"/>
    <w:rsid w:val="002609BB"/>
    <w:rsid w:val="0026170C"/>
    <w:rsid w:val="00262FE5"/>
    <w:rsid w:val="0026326A"/>
    <w:rsid w:val="00263DA2"/>
    <w:rsid w:val="00263FD0"/>
    <w:rsid w:val="0026433D"/>
    <w:rsid w:val="00264EFF"/>
    <w:rsid w:val="00266323"/>
    <w:rsid w:val="00266D0A"/>
    <w:rsid w:val="00270B64"/>
    <w:rsid w:val="00270F92"/>
    <w:rsid w:val="0027127A"/>
    <w:rsid w:val="00275DEE"/>
    <w:rsid w:val="00275E97"/>
    <w:rsid w:val="0028060E"/>
    <w:rsid w:val="00280B7D"/>
    <w:rsid w:val="0028175E"/>
    <w:rsid w:val="00281F9C"/>
    <w:rsid w:val="0028269E"/>
    <w:rsid w:val="00282A53"/>
    <w:rsid w:val="002847EC"/>
    <w:rsid w:val="00285823"/>
    <w:rsid w:val="00285C8D"/>
    <w:rsid w:val="00286A99"/>
    <w:rsid w:val="0029043D"/>
    <w:rsid w:val="00290996"/>
    <w:rsid w:val="00290DD6"/>
    <w:rsid w:val="0029193F"/>
    <w:rsid w:val="00291DB6"/>
    <w:rsid w:val="00291E33"/>
    <w:rsid w:val="002931A0"/>
    <w:rsid w:val="002933D1"/>
    <w:rsid w:val="002949C2"/>
    <w:rsid w:val="00294ED9"/>
    <w:rsid w:val="00295D44"/>
    <w:rsid w:val="00296669"/>
    <w:rsid w:val="00296927"/>
    <w:rsid w:val="00296F45"/>
    <w:rsid w:val="002A03A2"/>
    <w:rsid w:val="002A0BB7"/>
    <w:rsid w:val="002A0E63"/>
    <w:rsid w:val="002A1440"/>
    <w:rsid w:val="002A1726"/>
    <w:rsid w:val="002A230C"/>
    <w:rsid w:val="002A2741"/>
    <w:rsid w:val="002A36A1"/>
    <w:rsid w:val="002A4306"/>
    <w:rsid w:val="002A474D"/>
    <w:rsid w:val="002A7826"/>
    <w:rsid w:val="002A78FD"/>
    <w:rsid w:val="002A7ADB"/>
    <w:rsid w:val="002B001A"/>
    <w:rsid w:val="002B026F"/>
    <w:rsid w:val="002B0D21"/>
    <w:rsid w:val="002B10E2"/>
    <w:rsid w:val="002B1B6C"/>
    <w:rsid w:val="002B26F0"/>
    <w:rsid w:val="002B3705"/>
    <w:rsid w:val="002B4A69"/>
    <w:rsid w:val="002B5464"/>
    <w:rsid w:val="002B5592"/>
    <w:rsid w:val="002B6143"/>
    <w:rsid w:val="002B629F"/>
    <w:rsid w:val="002B796A"/>
    <w:rsid w:val="002B7D33"/>
    <w:rsid w:val="002C0F26"/>
    <w:rsid w:val="002C1625"/>
    <w:rsid w:val="002C25ED"/>
    <w:rsid w:val="002C321B"/>
    <w:rsid w:val="002C3FE5"/>
    <w:rsid w:val="002C4A02"/>
    <w:rsid w:val="002C4A2D"/>
    <w:rsid w:val="002C6214"/>
    <w:rsid w:val="002C71B5"/>
    <w:rsid w:val="002C741B"/>
    <w:rsid w:val="002D08DC"/>
    <w:rsid w:val="002D0DC3"/>
    <w:rsid w:val="002D230F"/>
    <w:rsid w:val="002D58CC"/>
    <w:rsid w:val="002D5B40"/>
    <w:rsid w:val="002D61CE"/>
    <w:rsid w:val="002D6A85"/>
    <w:rsid w:val="002D6B2A"/>
    <w:rsid w:val="002D783E"/>
    <w:rsid w:val="002D7C90"/>
    <w:rsid w:val="002E0F79"/>
    <w:rsid w:val="002E20F3"/>
    <w:rsid w:val="002E2A2C"/>
    <w:rsid w:val="002E2BBC"/>
    <w:rsid w:val="002E43CD"/>
    <w:rsid w:val="002E56DF"/>
    <w:rsid w:val="002E6ACB"/>
    <w:rsid w:val="002E6E17"/>
    <w:rsid w:val="002E717E"/>
    <w:rsid w:val="002E7828"/>
    <w:rsid w:val="002E7900"/>
    <w:rsid w:val="002E7AE5"/>
    <w:rsid w:val="002F07A9"/>
    <w:rsid w:val="002F198B"/>
    <w:rsid w:val="002F23D9"/>
    <w:rsid w:val="002F3061"/>
    <w:rsid w:val="002F37E7"/>
    <w:rsid w:val="002F45FE"/>
    <w:rsid w:val="00300687"/>
    <w:rsid w:val="00301157"/>
    <w:rsid w:val="00301E20"/>
    <w:rsid w:val="00302001"/>
    <w:rsid w:val="0030238B"/>
    <w:rsid w:val="0030343B"/>
    <w:rsid w:val="00304302"/>
    <w:rsid w:val="00304CBD"/>
    <w:rsid w:val="00304E18"/>
    <w:rsid w:val="00304E20"/>
    <w:rsid w:val="00305D6A"/>
    <w:rsid w:val="0030633E"/>
    <w:rsid w:val="00306711"/>
    <w:rsid w:val="003078FD"/>
    <w:rsid w:val="00307B49"/>
    <w:rsid w:val="00307CBD"/>
    <w:rsid w:val="00310758"/>
    <w:rsid w:val="00310CDF"/>
    <w:rsid w:val="003113C3"/>
    <w:rsid w:val="003119F3"/>
    <w:rsid w:val="00311A5F"/>
    <w:rsid w:val="003135EF"/>
    <w:rsid w:val="00313639"/>
    <w:rsid w:val="0031405C"/>
    <w:rsid w:val="0031444A"/>
    <w:rsid w:val="00314503"/>
    <w:rsid w:val="003146F4"/>
    <w:rsid w:val="00314D1B"/>
    <w:rsid w:val="00314E24"/>
    <w:rsid w:val="003154BF"/>
    <w:rsid w:val="00315949"/>
    <w:rsid w:val="0031599C"/>
    <w:rsid w:val="0031657C"/>
    <w:rsid w:val="00316FE7"/>
    <w:rsid w:val="00317201"/>
    <w:rsid w:val="00317664"/>
    <w:rsid w:val="00317A40"/>
    <w:rsid w:val="00317F94"/>
    <w:rsid w:val="003211BA"/>
    <w:rsid w:val="00322090"/>
    <w:rsid w:val="003249C9"/>
    <w:rsid w:val="003262CC"/>
    <w:rsid w:val="003277BD"/>
    <w:rsid w:val="00327DC5"/>
    <w:rsid w:val="00330362"/>
    <w:rsid w:val="0033148C"/>
    <w:rsid w:val="003321B9"/>
    <w:rsid w:val="0033235F"/>
    <w:rsid w:val="00333B0A"/>
    <w:rsid w:val="0033411C"/>
    <w:rsid w:val="00337A3D"/>
    <w:rsid w:val="00337E7E"/>
    <w:rsid w:val="00340023"/>
    <w:rsid w:val="00340E11"/>
    <w:rsid w:val="003413D2"/>
    <w:rsid w:val="00343F6C"/>
    <w:rsid w:val="00345EAE"/>
    <w:rsid w:val="003461A5"/>
    <w:rsid w:val="00346D6B"/>
    <w:rsid w:val="003471BC"/>
    <w:rsid w:val="00347381"/>
    <w:rsid w:val="00347B2A"/>
    <w:rsid w:val="00347C87"/>
    <w:rsid w:val="003502AF"/>
    <w:rsid w:val="0035158D"/>
    <w:rsid w:val="00351EB6"/>
    <w:rsid w:val="003524A9"/>
    <w:rsid w:val="003527A2"/>
    <w:rsid w:val="00352C8A"/>
    <w:rsid w:val="00352D1F"/>
    <w:rsid w:val="003570D3"/>
    <w:rsid w:val="0035735A"/>
    <w:rsid w:val="00357E32"/>
    <w:rsid w:val="003600E9"/>
    <w:rsid w:val="0036038B"/>
    <w:rsid w:val="003603CC"/>
    <w:rsid w:val="003619AA"/>
    <w:rsid w:val="00362F56"/>
    <w:rsid w:val="00364094"/>
    <w:rsid w:val="00364CFB"/>
    <w:rsid w:val="00365859"/>
    <w:rsid w:val="00366F73"/>
    <w:rsid w:val="00367E73"/>
    <w:rsid w:val="003702E5"/>
    <w:rsid w:val="003732A3"/>
    <w:rsid w:val="0037397E"/>
    <w:rsid w:val="00373F61"/>
    <w:rsid w:val="00373F9C"/>
    <w:rsid w:val="00373FA2"/>
    <w:rsid w:val="0037464E"/>
    <w:rsid w:val="0037517B"/>
    <w:rsid w:val="003752FA"/>
    <w:rsid w:val="00375E64"/>
    <w:rsid w:val="00376940"/>
    <w:rsid w:val="00380FCF"/>
    <w:rsid w:val="00384750"/>
    <w:rsid w:val="00384B2A"/>
    <w:rsid w:val="00384D17"/>
    <w:rsid w:val="00385916"/>
    <w:rsid w:val="00385B80"/>
    <w:rsid w:val="00386700"/>
    <w:rsid w:val="0038783F"/>
    <w:rsid w:val="00390157"/>
    <w:rsid w:val="0039033A"/>
    <w:rsid w:val="00390E63"/>
    <w:rsid w:val="003925AC"/>
    <w:rsid w:val="003929B6"/>
    <w:rsid w:val="0039305E"/>
    <w:rsid w:val="003932F8"/>
    <w:rsid w:val="00394E72"/>
    <w:rsid w:val="00395138"/>
    <w:rsid w:val="00395B1F"/>
    <w:rsid w:val="003965BC"/>
    <w:rsid w:val="00397679"/>
    <w:rsid w:val="00397B19"/>
    <w:rsid w:val="00397BE1"/>
    <w:rsid w:val="003A03F1"/>
    <w:rsid w:val="003A050D"/>
    <w:rsid w:val="003A1C2D"/>
    <w:rsid w:val="003A2CA5"/>
    <w:rsid w:val="003A2EBC"/>
    <w:rsid w:val="003A2ECC"/>
    <w:rsid w:val="003A3103"/>
    <w:rsid w:val="003A311A"/>
    <w:rsid w:val="003A4C28"/>
    <w:rsid w:val="003A55D2"/>
    <w:rsid w:val="003A5860"/>
    <w:rsid w:val="003A5B63"/>
    <w:rsid w:val="003A5CF5"/>
    <w:rsid w:val="003B03AB"/>
    <w:rsid w:val="003B057C"/>
    <w:rsid w:val="003B0787"/>
    <w:rsid w:val="003B0BE7"/>
    <w:rsid w:val="003B1116"/>
    <w:rsid w:val="003B171C"/>
    <w:rsid w:val="003B1A34"/>
    <w:rsid w:val="003B2463"/>
    <w:rsid w:val="003B280A"/>
    <w:rsid w:val="003B3136"/>
    <w:rsid w:val="003B331C"/>
    <w:rsid w:val="003B36A4"/>
    <w:rsid w:val="003B3A14"/>
    <w:rsid w:val="003B44EB"/>
    <w:rsid w:val="003B534A"/>
    <w:rsid w:val="003B5580"/>
    <w:rsid w:val="003B5B3A"/>
    <w:rsid w:val="003B6078"/>
    <w:rsid w:val="003B7C82"/>
    <w:rsid w:val="003C0F13"/>
    <w:rsid w:val="003C1549"/>
    <w:rsid w:val="003C1B14"/>
    <w:rsid w:val="003C1C31"/>
    <w:rsid w:val="003C2958"/>
    <w:rsid w:val="003C35C9"/>
    <w:rsid w:val="003C37F6"/>
    <w:rsid w:val="003C3FA6"/>
    <w:rsid w:val="003C4DFA"/>
    <w:rsid w:val="003C559E"/>
    <w:rsid w:val="003C5E72"/>
    <w:rsid w:val="003C6AC8"/>
    <w:rsid w:val="003C6F9D"/>
    <w:rsid w:val="003C7524"/>
    <w:rsid w:val="003C7C23"/>
    <w:rsid w:val="003D042E"/>
    <w:rsid w:val="003D0B08"/>
    <w:rsid w:val="003D0DC3"/>
    <w:rsid w:val="003D1293"/>
    <w:rsid w:val="003D1724"/>
    <w:rsid w:val="003D203C"/>
    <w:rsid w:val="003D219D"/>
    <w:rsid w:val="003D391D"/>
    <w:rsid w:val="003D393C"/>
    <w:rsid w:val="003D41FB"/>
    <w:rsid w:val="003D4833"/>
    <w:rsid w:val="003D57FE"/>
    <w:rsid w:val="003D6451"/>
    <w:rsid w:val="003D6F6D"/>
    <w:rsid w:val="003D7613"/>
    <w:rsid w:val="003D7705"/>
    <w:rsid w:val="003E0BB3"/>
    <w:rsid w:val="003E0FD9"/>
    <w:rsid w:val="003E1586"/>
    <w:rsid w:val="003E1A56"/>
    <w:rsid w:val="003E2F87"/>
    <w:rsid w:val="003E3062"/>
    <w:rsid w:val="003E36E9"/>
    <w:rsid w:val="003E374E"/>
    <w:rsid w:val="003E45A4"/>
    <w:rsid w:val="003E4E4E"/>
    <w:rsid w:val="003E62D5"/>
    <w:rsid w:val="003E645C"/>
    <w:rsid w:val="003E677C"/>
    <w:rsid w:val="003F042E"/>
    <w:rsid w:val="003F04D5"/>
    <w:rsid w:val="003F0C9D"/>
    <w:rsid w:val="003F135C"/>
    <w:rsid w:val="003F1A20"/>
    <w:rsid w:val="003F4BE5"/>
    <w:rsid w:val="003F4EBE"/>
    <w:rsid w:val="003F5546"/>
    <w:rsid w:val="003F60D5"/>
    <w:rsid w:val="003F7C16"/>
    <w:rsid w:val="0040071F"/>
    <w:rsid w:val="00400916"/>
    <w:rsid w:val="00400A03"/>
    <w:rsid w:val="00401515"/>
    <w:rsid w:val="004018A1"/>
    <w:rsid w:val="00401C3D"/>
    <w:rsid w:val="00401FE4"/>
    <w:rsid w:val="00402A22"/>
    <w:rsid w:val="00403931"/>
    <w:rsid w:val="004049BA"/>
    <w:rsid w:val="00406A01"/>
    <w:rsid w:val="00406A72"/>
    <w:rsid w:val="00406B2F"/>
    <w:rsid w:val="00406C77"/>
    <w:rsid w:val="00406DA3"/>
    <w:rsid w:val="00410159"/>
    <w:rsid w:val="0041022E"/>
    <w:rsid w:val="00410C7D"/>
    <w:rsid w:val="00410EBD"/>
    <w:rsid w:val="00411496"/>
    <w:rsid w:val="0041161B"/>
    <w:rsid w:val="004133E8"/>
    <w:rsid w:val="004136DD"/>
    <w:rsid w:val="0041588C"/>
    <w:rsid w:val="00416BD0"/>
    <w:rsid w:val="004204D6"/>
    <w:rsid w:val="00420BDE"/>
    <w:rsid w:val="00420DBD"/>
    <w:rsid w:val="004228F6"/>
    <w:rsid w:val="00422BE9"/>
    <w:rsid w:val="0042325D"/>
    <w:rsid w:val="00424112"/>
    <w:rsid w:val="0042686C"/>
    <w:rsid w:val="00426FD1"/>
    <w:rsid w:val="00430211"/>
    <w:rsid w:val="0043071A"/>
    <w:rsid w:val="004342EE"/>
    <w:rsid w:val="004345DD"/>
    <w:rsid w:val="004352E1"/>
    <w:rsid w:val="004358B5"/>
    <w:rsid w:val="00435CBE"/>
    <w:rsid w:val="00436510"/>
    <w:rsid w:val="004377AC"/>
    <w:rsid w:val="00437898"/>
    <w:rsid w:val="00437AF1"/>
    <w:rsid w:val="0044001E"/>
    <w:rsid w:val="004406B6"/>
    <w:rsid w:val="00440C67"/>
    <w:rsid w:val="00441D3B"/>
    <w:rsid w:val="00441DA2"/>
    <w:rsid w:val="004435A4"/>
    <w:rsid w:val="004442CF"/>
    <w:rsid w:val="0044681A"/>
    <w:rsid w:val="00450C10"/>
    <w:rsid w:val="00451B5C"/>
    <w:rsid w:val="0045259D"/>
    <w:rsid w:val="00453436"/>
    <w:rsid w:val="004537F9"/>
    <w:rsid w:val="00453942"/>
    <w:rsid w:val="004546EA"/>
    <w:rsid w:val="004556FD"/>
    <w:rsid w:val="00456196"/>
    <w:rsid w:val="0045773F"/>
    <w:rsid w:val="00457DD9"/>
    <w:rsid w:val="00457F05"/>
    <w:rsid w:val="00461688"/>
    <w:rsid w:val="00461DF1"/>
    <w:rsid w:val="00462EFD"/>
    <w:rsid w:val="00463CE0"/>
    <w:rsid w:val="00464380"/>
    <w:rsid w:val="004649D1"/>
    <w:rsid w:val="00465825"/>
    <w:rsid w:val="00465DE5"/>
    <w:rsid w:val="004662E4"/>
    <w:rsid w:val="00466615"/>
    <w:rsid w:val="00467222"/>
    <w:rsid w:val="00467C86"/>
    <w:rsid w:val="00467FB7"/>
    <w:rsid w:val="00470860"/>
    <w:rsid w:val="00471160"/>
    <w:rsid w:val="004729CD"/>
    <w:rsid w:val="00472A33"/>
    <w:rsid w:val="00472B81"/>
    <w:rsid w:val="00472ECA"/>
    <w:rsid w:val="00474BDE"/>
    <w:rsid w:val="00474DB3"/>
    <w:rsid w:val="00475F87"/>
    <w:rsid w:val="00476486"/>
    <w:rsid w:val="00476709"/>
    <w:rsid w:val="00476971"/>
    <w:rsid w:val="00476D3B"/>
    <w:rsid w:val="00477930"/>
    <w:rsid w:val="00480172"/>
    <w:rsid w:val="0048041B"/>
    <w:rsid w:val="00481577"/>
    <w:rsid w:val="00481E7A"/>
    <w:rsid w:val="00481F06"/>
    <w:rsid w:val="00482905"/>
    <w:rsid w:val="00482CEA"/>
    <w:rsid w:val="00483EC3"/>
    <w:rsid w:val="004853F6"/>
    <w:rsid w:val="004864A3"/>
    <w:rsid w:val="0048656D"/>
    <w:rsid w:val="0048683E"/>
    <w:rsid w:val="0049003A"/>
    <w:rsid w:val="0049182D"/>
    <w:rsid w:val="004921DC"/>
    <w:rsid w:val="00494A6E"/>
    <w:rsid w:val="00494BD3"/>
    <w:rsid w:val="00494C4A"/>
    <w:rsid w:val="004951DB"/>
    <w:rsid w:val="004958D8"/>
    <w:rsid w:val="004962A4"/>
    <w:rsid w:val="004A036D"/>
    <w:rsid w:val="004A04A0"/>
    <w:rsid w:val="004A075C"/>
    <w:rsid w:val="004A0B86"/>
    <w:rsid w:val="004A0C48"/>
    <w:rsid w:val="004A1171"/>
    <w:rsid w:val="004A1379"/>
    <w:rsid w:val="004A1590"/>
    <w:rsid w:val="004A28CA"/>
    <w:rsid w:val="004A4AF1"/>
    <w:rsid w:val="004A501E"/>
    <w:rsid w:val="004A5F6C"/>
    <w:rsid w:val="004A7470"/>
    <w:rsid w:val="004A7CBB"/>
    <w:rsid w:val="004B0076"/>
    <w:rsid w:val="004B0F9E"/>
    <w:rsid w:val="004B1AE0"/>
    <w:rsid w:val="004B2FCE"/>
    <w:rsid w:val="004B3327"/>
    <w:rsid w:val="004B3B9B"/>
    <w:rsid w:val="004B4028"/>
    <w:rsid w:val="004B431D"/>
    <w:rsid w:val="004B4532"/>
    <w:rsid w:val="004B52DA"/>
    <w:rsid w:val="004B53CB"/>
    <w:rsid w:val="004B6298"/>
    <w:rsid w:val="004B69D1"/>
    <w:rsid w:val="004B6D79"/>
    <w:rsid w:val="004B6E2A"/>
    <w:rsid w:val="004B6E3E"/>
    <w:rsid w:val="004B7177"/>
    <w:rsid w:val="004B773B"/>
    <w:rsid w:val="004C00D2"/>
    <w:rsid w:val="004C13AA"/>
    <w:rsid w:val="004C1884"/>
    <w:rsid w:val="004C1C02"/>
    <w:rsid w:val="004C1F42"/>
    <w:rsid w:val="004C21C8"/>
    <w:rsid w:val="004C21DD"/>
    <w:rsid w:val="004C2DD5"/>
    <w:rsid w:val="004C467D"/>
    <w:rsid w:val="004C46CE"/>
    <w:rsid w:val="004C492D"/>
    <w:rsid w:val="004C58DA"/>
    <w:rsid w:val="004C6F5A"/>
    <w:rsid w:val="004C7377"/>
    <w:rsid w:val="004C7C9F"/>
    <w:rsid w:val="004C7ECE"/>
    <w:rsid w:val="004D0E4A"/>
    <w:rsid w:val="004D1EDC"/>
    <w:rsid w:val="004D246D"/>
    <w:rsid w:val="004D256E"/>
    <w:rsid w:val="004D2774"/>
    <w:rsid w:val="004D2E13"/>
    <w:rsid w:val="004D2E8C"/>
    <w:rsid w:val="004D368F"/>
    <w:rsid w:val="004D45C0"/>
    <w:rsid w:val="004D4B59"/>
    <w:rsid w:val="004D55C2"/>
    <w:rsid w:val="004D6367"/>
    <w:rsid w:val="004D6816"/>
    <w:rsid w:val="004D769F"/>
    <w:rsid w:val="004E0AB0"/>
    <w:rsid w:val="004E0D9F"/>
    <w:rsid w:val="004E29BE"/>
    <w:rsid w:val="004E2C39"/>
    <w:rsid w:val="004E2E14"/>
    <w:rsid w:val="004E34CA"/>
    <w:rsid w:val="004E64F2"/>
    <w:rsid w:val="004E6567"/>
    <w:rsid w:val="004E68BD"/>
    <w:rsid w:val="004E71C4"/>
    <w:rsid w:val="004E7D02"/>
    <w:rsid w:val="004F00DA"/>
    <w:rsid w:val="004F03BC"/>
    <w:rsid w:val="004F145D"/>
    <w:rsid w:val="004F1552"/>
    <w:rsid w:val="004F161E"/>
    <w:rsid w:val="004F1A51"/>
    <w:rsid w:val="004F2423"/>
    <w:rsid w:val="004F35CB"/>
    <w:rsid w:val="004F3705"/>
    <w:rsid w:val="004F39DA"/>
    <w:rsid w:val="004F3C77"/>
    <w:rsid w:val="004F51D1"/>
    <w:rsid w:val="004F53BB"/>
    <w:rsid w:val="004F760A"/>
    <w:rsid w:val="005017BE"/>
    <w:rsid w:val="0050214E"/>
    <w:rsid w:val="00502A3A"/>
    <w:rsid w:val="00505CD2"/>
    <w:rsid w:val="00506B83"/>
    <w:rsid w:val="0050790F"/>
    <w:rsid w:val="00510E8B"/>
    <w:rsid w:val="0051151E"/>
    <w:rsid w:val="005118BF"/>
    <w:rsid w:val="0051243D"/>
    <w:rsid w:val="00512A23"/>
    <w:rsid w:val="0051403C"/>
    <w:rsid w:val="005151FE"/>
    <w:rsid w:val="00516662"/>
    <w:rsid w:val="005166EB"/>
    <w:rsid w:val="00516CCE"/>
    <w:rsid w:val="00516D16"/>
    <w:rsid w:val="00516D30"/>
    <w:rsid w:val="00516E86"/>
    <w:rsid w:val="00520147"/>
    <w:rsid w:val="005215F3"/>
    <w:rsid w:val="00521C58"/>
    <w:rsid w:val="005221F4"/>
    <w:rsid w:val="00522C4E"/>
    <w:rsid w:val="00523307"/>
    <w:rsid w:val="00524F6C"/>
    <w:rsid w:val="005257CC"/>
    <w:rsid w:val="00525FD9"/>
    <w:rsid w:val="00526AD4"/>
    <w:rsid w:val="00527C81"/>
    <w:rsid w:val="0053032E"/>
    <w:rsid w:val="00530B21"/>
    <w:rsid w:val="00531BDE"/>
    <w:rsid w:val="00531D4D"/>
    <w:rsid w:val="005339FB"/>
    <w:rsid w:val="00533E27"/>
    <w:rsid w:val="00534233"/>
    <w:rsid w:val="005342A4"/>
    <w:rsid w:val="0053637A"/>
    <w:rsid w:val="00536595"/>
    <w:rsid w:val="0053727C"/>
    <w:rsid w:val="005376D9"/>
    <w:rsid w:val="005407B2"/>
    <w:rsid w:val="00541058"/>
    <w:rsid w:val="0054188A"/>
    <w:rsid w:val="00542148"/>
    <w:rsid w:val="005423F3"/>
    <w:rsid w:val="00542D9E"/>
    <w:rsid w:val="00542F60"/>
    <w:rsid w:val="0054537E"/>
    <w:rsid w:val="00546814"/>
    <w:rsid w:val="00550172"/>
    <w:rsid w:val="005515AB"/>
    <w:rsid w:val="00551AD0"/>
    <w:rsid w:val="00552616"/>
    <w:rsid w:val="0055279B"/>
    <w:rsid w:val="00552ED0"/>
    <w:rsid w:val="00553BEC"/>
    <w:rsid w:val="005541C8"/>
    <w:rsid w:val="00554D92"/>
    <w:rsid w:val="00555B46"/>
    <w:rsid w:val="00555EFB"/>
    <w:rsid w:val="00555FA8"/>
    <w:rsid w:val="00557B59"/>
    <w:rsid w:val="0056040C"/>
    <w:rsid w:val="00560F99"/>
    <w:rsid w:val="00562C1C"/>
    <w:rsid w:val="00563B93"/>
    <w:rsid w:val="00564612"/>
    <w:rsid w:val="0056693B"/>
    <w:rsid w:val="005677C9"/>
    <w:rsid w:val="00567883"/>
    <w:rsid w:val="00570146"/>
    <w:rsid w:val="005705CC"/>
    <w:rsid w:val="0057212C"/>
    <w:rsid w:val="00572F4B"/>
    <w:rsid w:val="005742D7"/>
    <w:rsid w:val="00580449"/>
    <w:rsid w:val="005806A1"/>
    <w:rsid w:val="00582E96"/>
    <w:rsid w:val="00584F3B"/>
    <w:rsid w:val="00586B94"/>
    <w:rsid w:val="005874B0"/>
    <w:rsid w:val="00587606"/>
    <w:rsid w:val="00587E83"/>
    <w:rsid w:val="00587F88"/>
    <w:rsid w:val="005901B2"/>
    <w:rsid w:val="00590E39"/>
    <w:rsid w:val="00591789"/>
    <w:rsid w:val="00593CA1"/>
    <w:rsid w:val="00594F8D"/>
    <w:rsid w:val="00595202"/>
    <w:rsid w:val="005953C2"/>
    <w:rsid w:val="0059619A"/>
    <w:rsid w:val="005962C5"/>
    <w:rsid w:val="00597B13"/>
    <w:rsid w:val="005A0B27"/>
    <w:rsid w:val="005A228D"/>
    <w:rsid w:val="005A33E9"/>
    <w:rsid w:val="005A5511"/>
    <w:rsid w:val="005A5B08"/>
    <w:rsid w:val="005A6123"/>
    <w:rsid w:val="005A7156"/>
    <w:rsid w:val="005A7DBB"/>
    <w:rsid w:val="005B0153"/>
    <w:rsid w:val="005B1C18"/>
    <w:rsid w:val="005B2817"/>
    <w:rsid w:val="005B37E5"/>
    <w:rsid w:val="005B443F"/>
    <w:rsid w:val="005B4C17"/>
    <w:rsid w:val="005B4C18"/>
    <w:rsid w:val="005B7435"/>
    <w:rsid w:val="005B7D9C"/>
    <w:rsid w:val="005C024B"/>
    <w:rsid w:val="005C0C83"/>
    <w:rsid w:val="005C149E"/>
    <w:rsid w:val="005C25E6"/>
    <w:rsid w:val="005C2BB7"/>
    <w:rsid w:val="005C2E01"/>
    <w:rsid w:val="005C3613"/>
    <w:rsid w:val="005C3693"/>
    <w:rsid w:val="005C3B99"/>
    <w:rsid w:val="005C3E6C"/>
    <w:rsid w:val="005C41A9"/>
    <w:rsid w:val="005C42F8"/>
    <w:rsid w:val="005C488E"/>
    <w:rsid w:val="005C4CD9"/>
    <w:rsid w:val="005C4D91"/>
    <w:rsid w:val="005C5184"/>
    <w:rsid w:val="005C6C66"/>
    <w:rsid w:val="005C77FA"/>
    <w:rsid w:val="005D06C2"/>
    <w:rsid w:val="005D1A8E"/>
    <w:rsid w:val="005D1E45"/>
    <w:rsid w:val="005D2DE3"/>
    <w:rsid w:val="005D2DF7"/>
    <w:rsid w:val="005D3D03"/>
    <w:rsid w:val="005D4418"/>
    <w:rsid w:val="005D5E87"/>
    <w:rsid w:val="005D6575"/>
    <w:rsid w:val="005D69E0"/>
    <w:rsid w:val="005D72B8"/>
    <w:rsid w:val="005E0C66"/>
    <w:rsid w:val="005E0F26"/>
    <w:rsid w:val="005E1C3D"/>
    <w:rsid w:val="005E31A1"/>
    <w:rsid w:val="005E3539"/>
    <w:rsid w:val="005E5CD8"/>
    <w:rsid w:val="005E6866"/>
    <w:rsid w:val="005E765F"/>
    <w:rsid w:val="005E77D7"/>
    <w:rsid w:val="005F01A1"/>
    <w:rsid w:val="005F1515"/>
    <w:rsid w:val="005F1A11"/>
    <w:rsid w:val="005F1E02"/>
    <w:rsid w:val="005F2FA3"/>
    <w:rsid w:val="005F6673"/>
    <w:rsid w:val="005F6796"/>
    <w:rsid w:val="005F7FEA"/>
    <w:rsid w:val="006002ED"/>
    <w:rsid w:val="00600551"/>
    <w:rsid w:val="0060147F"/>
    <w:rsid w:val="00602E9E"/>
    <w:rsid w:val="0060322E"/>
    <w:rsid w:val="00603477"/>
    <w:rsid w:val="00604EFF"/>
    <w:rsid w:val="0060577B"/>
    <w:rsid w:val="00605B0D"/>
    <w:rsid w:val="00605D3B"/>
    <w:rsid w:val="006062A2"/>
    <w:rsid w:val="0060752A"/>
    <w:rsid w:val="006078DA"/>
    <w:rsid w:val="00611423"/>
    <w:rsid w:val="00614A5C"/>
    <w:rsid w:val="006154C9"/>
    <w:rsid w:val="00616699"/>
    <w:rsid w:val="00616C12"/>
    <w:rsid w:val="00616C8E"/>
    <w:rsid w:val="00617C68"/>
    <w:rsid w:val="00617D6A"/>
    <w:rsid w:val="00620196"/>
    <w:rsid w:val="00623B9C"/>
    <w:rsid w:val="00623D77"/>
    <w:rsid w:val="006268A5"/>
    <w:rsid w:val="00626BC7"/>
    <w:rsid w:val="00627A2C"/>
    <w:rsid w:val="00630022"/>
    <w:rsid w:val="00630082"/>
    <w:rsid w:val="0063090A"/>
    <w:rsid w:val="00632011"/>
    <w:rsid w:val="0063208E"/>
    <w:rsid w:val="0063261F"/>
    <w:rsid w:val="00633CF6"/>
    <w:rsid w:val="006340C7"/>
    <w:rsid w:val="006343B6"/>
    <w:rsid w:val="006362D0"/>
    <w:rsid w:val="00636564"/>
    <w:rsid w:val="006367CB"/>
    <w:rsid w:val="006406F7"/>
    <w:rsid w:val="00640EA3"/>
    <w:rsid w:val="00641EE4"/>
    <w:rsid w:val="00641EF6"/>
    <w:rsid w:val="00641F4F"/>
    <w:rsid w:val="006424AC"/>
    <w:rsid w:val="00642554"/>
    <w:rsid w:val="00642C6F"/>
    <w:rsid w:val="00644313"/>
    <w:rsid w:val="00644566"/>
    <w:rsid w:val="00644C94"/>
    <w:rsid w:val="00645027"/>
    <w:rsid w:val="0064525F"/>
    <w:rsid w:val="00646578"/>
    <w:rsid w:val="00646691"/>
    <w:rsid w:val="00646A16"/>
    <w:rsid w:val="0065053F"/>
    <w:rsid w:val="006513DD"/>
    <w:rsid w:val="00651695"/>
    <w:rsid w:val="00651849"/>
    <w:rsid w:val="00652825"/>
    <w:rsid w:val="006528B4"/>
    <w:rsid w:val="00653B98"/>
    <w:rsid w:val="0065461D"/>
    <w:rsid w:val="00654CD9"/>
    <w:rsid w:val="00655D80"/>
    <w:rsid w:val="006571F6"/>
    <w:rsid w:val="00657685"/>
    <w:rsid w:val="00657F2E"/>
    <w:rsid w:val="00660040"/>
    <w:rsid w:val="00661419"/>
    <w:rsid w:val="00661512"/>
    <w:rsid w:val="00663B40"/>
    <w:rsid w:val="00664BA8"/>
    <w:rsid w:val="0066508F"/>
    <w:rsid w:val="00665099"/>
    <w:rsid w:val="006659A3"/>
    <w:rsid w:val="00665E0F"/>
    <w:rsid w:val="00667902"/>
    <w:rsid w:val="00670799"/>
    <w:rsid w:val="00671908"/>
    <w:rsid w:val="00672213"/>
    <w:rsid w:val="00672BD5"/>
    <w:rsid w:val="00674B24"/>
    <w:rsid w:val="00675607"/>
    <w:rsid w:val="006761EF"/>
    <w:rsid w:val="00676AC6"/>
    <w:rsid w:val="00676DCA"/>
    <w:rsid w:val="006775D7"/>
    <w:rsid w:val="0067760D"/>
    <w:rsid w:val="0068081B"/>
    <w:rsid w:val="0068083B"/>
    <w:rsid w:val="00683633"/>
    <w:rsid w:val="00683B88"/>
    <w:rsid w:val="006841A7"/>
    <w:rsid w:val="0068432C"/>
    <w:rsid w:val="00684467"/>
    <w:rsid w:val="00684C40"/>
    <w:rsid w:val="006857B2"/>
    <w:rsid w:val="006858D4"/>
    <w:rsid w:val="00686033"/>
    <w:rsid w:val="00686DD7"/>
    <w:rsid w:val="00687193"/>
    <w:rsid w:val="00690E19"/>
    <w:rsid w:val="006921CF"/>
    <w:rsid w:val="00692923"/>
    <w:rsid w:val="006935B6"/>
    <w:rsid w:val="006939C3"/>
    <w:rsid w:val="00694397"/>
    <w:rsid w:val="00695931"/>
    <w:rsid w:val="0069658A"/>
    <w:rsid w:val="006966E3"/>
    <w:rsid w:val="00696C7F"/>
    <w:rsid w:val="006A0379"/>
    <w:rsid w:val="006A042D"/>
    <w:rsid w:val="006A0807"/>
    <w:rsid w:val="006A2179"/>
    <w:rsid w:val="006A40DD"/>
    <w:rsid w:val="006A4346"/>
    <w:rsid w:val="006A4FE8"/>
    <w:rsid w:val="006A55FE"/>
    <w:rsid w:val="006A5F9D"/>
    <w:rsid w:val="006A61F4"/>
    <w:rsid w:val="006A69F2"/>
    <w:rsid w:val="006A73A9"/>
    <w:rsid w:val="006A73E0"/>
    <w:rsid w:val="006A760F"/>
    <w:rsid w:val="006A7630"/>
    <w:rsid w:val="006A76C0"/>
    <w:rsid w:val="006A79CD"/>
    <w:rsid w:val="006B09C8"/>
    <w:rsid w:val="006B1774"/>
    <w:rsid w:val="006B1D45"/>
    <w:rsid w:val="006B22B7"/>
    <w:rsid w:val="006B23B4"/>
    <w:rsid w:val="006B23EA"/>
    <w:rsid w:val="006B2CD9"/>
    <w:rsid w:val="006B4232"/>
    <w:rsid w:val="006B436B"/>
    <w:rsid w:val="006B47BC"/>
    <w:rsid w:val="006B5236"/>
    <w:rsid w:val="006B5C36"/>
    <w:rsid w:val="006B6EAC"/>
    <w:rsid w:val="006B78FF"/>
    <w:rsid w:val="006B7B99"/>
    <w:rsid w:val="006C007C"/>
    <w:rsid w:val="006C0207"/>
    <w:rsid w:val="006C0884"/>
    <w:rsid w:val="006C2DEA"/>
    <w:rsid w:val="006C4713"/>
    <w:rsid w:val="006C51E0"/>
    <w:rsid w:val="006C6026"/>
    <w:rsid w:val="006C65D5"/>
    <w:rsid w:val="006C74CB"/>
    <w:rsid w:val="006D02F9"/>
    <w:rsid w:val="006D0396"/>
    <w:rsid w:val="006D0666"/>
    <w:rsid w:val="006D1660"/>
    <w:rsid w:val="006D352B"/>
    <w:rsid w:val="006D3532"/>
    <w:rsid w:val="006D359F"/>
    <w:rsid w:val="006D6523"/>
    <w:rsid w:val="006D67AF"/>
    <w:rsid w:val="006D6FE3"/>
    <w:rsid w:val="006D73F3"/>
    <w:rsid w:val="006E0B0F"/>
    <w:rsid w:val="006E1636"/>
    <w:rsid w:val="006E47AD"/>
    <w:rsid w:val="006E508A"/>
    <w:rsid w:val="006E5ADD"/>
    <w:rsid w:val="006E6E21"/>
    <w:rsid w:val="006E763B"/>
    <w:rsid w:val="006F0EBA"/>
    <w:rsid w:val="006F1BF7"/>
    <w:rsid w:val="006F26BA"/>
    <w:rsid w:val="006F27A1"/>
    <w:rsid w:val="006F33C1"/>
    <w:rsid w:val="006F4000"/>
    <w:rsid w:val="006F4A8C"/>
    <w:rsid w:val="006F5BD6"/>
    <w:rsid w:val="006F5CBE"/>
    <w:rsid w:val="006F70EA"/>
    <w:rsid w:val="0070064E"/>
    <w:rsid w:val="007007A5"/>
    <w:rsid w:val="00700C3B"/>
    <w:rsid w:val="007021A1"/>
    <w:rsid w:val="007024B2"/>
    <w:rsid w:val="00702797"/>
    <w:rsid w:val="007030A6"/>
    <w:rsid w:val="007035C3"/>
    <w:rsid w:val="00705451"/>
    <w:rsid w:val="00705A7E"/>
    <w:rsid w:val="00706029"/>
    <w:rsid w:val="00707ADE"/>
    <w:rsid w:val="00707FB6"/>
    <w:rsid w:val="0071059D"/>
    <w:rsid w:val="00710AED"/>
    <w:rsid w:val="00711727"/>
    <w:rsid w:val="00711C73"/>
    <w:rsid w:val="00712F72"/>
    <w:rsid w:val="00713841"/>
    <w:rsid w:val="00714532"/>
    <w:rsid w:val="00714573"/>
    <w:rsid w:val="00715BD5"/>
    <w:rsid w:val="00715DD1"/>
    <w:rsid w:val="00716636"/>
    <w:rsid w:val="0072077F"/>
    <w:rsid w:val="0072104A"/>
    <w:rsid w:val="00721E3B"/>
    <w:rsid w:val="0072371A"/>
    <w:rsid w:val="007238AB"/>
    <w:rsid w:val="00723BD2"/>
    <w:rsid w:val="00724011"/>
    <w:rsid w:val="007242C1"/>
    <w:rsid w:val="00724C73"/>
    <w:rsid w:val="007251A5"/>
    <w:rsid w:val="0072563A"/>
    <w:rsid w:val="00726172"/>
    <w:rsid w:val="00726D13"/>
    <w:rsid w:val="00727EB0"/>
    <w:rsid w:val="00730667"/>
    <w:rsid w:val="0073077E"/>
    <w:rsid w:val="00731D81"/>
    <w:rsid w:val="00732A3D"/>
    <w:rsid w:val="00734DBE"/>
    <w:rsid w:val="00734E4E"/>
    <w:rsid w:val="0073535D"/>
    <w:rsid w:val="00735659"/>
    <w:rsid w:val="00735673"/>
    <w:rsid w:val="007361ED"/>
    <w:rsid w:val="007370ED"/>
    <w:rsid w:val="0074117F"/>
    <w:rsid w:val="007420A2"/>
    <w:rsid w:val="007423C5"/>
    <w:rsid w:val="00744290"/>
    <w:rsid w:val="007442F2"/>
    <w:rsid w:val="00744635"/>
    <w:rsid w:val="0074638D"/>
    <w:rsid w:val="00746C06"/>
    <w:rsid w:val="0074713B"/>
    <w:rsid w:val="0074715E"/>
    <w:rsid w:val="007509B3"/>
    <w:rsid w:val="0075163D"/>
    <w:rsid w:val="007516ED"/>
    <w:rsid w:val="00751E7B"/>
    <w:rsid w:val="00752926"/>
    <w:rsid w:val="007529F8"/>
    <w:rsid w:val="007530E6"/>
    <w:rsid w:val="007570BE"/>
    <w:rsid w:val="0075745E"/>
    <w:rsid w:val="00760494"/>
    <w:rsid w:val="0076054E"/>
    <w:rsid w:val="00760E18"/>
    <w:rsid w:val="00760F1C"/>
    <w:rsid w:val="00761981"/>
    <w:rsid w:val="00763BA7"/>
    <w:rsid w:val="00764507"/>
    <w:rsid w:val="007645DD"/>
    <w:rsid w:val="00765581"/>
    <w:rsid w:val="00765F09"/>
    <w:rsid w:val="00770A3F"/>
    <w:rsid w:val="00770FF6"/>
    <w:rsid w:val="00772593"/>
    <w:rsid w:val="00773A76"/>
    <w:rsid w:val="00773AA3"/>
    <w:rsid w:val="00774415"/>
    <w:rsid w:val="007746F6"/>
    <w:rsid w:val="00774EAE"/>
    <w:rsid w:val="00775799"/>
    <w:rsid w:val="00775B68"/>
    <w:rsid w:val="00775C8C"/>
    <w:rsid w:val="007804D3"/>
    <w:rsid w:val="0078087B"/>
    <w:rsid w:val="00780B56"/>
    <w:rsid w:val="00780F8E"/>
    <w:rsid w:val="007823B2"/>
    <w:rsid w:val="00782671"/>
    <w:rsid w:val="0078315E"/>
    <w:rsid w:val="00784955"/>
    <w:rsid w:val="00785214"/>
    <w:rsid w:val="00786242"/>
    <w:rsid w:val="007867C0"/>
    <w:rsid w:val="00786F78"/>
    <w:rsid w:val="00787138"/>
    <w:rsid w:val="00790072"/>
    <w:rsid w:val="007912DA"/>
    <w:rsid w:val="00791453"/>
    <w:rsid w:val="00791AFE"/>
    <w:rsid w:val="00792AAE"/>
    <w:rsid w:val="00793122"/>
    <w:rsid w:val="00794401"/>
    <w:rsid w:val="007945C6"/>
    <w:rsid w:val="00795088"/>
    <w:rsid w:val="007952C7"/>
    <w:rsid w:val="007953ED"/>
    <w:rsid w:val="0079550F"/>
    <w:rsid w:val="00795A86"/>
    <w:rsid w:val="00796302"/>
    <w:rsid w:val="0079644E"/>
    <w:rsid w:val="0079658C"/>
    <w:rsid w:val="00796B74"/>
    <w:rsid w:val="007972C8"/>
    <w:rsid w:val="00797881"/>
    <w:rsid w:val="007A21AA"/>
    <w:rsid w:val="007A2A3D"/>
    <w:rsid w:val="007A43DF"/>
    <w:rsid w:val="007A55D8"/>
    <w:rsid w:val="007A66C0"/>
    <w:rsid w:val="007A705E"/>
    <w:rsid w:val="007B17D5"/>
    <w:rsid w:val="007B3DA3"/>
    <w:rsid w:val="007B623F"/>
    <w:rsid w:val="007B6E62"/>
    <w:rsid w:val="007B7159"/>
    <w:rsid w:val="007B7909"/>
    <w:rsid w:val="007C19FA"/>
    <w:rsid w:val="007C1B4D"/>
    <w:rsid w:val="007C1BD9"/>
    <w:rsid w:val="007C2245"/>
    <w:rsid w:val="007C7325"/>
    <w:rsid w:val="007C7A2E"/>
    <w:rsid w:val="007D0A60"/>
    <w:rsid w:val="007D0B5F"/>
    <w:rsid w:val="007D13B6"/>
    <w:rsid w:val="007D2B0B"/>
    <w:rsid w:val="007D2DC5"/>
    <w:rsid w:val="007D2DCB"/>
    <w:rsid w:val="007D3768"/>
    <w:rsid w:val="007D3EEE"/>
    <w:rsid w:val="007D4258"/>
    <w:rsid w:val="007D4828"/>
    <w:rsid w:val="007D4E6C"/>
    <w:rsid w:val="007D686B"/>
    <w:rsid w:val="007D74ED"/>
    <w:rsid w:val="007E033F"/>
    <w:rsid w:val="007E0BCC"/>
    <w:rsid w:val="007E0BD6"/>
    <w:rsid w:val="007E0CD6"/>
    <w:rsid w:val="007E0EFC"/>
    <w:rsid w:val="007E146E"/>
    <w:rsid w:val="007E2DF3"/>
    <w:rsid w:val="007E2E9C"/>
    <w:rsid w:val="007E2FDB"/>
    <w:rsid w:val="007E4FD2"/>
    <w:rsid w:val="007E5182"/>
    <w:rsid w:val="007E6808"/>
    <w:rsid w:val="007E7442"/>
    <w:rsid w:val="007F0098"/>
    <w:rsid w:val="007F07D7"/>
    <w:rsid w:val="007F18A8"/>
    <w:rsid w:val="007F1F4A"/>
    <w:rsid w:val="007F2281"/>
    <w:rsid w:val="007F323F"/>
    <w:rsid w:val="007F3A7E"/>
    <w:rsid w:val="007F3C25"/>
    <w:rsid w:val="007F3C83"/>
    <w:rsid w:val="007F446B"/>
    <w:rsid w:val="007F450B"/>
    <w:rsid w:val="007F59DD"/>
    <w:rsid w:val="007F60C1"/>
    <w:rsid w:val="007F75A6"/>
    <w:rsid w:val="00800E98"/>
    <w:rsid w:val="008025C9"/>
    <w:rsid w:val="00803BF6"/>
    <w:rsid w:val="00803FDA"/>
    <w:rsid w:val="008051CB"/>
    <w:rsid w:val="008058E0"/>
    <w:rsid w:val="00805A53"/>
    <w:rsid w:val="0080671A"/>
    <w:rsid w:val="00806842"/>
    <w:rsid w:val="00807925"/>
    <w:rsid w:val="00810822"/>
    <w:rsid w:val="00813CFF"/>
    <w:rsid w:val="00814B8C"/>
    <w:rsid w:val="00814C74"/>
    <w:rsid w:val="00814EBA"/>
    <w:rsid w:val="008152ED"/>
    <w:rsid w:val="00815EA3"/>
    <w:rsid w:val="00815ED6"/>
    <w:rsid w:val="0081651A"/>
    <w:rsid w:val="00817EA2"/>
    <w:rsid w:val="00820430"/>
    <w:rsid w:val="00821C46"/>
    <w:rsid w:val="008222DD"/>
    <w:rsid w:val="00822784"/>
    <w:rsid w:val="00822A87"/>
    <w:rsid w:val="008231D3"/>
    <w:rsid w:val="008235B8"/>
    <w:rsid w:val="00823643"/>
    <w:rsid w:val="00823744"/>
    <w:rsid w:val="008238F8"/>
    <w:rsid w:val="00823CF8"/>
    <w:rsid w:val="00823EC7"/>
    <w:rsid w:val="0082468C"/>
    <w:rsid w:val="00824905"/>
    <w:rsid w:val="00824996"/>
    <w:rsid w:val="00825458"/>
    <w:rsid w:val="00825BD2"/>
    <w:rsid w:val="00825C57"/>
    <w:rsid w:val="00826333"/>
    <w:rsid w:val="008272A0"/>
    <w:rsid w:val="00827404"/>
    <w:rsid w:val="00827D25"/>
    <w:rsid w:val="00827ED3"/>
    <w:rsid w:val="008301A5"/>
    <w:rsid w:val="008307B4"/>
    <w:rsid w:val="0083178E"/>
    <w:rsid w:val="0083231C"/>
    <w:rsid w:val="00832347"/>
    <w:rsid w:val="0083292D"/>
    <w:rsid w:val="00832940"/>
    <w:rsid w:val="008337F3"/>
    <w:rsid w:val="00833D92"/>
    <w:rsid w:val="00834072"/>
    <w:rsid w:val="00834F7D"/>
    <w:rsid w:val="008352A6"/>
    <w:rsid w:val="00835564"/>
    <w:rsid w:val="00835EFC"/>
    <w:rsid w:val="00840E56"/>
    <w:rsid w:val="008419DC"/>
    <w:rsid w:val="00843FC4"/>
    <w:rsid w:val="00844073"/>
    <w:rsid w:val="008443BC"/>
    <w:rsid w:val="0084442D"/>
    <w:rsid w:val="00844FE6"/>
    <w:rsid w:val="0084593D"/>
    <w:rsid w:val="00845AAC"/>
    <w:rsid w:val="00845BFD"/>
    <w:rsid w:val="00847347"/>
    <w:rsid w:val="00847BF8"/>
    <w:rsid w:val="00847E63"/>
    <w:rsid w:val="0085040D"/>
    <w:rsid w:val="00850D06"/>
    <w:rsid w:val="008514F3"/>
    <w:rsid w:val="00851D2C"/>
    <w:rsid w:val="008522EB"/>
    <w:rsid w:val="00852693"/>
    <w:rsid w:val="008541BB"/>
    <w:rsid w:val="0085488E"/>
    <w:rsid w:val="00855D2E"/>
    <w:rsid w:val="0085602F"/>
    <w:rsid w:val="00857C66"/>
    <w:rsid w:val="008601A5"/>
    <w:rsid w:val="00860FF1"/>
    <w:rsid w:val="0086152D"/>
    <w:rsid w:val="0086244A"/>
    <w:rsid w:val="00862455"/>
    <w:rsid w:val="0086268A"/>
    <w:rsid w:val="00865D0B"/>
    <w:rsid w:val="00866FD4"/>
    <w:rsid w:val="00867969"/>
    <w:rsid w:val="008708FD"/>
    <w:rsid w:val="0087148F"/>
    <w:rsid w:val="00871B57"/>
    <w:rsid w:val="00872F1E"/>
    <w:rsid w:val="00874679"/>
    <w:rsid w:val="00874C1E"/>
    <w:rsid w:val="008756FC"/>
    <w:rsid w:val="00876338"/>
    <w:rsid w:val="00876E20"/>
    <w:rsid w:val="00877F40"/>
    <w:rsid w:val="00882862"/>
    <w:rsid w:val="00882CD1"/>
    <w:rsid w:val="00883D40"/>
    <w:rsid w:val="00884784"/>
    <w:rsid w:val="008857E2"/>
    <w:rsid w:val="00885DEC"/>
    <w:rsid w:val="00886F15"/>
    <w:rsid w:val="00886F47"/>
    <w:rsid w:val="00887F81"/>
    <w:rsid w:val="008914E9"/>
    <w:rsid w:val="00891F81"/>
    <w:rsid w:val="00892C5D"/>
    <w:rsid w:val="00893EDC"/>
    <w:rsid w:val="008944F2"/>
    <w:rsid w:val="00895AA7"/>
    <w:rsid w:val="00895B80"/>
    <w:rsid w:val="00895DD8"/>
    <w:rsid w:val="00896946"/>
    <w:rsid w:val="00896DF8"/>
    <w:rsid w:val="008A026F"/>
    <w:rsid w:val="008A0441"/>
    <w:rsid w:val="008A0873"/>
    <w:rsid w:val="008A0D4C"/>
    <w:rsid w:val="008A22D0"/>
    <w:rsid w:val="008A2828"/>
    <w:rsid w:val="008A2AA8"/>
    <w:rsid w:val="008A2B02"/>
    <w:rsid w:val="008A2D94"/>
    <w:rsid w:val="008A3145"/>
    <w:rsid w:val="008A3D53"/>
    <w:rsid w:val="008A4CD1"/>
    <w:rsid w:val="008A5672"/>
    <w:rsid w:val="008A5C5E"/>
    <w:rsid w:val="008A67D3"/>
    <w:rsid w:val="008A6F70"/>
    <w:rsid w:val="008A73DB"/>
    <w:rsid w:val="008A743E"/>
    <w:rsid w:val="008A74E2"/>
    <w:rsid w:val="008A7B1F"/>
    <w:rsid w:val="008A7CA8"/>
    <w:rsid w:val="008B2D31"/>
    <w:rsid w:val="008B318B"/>
    <w:rsid w:val="008B3C52"/>
    <w:rsid w:val="008B3DD4"/>
    <w:rsid w:val="008B43D6"/>
    <w:rsid w:val="008B48E4"/>
    <w:rsid w:val="008B4947"/>
    <w:rsid w:val="008B4BA6"/>
    <w:rsid w:val="008B551F"/>
    <w:rsid w:val="008B5AF5"/>
    <w:rsid w:val="008B7729"/>
    <w:rsid w:val="008C014A"/>
    <w:rsid w:val="008C08C6"/>
    <w:rsid w:val="008C11BE"/>
    <w:rsid w:val="008C11EE"/>
    <w:rsid w:val="008C16A8"/>
    <w:rsid w:val="008C1A45"/>
    <w:rsid w:val="008C1E0A"/>
    <w:rsid w:val="008C350F"/>
    <w:rsid w:val="008C4B24"/>
    <w:rsid w:val="008C5201"/>
    <w:rsid w:val="008C6D11"/>
    <w:rsid w:val="008C70F9"/>
    <w:rsid w:val="008C7254"/>
    <w:rsid w:val="008C741B"/>
    <w:rsid w:val="008C7C69"/>
    <w:rsid w:val="008D0EC2"/>
    <w:rsid w:val="008D33EE"/>
    <w:rsid w:val="008D3558"/>
    <w:rsid w:val="008D5E14"/>
    <w:rsid w:val="008E0863"/>
    <w:rsid w:val="008E2719"/>
    <w:rsid w:val="008E2A47"/>
    <w:rsid w:val="008E2CB7"/>
    <w:rsid w:val="008E2E32"/>
    <w:rsid w:val="008E4946"/>
    <w:rsid w:val="008E4A27"/>
    <w:rsid w:val="008E7F16"/>
    <w:rsid w:val="008F12C9"/>
    <w:rsid w:val="008F12DD"/>
    <w:rsid w:val="008F1A30"/>
    <w:rsid w:val="008F25ED"/>
    <w:rsid w:val="008F2663"/>
    <w:rsid w:val="008F3AA8"/>
    <w:rsid w:val="008F3C01"/>
    <w:rsid w:val="008F50B1"/>
    <w:rsid w:val="008F5451"/>
    <w:rsid w:val="008F58D1"/>
    <w:rsid w:val="008F5B19"/>
    <w:rsid w:val="008F5E0A"/>
    <w:rsid w:val="008F63CF"/>
    <w:rsid w:val="008F6506"/>
    <w:rsid w:val="008F6C25"/>
    <w:rsid w:val="008F79A8"/>
    <w:rsid w:val="008F7DA1"/>
    <w:rsid w:val="0090087A"/>
    <w:rsid w:val="00900D19"/>
    <w:rsid w:val="00900D6E"/>
    <w:rsid w:val="00900DC1"/>
    <w:rsid w:val="00900EA7"/>
    <w:rsid w:val="0090196F"/>
    <w:rsid w:val="00901C96"/>
    <w:rsid w:val="00902A1D"/>
    <w:rsid w:val="0090422A"/>
    <w:rsid w:val="00904D23"/>
    <w:rsid w:val="00906F51"/>
    <w:rsid w:val="00910561"/>
    <w:rsid w:val="00910898"/>
    <w:rsid w:val="0091157F"/>
    <w:rsid w:val="0091171A"/>
    <w:rsid w:val="00912610"/>
    <w:rsid w:val="00912D7B"/>
    <w:rsid w:val="00913399"/>
    <w:rsid w:val="009139E6"/>
    <w:rsid w:val="00914614"/>
    <w:rsid w:val="00914F2B"/>
    <w:rsid w:val="009157A8"/>
    <w:rsid w:val="00920AAB"/>
    <w:rsid w:val="00920D0D"/>
    <w:rsid w:val="00923136"/>
    <w:rsid w:val="009235AA"/>
    <w:rsid w:val="00923DDD"/>
    <w:rsid w:val="009266CC"/>
    <w:rsid w:val="009274C1"/>
    <w:rsid w:val="009275B1"/>
    <w:rsid w:val="009307CF"/>
    <w:rsid w:val="00930A4B"/>
    <w:rsid w:val="00930B92"/>
    <w:rsid w:val="00930EAC"/>
    <w:rsid w:val="009313DE"/>
    <w:rsid w:val="00932170"/>
    <w:rsid w:val="00932966"/>
    <w:rsid w:val="00932BCC"/>
    <w:rsid w:val="00933FB0"/>
    <w:rsid w:val="009349C8"/>
    <w:rsid w:val="00935E14"/>
    <w:rsid w:val="0093607C"/>
    <w:rsid w:val="009363F7"/>
    <w:rsid w:val="0093708F"/>
    <w:rsid w:val="00937E18"/>
    <w:rsid w:val="0094178A"/>
    <w:rsid w:val="00941FAF"/>
    <w:rsid w:val="0094232D"/>
    <w:rsid w:val="0094272C"/>
    <w:rsid w:val="009432AA"/>
    <w:rsid w:val="00944117"/>
    <w:rsid w:val="0094715E"/>
    <w:rsid w:val="009500FC"/>
    <w:rsid w:val="00950279"/>
    <w:rsid w:val="00951CB8"/>
    <w:rsid w:val="009530BA"/>
    <w:rsid w:val="009533BB"/>
    <w:rsid w:val="00953D49"/>
    <w:rsid w:val="00955565"/>
    <w:rsid w:val="0095568C"/>
    <w:rsid w:val="0096167D"/>
    <w:rsid w:val="00961A06"/>
    <w:rsid w:val="00962092"/>
    <w:rsid w:val="00962BD4"/>
    <w:rsid w:val="00963451"/>
    <w:rsid w:val="0096633D"/>
    <w:rsid w:val="00966F85"/>
    <w:rsid w:val="00967544"/>
    <w:rsid w:val="00967707"/>
    <w:rsid w:val="009677FF"/>
    <w:rsid w:val="00970405"/>
    <w:rsid w:val="0097147B"/>
    <w:rsid w:val="00971496"/>
    <w:rsid w:val="009721EA"/>
    <w:rsid w:val="00972659"/>
    <w:rsid w:val="00973AD2"/>
    <w:rsid w:val="00973DBB"/>
    <w:rsid w:val="00974378"/>
    <w:rsid w:val="009744D2"/>
    <w:rsid w:val="00975352"/>
    <w:rsid w:val="0097688A"/>
    <w:rsid w:val="00976F70"/>
    <w:rsid w:val="00980113"/>
    <w:rsid w:val="00981048"/>
    <w:rsid w:val="009819A9"/>
    <w:rsid w:val="00981D99"/>
    <w:rsid w:val="00981DD3"/>
    <w:rsid w:val="00982DE9"/>
    <w:rsid w:val="00983255"/>
    <w:rsid w:val="0098477F"/>
    <w:rsid w:val="00984C7D"/>
    <w:rsid w:val="00984D8F"/>
    <w:rsid w:val="00985F3A"/>
    <w:rsid w:val="00987C0A"/>
    <w:rsid w:val="00990216"/>
    <w:rsid w:val="0099064C"/>
    <w:rsid w:val="00990EF2"/>
    <w:rsid w:val="0099109D"/>
    <w:rsid w:val="00991916"/>
    <w:rsid w:val="00992F85"/>
    <w:rsid w:val="00993446"/>
    <w:rsid w:val="00993487"/>
    <w:rsid w:val="00993E61"/>
    <w:rsid w:val="0099512A"/>
    <w:rsid w:val="009956DB"/>
    <w:rsid w:val="009958C9"/>
    <w:rsid w:val="00995C15"/>
    <w:rsid w:val="00995E85"/>
    <w:rsid w:val="00996603"/>
    <w:rsid w:val="009976B6"/>
    <w:rsid w:val="009A2101"/>
    <w:rsid w:val="009A2EF2"/>
    <w:rsid w:val="009A32DE"/>
    <w:rsid w:val="009A42AC"/>
    <w:rsid w:val="009A55FF"/>
    <w:rsid w:val="009A5A71"/>
    <w:rsid w:val="009A6C1A"/>
    <w:rsid w:val="009A6D22"/>
    <w:rsid w:val="009A6ED9"/>
    <w:rsid w:val="009A7054"/>
    <w:rsid w:val="009A747F"/>
    <w:rsid w:val="009A7524"/>
    <w:rsid w:val="009A7909"/>
    <w:rsid w:val="009A7D0E"/>
    <w:rsid w:val="009B078E"/>
    <w:rsid w:val="009B15B9"/>
    <w:rsid w:val="009B1E5D"/>
    <w:rsid w:val="009B21E6"/>
    <w:rsid w:val="009B2D3D"/>
    <w:rsid w:val="009B36DB"/>
    <w:rsid w:val="009B3FD0"/>
    <w:rsid w:val="009B4500"/>
    <w:rsid w:val="009B4C2C"/>
    <w:rsid w:val="009B5A8D"/>
    <w:rsid w:val="009B6201"/>
    <w:rsid w:val="009B6BB3"/>
    <w:rsid w:val="009C08D5"/>
    <w:rsid w:val="009C14B7"/>
    <w:rsid w:val="009C2630"/>
    <w:rsid w:val="009C2724"/>
    <w:rsid w:val="009C3768"/>
    <w:rsid w:val="009C398E"/>
    <w:rsid w:val="009C3C62"/>
    <w:rsid w:val="009C4105"/>
    <w:rsid w:val="009C434B"/>
    <w:rsid w:val="009C4830"/>
    <w:rsid w:val="009C4BBF"/>
    <w:rsid w:val="009C5A04"/>
    <w:rsid w:val="009C6EB4"/>
    <w:rsid w:val="009C73D5"/>
    <w:rsid w:val="009D01EE"/>
    <w:rsid w:val="009D0A06"/>
    <w:rsid w:val="009D15BA"/>
    <w:rsid w:val="009D15D8"/>
    <w:rsid w:val="009D1974"/>
    <w:rsid w:val="009D19B6"/>
    <w:rsid w:val="009D48FF"/>
    <w:rsid w:val="009D4D0E"/>
    <w:rsid w:val="009D4E58"/>
    <w:rsid w:val="009D5426"/>
    <w:rsid w:val="009D601A"/>
    <w:rsid w:val="009D6C19"/>
    <w:rsid w:val="009D720D"/>
    <w:rsid w:val="009D726D"/>
    <w:rsid w:val="009E09F5"/>
    <w:rsid w:val="009E18D1"/>
    <w:rsid w:val="009E199A"/>
    <w:rsid w:val="009E1ADF"/>
    <w:rsid w:val="009E213D"/>
    <w:rsid w:val="009E37F4"/>
    <w:rsid w:val="009E3AF5"/>
    <w:rsid w:val="009E7E91"/>
    <w:rsid w:val="009F0496"/>
    <w:rsid w:val="009F04F2"/>
    <w:rsid w:val="009F0C72"/>
    <w:rsid w:val="009F163E"/>
    <w:rsid w:val="009F17D9"/>
    <w:rsid w:val="009F1CF5"/>
    <w:rsid w:val="009F236D"/>
    <w:rsid w:val="009F27CE"/>
    <w:rsid w:val="009F2CE0"/>
    <w:rsid w:val="009F33B6"/>
    <w:rsid w:val="009F3B7D"/>
    <w:rsid w:val="009F3F92"/>
    <w:rsid w:val="009F66D9"/>
    <w:rsid w:val="009F67DD"/>
    <w:rsid w:val="00A0047B"/>
    <w:rsid w:val="00A01017"/>
    <w:rsid w:val="00A03395"/>
    <w:rsid w:val="00A049F0"/>
    <w:rsid w:val="00A05A92"/>
    <w:rsid w:val="00A06464"/>
    <w:rsid w:val="00A07984"/>
    <w:rsid w:val="00A0799D"/>
    <w:rsid w:val="00A07A2E"/>
    <w:rsid w:val="00A07B65"/>
    <w:rsid w:val="00A07B71"/>
    <w:rsid w:val="00A106AC"/>
    <w:rsid w:val="00A10EC3"/>
    <w:rsid w:val="00A11D58"/>
    <w:rsid w:val="00A11D5C"/>
    <w:rsid w:val="00A122FC"/>
    <w:rsid w:val="00A12647"/>
    <w:rsid w:val="00A1346A"/>
    <w:rsid w:val="00A14411"/>
    <w:rsid w:val="00A14E6C"/>
    <w:rsid w:val="00A15225"/>
    <w:rsid w:val="00A15CF5"/>
    <w:rsid w:val="00A163ED"/>
    <w:rsid w:val="00A16401"/>
    <w:rsid w:val="00A1713C"/>
    <w:rsid w:val="00A20731"/>
    <w:rsid w:val="00A218F6"/>
    <w:rsid w:val="00A21CC5"/>
    <w:rsid w:val="00A22349"/>
    <w:rsid w:val="00A24206"/>
    <w:rsid w:val="00A2503A"/>
    <w:rsid w:val="00A25B02"/>
    <w:rsid w:val="00A25DE8"/>
    <w:rsid w:val="00A2732A"/>
    <w:rsid w:val="00A27F78"/>
    <w:rsid w:val="00A32401"/>
    <w:rsid w:val="00A32F32"/>
    <w:rsid w:val="00A33CA1"/>
    <w:rsid w:val="00A33E36"/>
    <w:rsid w:val="00A33F3B"/>
    <w:rsid w:val="00A35479"/>
    <w:rsid w:val="00A3642E"/>
    <w:rsid w:val="00A3647C"/>
    <w:rsid w:val="00A365EC"/>
    <w:rsid w:val="00A36BA8"/>
    <w:rsid w:val="00A40F1D"/>
    <w:rsid w:val="00A41429"/>
    <w:rsid w:val="00A427CE"/>
    <w:rsid w:val="00A42C9D"/>
    <w:rsid w:val="00A43389"/>
    <w:rsid w:val="00A4338D"/>
    <w:rsid w:val="00A434A6"/>
    <w:rsid w:val="00A44E34"/>
    <w:rsid w:val="00A45D36"/>
    <w:rsid w:val="00A4677E"/>
    <w:rsid w:val="00A47570"/>
    <w:rsid w:val="00A511D1"/>
    <w:rsid w:val="00A5168F"/>
    <w:rsid w:val="00A5226C"/>
    <w:rsid w:val="00A5432F"/>
    <w:rsid w:val="00A54ABB"/>
    <w:rsid w:val="00A54ADA"/>
    <w:rsid w:val="00A54C6F"/>
    <w:rsid w:val="00A55F17"/>
    <w:rsid w:val="00A56A8A"/>
    <w:rsid w:val="00A56FE7"/>
    <w:rsid w:val="00A573D5"/>
    <w:rsid w:val="00A57B27"/>
    <w:rsid w:val="00A57B75"/>
    <w:rsid w:val="00A60037"/>
    <w:rsid w:val="00A6090B"/>
    <w:rsid w:val="00A6133B"/>
    <w:rsid w:val="00A61663"/>
    <w:rsid w:val="00A61A70"/>
    <w:rsid w:val="00A61FE7"/>
    <w:rsid w:val="00A62837"/>
    <w:rsid w:val="00A62A9D"/>
    <w:rsid w:val="00A62D73"/>
    <w:rsid w:val="00A62FA8"/>
    <w:rsid w:val="00A6500D"/>
    <w:rsid w:val="00A6661C"/>
    <w:rsid w:val="00A66C26"/>
    <w:rsid w:val="00A70072"/>
    <w:rsid w:val="00A70091"/>
    <w:rsid w:val="00A70AF2"/>
    <w:rsid w:val="00A70BA8"/>
    <w:rsid w:val="00A71853"/>
    <w:rsid w:val="00A72040"/>
    <w:rsid w:val="00A73429"/>
    <w:rsid w:val="00A73BB7"/>
    <w:rsid w:val="00A73FC2"/>
    <w:rsid w:val="00A7482E"/>
    <w:rsid w:val="00A7626D"/>
    <w:rsid w:val="00A76FBA"/>
    <w:rsid w:val="00A7748D"/>
    <w:rsid w:val="00A800D7"/>
    <w:rsid w:val="00A80655"/>
    <w:rsid w:val="00A828BD"/>
    <w:rsid w:val="00A829E9"/>
    <w:rsid w:val="00A84621"/>
    <w:rsid w:val="00A8628C"/>
    <w:rsid w:val="00A907B7"/>
    <w:rsid w:val="00A90F2D"/>
    <w:rsid w:val="00A91355"/>
    <w:rsid w:val="00A91C25"/>
    <w:rsid w:val="00A921DB"/>
    <w:rsid w:val="00A92B8C"/>
    <w:rsid w:val="00A92C42"/>
    <w:rsid w:val="00A9340A"/>
    <w:rsid w:val="00A93DA4"/>
    <w:rsid w:val="00A948BE"/>
    <w:rsid w:val="00A9668E"/>
    <w:rsid w:val="00A9693D"/>
    <w:rsid w:val="00A96F83"/>
    <w:rsid w:val="00AA07C7"/>
    <w:rsid w:val="00AA1A2A"/>
    <w:rsid w:val="00AA1B8D"/>
    <w:rsid w:val="00AA2003"/>
    <w:rsid w:val="00AA2105"/>
    <w:rsid w:val="00AA23C0"/>
    <w:rsid w:val="00AA346C"/>
    <w:rsid w:val="00AA3758"/>
    <w:rsid w:val="00AA3D9F"/>
    <w:rsid w:val="00AA42A9"/>
    <w:rsid w:val="00AA42F2"/>
    <w:rsid w:val="00AA54CC"/>
    <w:rsid w:val="00AA585F"/>
    <w:rsid w:val="00AA5C6F"/>
    <w:rsid w:val="00AA5D01"/>
    <w:rsid w:val="00AA6720"/>
    <w:rsid w:val="00AA6BC4"/>
    <w:rsid w:val="00AA6EDD"/>
    <w:rsid w:val="00AA70EE"/>
    <w:rsid w:val="00AA77EF"/>
    <w:rsid w:val="00AA79FF"/>
    <w:rsid w:val="00AA7D62"/>
    <w:rsid w:val="00AA7F68"/>
    <w:rsid w:val="00AB10EE"/>
    <w:rsid w:val="00AB1566"/>
    <w:rsid w:val="00AB168D"/>
    <w:rsid w:val="00AB2806"/>
    <w:rsid w:val="00AB326C"/>
    <w:rsid w:val="00AB3315"/>
    <w:rsid w:val="00AB3999"/>
    <w:rsid w:val="00AB3CEA"/>
    <w:rsid w:val="00AB3DF0"/>
    <w:rsid w:val="00AB4048"/>
    <w:rsid w:val="00AB41CF"/>
    <w:rsid w:val="00AB4ACF"/>
    <w:rsid w:val="00AB4E56"/>
    <w:rsid w:val="00AB4E6D"/>
    <w:rsid w:val="00AB5A86"/>
    <w:rsid w:val="00AB7049"/>
    <w:rsid w:val="00AB71BD"/>
    <w:rsid w:val="00AB75EB"/>
    <w:rsid w:val="00AB7A45"/>
    <w:rsid w:val="00AC06B1"/>
    <w:rsid w:val="00AC0815"/>
    <w:rsid w:val="00AC0AE5"/>
    <w:rsid w:val="00AC2446"/>
    <w:rsid w:val="00AC24CC"/>
    <w:rsid w:val="00AC27AC"/>
    <w:rsid w:val="00AC2915"/>
    <w:rsid w:val="00AC2B2E"/>
    <w:rsid w:val="00AC36C8"/>
    <w:rsid w:val="00AC47C1"/>
    <w:rsid w:val="00AC5D1B"/>
    <w:rsid w:val="00AC64E3"/>
    <w:rsid w:val="00AC71F1"/>
    <w:rsid w:val="00AC73DA"/>
    <w:rsid w:val="00AD025F"/>
    <w:rsid w:val="00AD0D70"/>
    <w:rsid w:val="00AD160B"/>
    <w:rsid w:val="00AD1A71"/>
    <w:rsid w:val="00AD20B4"/>
    <w:rsid w:val="00AD3ADE"/>
    <w:rsid w:val="00AD48D6"/>
    <w:rsid w:val="00AD5363"/>
    <w:rsid w:val="00AD6518"/>
    <w:rsid w:val="00AD6754"/>
    <w:rsid w:val="00AD690D"/>
    <w:rsid w:val="00AE1EFE"/>
    <w:rsid w:val="00AE24BF"/>
    <w:rsid w:val="00AE26EE"/>
    <w:rsid w:val="00AE2817"/>
    <w:rsid w:val="00AE2A37"/>
    <w:rsid w:val="00AE2A60"/>
    <w:rsid w:val="00AE2AA6"/>
    <w:rsid w:val="00AE2CD0"/>
    <w:rsid w:val="00AE36E5"/>
    <w:rsid w:val="00AE39D6"/>
    <w:rsid w:val="00AE3D6D"/>
    <w:rsid w:val="00AE48A0"/>
    <w:rsid w:val="00AE521E"/>
    <w:rsid w:val="00AF0466"/>
    <w:rsid w:val="00AF0615"/>
    <w:rsid w:val="00AF0678"/>
    <w:rsid w:val="00AF1670"/>
    <w:rsid w:val="00AF2396"/>
    <w:rsid w:val="00AF2658"/>
    <w:rsid w:val="00AF2906"/>
    <w:rsid w:val="00AF435E"/>
    <w:rsid w:val="00AF48F6"/>
    <w:rsid w:val="00AF4A95"/>
    <w:rsid w:val="00AF515F"/>
    <w:rsid w:val="00AF585C"/>
    <w:rsid w:val="00AF59B7"/>
    <w:rsid w:val="00AF65EE"/>
    <w:rsid w:val="00AF6DB4"/>
    <w:rsid w:val="00AF7FB9"/>
    <w:rsid w:val="00B01E8D"/>
    <w:rsid w:val="00B020C5"/>
    <w:rsid w:val="00B024CB"/>
    <w:rsid w:val="00B02A09"/>
    <w:rsid w:val="00B03044"/>
    <w:rsid w:val="00B04077"/>
    <w:rsid w:val="00B059EC"/>
    <w:rsid w:val="00B066EA"/>
    <w:rsid w:val="00B06E5A"/>
    <w:rsid w:val="00B075A8"/>
    <w:rsid w:val="00B078C5"/>
    <w:rsid w:val="00B10AD2"/>
    <w:rsid w:val="00B10B7F"/>
    <w:rsid w:val="00B10CAD"/>
    <w:rsid w:val="00B11557"/>
    <w:rsid w:val="00B116B5"/>
    <w:rsid w:val="00B128CC"/>
    <w:rsid w:val="00B12996"/>
    <w:rsid w:val="00B129BA"/>
    <w:rsid w:val="00B1333D"/>
    <w:rsid w:val="00B13498"/>
    <w:rsid w:val="00B135FE"/>
    <w:rsid w:val="00B14144"/>
    <w:rsid w:val="00B14E03"/>
    <w:rsid w:val="00B1600B"/>
    <w:rsid w:val="00B176DA"/>
    <w:rsid w:val="00B217C9"/>
    <w:rsid w:val="00B21E59"/>
    <w:rsid w:val="00B22042"/>
    <w:rsid w:val="00B231C2"/>
    <w:rsid w:val="00B2337A"/>
    <w:rsid w:val="00B2368F"/>
    <w:rsid w:val="00B23723"/>
    <w:rsid w:val="00B2428E"/>
    <w:rsid w:val="00B24D10"/>
    <w:rsid w:val="00B2561D"/>
    <w:rsid w:val="00B261A5"/>
    <w:rsid w:val="00B26649"/>
    <w:rsid w:val="00B301CB"/>
    <w:rsid w:val="00B319FB"/>
    <w:rsid w:val="00B32815"/>
    <w:rsid w:val="00B32831"/>
    <w:rsid w:val="00B3290F"/>
    <w:rsid w:val="00B32E35"/>
    <w:rsid w:val="00B33175"/>
    <w:rsid w:val="00B33C66"/>
    <w:rsid w:val="00B33F1C"/>
    <w:rsid w:val="00B3559C"/>
    <w:rsid w:val="00B36629"/>
    <w:rsid w:val="00B36BCC"/>
    <w:rsid w:val="00B40FE1"/>
    <w:rsid w:val="00B411E2"/>
    <w:rsid w:val="00B41954"/>
    <w:rsid w:val="00B42468"/>
    <w:rsid w:val="00B42660"/>
    <w:rsid w:val="00B428A8"/>
    <w:rsid w:val="00B430B8"/>
    <w:rsid w:val="00B45020"/>
    <w:rsid w:val="00B45E14"/>
    <w:rsid w:val="00B45F65"/>
    <w:rsid w:val="00B462BB"/>
    <w:rsid w:val="00B464BB"/>
    <w:rsid w:val="00B46D0B"/>
    <w:rsid w:val="00B47E6E"/>
    <w:rsid w:val="00B47EC6"/>
    <w:rsid w:val="00B513E3"/>
    <w:rsid w:val="00B514C7"/>
    <w:rsid w:val="00B5161B"/>
    <w:rsid w:val="00B51985"/>
    <w:rsid w:val="00B51ADF"/>
    <w:rsid w:val="00B5259D"/>
    <w:rsid w:val="00B53B8B"/>
    <w:rsid w:val="00B54AB8"/>
    <w:rsid w:val="00B5551E"/>
    <w:rsid w:val="00B55DCD"/>
    <w:rsid w:val="00B567E9"/>
    <w:rsid w:val="00B56A9C"/>
    <w:rsid w:val="00B57126"/>
    <w:rsid w:val="00B57637"/>
    <w:rsid w:val="00B57A77"/>
    <w:rsid w:val="00B607B7"/>
    <w:rsid w:val="00B60E09"/>
    <w:rsid w:val="00B611C0"/>
    <w:rsid w:val="00B61888"/>
    <w:rsid w:val="00B61D67"/>
    <w:rsid w:val="00B624AA"/>
    <w:rsid w:val="00B62D38"/>
    <w:rsid w:val="00B63447"/>
    <w:rsid w:val="00B635C4"/>
    <w:rsid w:val="00B647CE"/>
    <w:rsid w:val="00B64E8B"/>
    <w:rsid w:val="00B64FFF"/>
    <w:rsid w:val="00B65562"/>
    <w:rsid w:val="00B66980"/>
    <w:rsid w:val="00B66F59"/>
    <w:rsid w:val="00B6791D"/>
    <w:rsid w:val="00B70749"/>
    <w:rsid w:val="00B70FAA"/>
    <w:rsid w:val="00B712B2"/>
    <w:rsid w:val="00B71368"/>
    <w:rsid w:val="00B7168A"/>
    <w:rsid w:val="00B71E94"/>
    <w:rsid w:val="00B7435B"/>
    <w:rsid w:val="00B74434"/>
    <w:rsid w:val="00B7562E"/>
    <w:rsid w:val="00B758A2"/>
    <w:rsid w:val="00B768C1"/>
    <w:rsid w:val="00B76E94"/>
    <w:rsid w:val="00B7761F"/>
    <w:rsid w:val="00B802C9"/>
    <w:rsid w:val="00B80CF0"/>
    <w:rsid w:val="00B8221C"/>
    <w:rsid w:val="00B8244D"/>
    <w:rsid w:val="00B8329C"/>
    <w:rsid w:val="00B8380D"/>
    <w:rsid w:val="00B842E3"/>
    <w:rsid w:val="00B84944"/>
    <w:rsid w:val="00B84ADF"/>
    <w:rsid w:val="00B84BEE"/>
    <w:rsid w:val="00B84D3A"/>
    <w:rsid w:val="00B85B8F"/>
    <w:rsid w:val="00B867B9"/>
    <w:rsid w:val="00B87757"/>
    <w:rsid w:val="00B90841"/>
    <w:rsid w:val="00B91069"/>
    <w:rsid w:val="00B9114A"/>
    <w:rsid w:val="00B917D1"/>
    <w:rsid w:val="00B917FD"/>
    <w:rsid w:val="00B93534"/>
    <w:rsid w:val="00B941C5"/>
    <w:rsid w:val="00B94A0B"/>
    <w:rsid w:val="00B954A9"/>
    <w:rsid w:val="00B954CA"/>
    <w:rsid w:val="00B95A9E"/>
    <w:rsid w:val="00B95C40"/>
    <w:rsid w:val="00BA033E"/>
    <w:rsid w:val="00BA1507"/>
    <w:rsid w:val="00BA28DC"/>
    <w:rsid w:val="00BA6791"/>
    <w:rsid w:val="00BA6C0F"/>
    <w:rsid w:val="00BA7547"/>
    <w:rsid w:val="00BB0034"/>
    <w:rsid w:val="00BB00E2"/>
    <w:rsid w:val="00BB1805"/>
    <w:rsid w:val="00BB2484"/>
    <w:rsid w:val="00BB3552"/>
    <w:rsid w:val="00BB3F65"/>
    <w:rsid w:val="00BB5748"/>
    <w:rsid w:val="00BB5BD5"/>
    <w:rsid w:val="00BB5C46"/>
    <w:rsid w:val="00BB7637"/>
    <w:rsid w:val="00BC0248"/>
    <w:rsid w:val="00BC04EE"/>
    <w:rsid w:val="00BC06C0"/>
    <w:rsid w:val="00BC1558"/>
    <w:rsid w:val="00BC2DA6"/>
    <w:rsid w:val="00BC2E2C"/>
    <w:rsid w:val="00BC4CEA"/>
    <w:rsid w:val="00BD005C"/>
    <w:rsid w:val="00BD124E"/>
    <w:rsid w:val="00BD22E7"/>
    <w:rsid w:val="00BD2CBC"/>
    <w:rsid w:val="00BD3D44"/>
    <w:rsid w:val="00BD3EB7"/>
    <w:rsid w:val="00BD4B41"/>
    <w:rsid w:val="00BD598E"/>
    <w:rsid w:val="00BD65DD"/>
    <w:rsid w:val="00BE03DC"/>
    <w:rsid w:val="00BE2653"/>
    <w:rsid w:val="00BE285F"/>
    <w:rsid w:val="00BE341B"/>
    <w:rsid w:val="00BE3972"/>
    <w:rsid w:val="00BE4B76"/>
    <w:rsid w:val="00BE577C"/>
    <w:rsid w:val="00BE5B1C"/>
    <w:rsid w:val="00BE5D21"/>
    <w:rsid w:val="00BE672C"/>
    <w:rsid w:val="00BE67A3"/>
    <w:rsid w:val="00BE7476"/>
    <w:rsid w:val="00BF1566"/>
    <w:rsid w:val="00BF18AC"/>
    <w:rsid w:val="00BF18EF"/>
    <w:rsid w:val="00BF1BAA"/>
    <w:rsid w:val="00BF1E73"/>
    <w:rsid w:val="00BF2733"/>
    <w:rsid w:val="00BF32AF"/>
    <w:rsid w:val="00BF32EF"/>
    <w:rsid w:val="00BF3F34"/>
    <w:rsid w:val="00BF43D7"/>
    <w:rsid w:val="00BF635A"/>
    <w:rsid w:val="00BF63ED"/>
    <w:rsid w:val="00BF66E9"/>
    <w:rsid w:val="00BF6870"/>
    <w:rsid w:val="00C00583"/>
    <w:rsid w:val="00C00E60"/>
    <w:rsid w:val="00C01ADC"/>
    <w:rsid w:val="00C01C53"/>
    <w:rsid w:val="00C02AA7"/>
    <w:rsid w:val="00C02CCD"/>
    <w:rsid w:val="00C03575"/>
    <w:rsid w:val="00C03747"/>
    <w:rsid w:val="00C03C59"/>
    <w:rsid w:val="00C03FBB"/>
    <w:rsid w:val="00C05962"/>
    <w:rsid w:val="00C05BA7"/>
    <w:rsid w:val="00C05E3A"/>
    <w:rsid w:val="00C064FC"/>
    <w:rsid w:val="00C06858"/>
    <w:rsid w:val="00C06A16"/>
    <w:rsid w:val="00C0703A"/>
    <w:rsid w:val="00C07A44"/>
    <w:rsid w:val="00C07E76"/>
    <w:rsid w:val="00C1019E"/>
    <w:rsid w:val="00C10E60"/>
    <w:rsid w:val="00C122B0"/>
    <w:rsid w:val="00C12326"/>
    <w:rsid w:val="00C14899"/>
    <w:rsid w:val="00C15374"/>
    <w:rsid w:val="00C1644C"/>
    <w:rsid w:val="00C2010B"/>
    <w:rsid w:val="00C20BC5"/>
    <w:rsid w:val="00C21E2D"/>
    <w:rsid w:val="00C22EBA"/>
    <w:rsid w:val="00C24C33"/>
    <w:rsid w:val="00C2518C"/>
    <w:rsid w:val="00C2553D"/>
    <w:rsid w:val="00C25CF1"/>
    <w:rsid w:val="00C262C9"/>
    <w:rsid w:val="00C26C70"/>
    <w:rsid w:val="00C271B6"/>
    <w:rsid w:val="00C30A71"/>
    <w:rsid w:val="00C3184E"/>
    <w:rsid w:val="00C31B58"/>
    <w:rsid w:val="00C31CA8"/>
    <w:rsid w:val="00C31E4B"/>
    <w:rsid w:val="00C321D8"/>
    <w:rsid w:val="00C324BA"/>
    <w:rsid w:val="00C32559"/>
    <w:rsid w:val="00C32808"/>
    <w:rsid w:val="00C3353C"/>
    <w:rsid w:val="00C33A20"/>
    <w:rsid w:val="00C34743"/>
    <w:rsid w:val="00C35692"/>
    <w:rsid w:val="00C35DEE"/>
    <w:rsid w:val="00C36D4C"/>
    <w:rsid w:val="00C371AC"/>
    <w:rsid w:val="00C4030F"/>
    <w:rsid w:val="00C404F2"/>
    <w:rsid w:val="00C41B39"/>
    <w:rsid w:val="00C424C8"/>
    <w:rsid w:val="00C435B8"/>
    <w:rsid w:val="00C441C6"/>
    <w:rsid w:val="00C44463"/>
    <w:rsid w:val="00C44649"/>
    <w:rsid w:val="00C44731"/>
    <w:rsid w:val="00C45562"/>
    <w:rsid w:val="00C4670B"/>
    <w:rsid w:val="00C46E71"/>
    <w:rsid w:val="00C47F54"/>
    <w:rsid w:val="00C50C24"/>
    <w:rsid w:val="00C51B17"/>
    <w:rsid w:val="00C5225F"/>
    <w:rsid w:val="00C5226B"/>
    <w:rsid w:val="00C524C7"/>
    <w:rsid w:val="00C5371D"/>
    <w:rsid w:val="00C547E0"/>
    <w:rsid w:val="00C551D4"/>
    <w:rsid w:val="00C56B37"/>
    <w:rsid w:val="00C57FB7"/>
    <w:rsid w:val="00C60832"/>
    <w:rsid w:val="00C612BC"/>
    <w:rsid w:val="00C620C8"/>
    <w:rsid w:val="00C623D4"/>
    <w:rsid w:val="00C63147"/>
    <w:rsid w:val="00C644CF"/>
    <w:rsid w:val="00C64AEB"/>
    <w:rsid w:val="00C661FD"/>
    <w:rsid w:val="00C6766B"/>
    <w:rsid w:val="00C6796B"/>
    <w:rsid w:val="00C7081C"/>
    <w:rsid w:val="00C70DB8"/>
    <w:rsid w:val="00C71B26"/>
    <w:rsid w:val="00C7282D"/>
    <w:rsid w:val="00C74275"/>
    <w:rsid w:val="00C745B3"/>
    <w:rsid w:val="00C751C4"/>
    <w:rsid w:val="00C755BD"/>
    <w:rsid w:val="00C756FB"/>
    <w:rsid w:val="00C75F4B"/>
    <w:rsid w:val="00C760C8"/>
    <w:rsid w:val="00C76272"/>
    <w:rsid w:val="00C7653F"/>
    <w:rsid w:val="00C77896"/>
    <w:rsid w:val="00C779B4"/>
    <w:rsid w:val="00C800C8"/>
    <w:rsid w:val="00C80787"/>
    <w:rsid w:val="00C80843"/>
    <w:rsid w:val="00C808C0"/>
    <w:rsid w:val="00C81EAD"/>
    <w:rsid w:val="00C85537"/>
    <w:rsid w:val="00C85842"/>
    <w:rsid w:val="00C86CB3"/>
    <w:rsid w:val="00C871A2"/>
    <w:rsid w:val="00C877F3"/>
    <w:rsid w:val="00C900FA"/>
    <w:rsid w:val="00C901F1"/>
    <w:rsid w:val="00C9177D"/>
    <w:rsid w:val="00C91AC7"/>
    <w:rsid w:val="00C921AA"/>
    <w:rsid w:val="00C92CDB"/>
    <w:rsid w:val="00C92EA2"/>
    <w:rsid w:val="00C93096"/>
    <w:rsid w:val="00C9437F"/>
    <w:rsid w:val="00C9441A"/>
    <w:rsid w:val="00C95E60"/>
    <w:rsid w:val="00C96DA7"/>
    <w:rsid w:val="00C97D12"/>
    <w:rsid w:val="00CA034F"/>
    <w:rsid w:val="00CA052A"/>
    <w:rsid w:val="00CA07F8"/>
    <w:rsid w:val="00CA0CD8"/>
    <w:rsid w:val="00CA0F23"/>
    <w:rsid w:val="00CA1D58"/>
    <w:rsid w:val="00CA1D5F"/>
    <w:rsid w:val="00CA1F7F"/>
    <w:rsid w:val="00CA2E97"/>
    <w:rsid w:val="00CA32CC"/>
    <w:rsid w:val="00CA3B32"/>
    <w:rsid w:val="00CA4209"/>
    <w:rsid w:val="00CA482B"/>
    <w:rsid w:val="00CA4A14"/>
    <w:rsid w:val="00CA5728"/>
    <w:rsid w:val="00CA59B8"/>
    <w:rsid w:val="00CA6635"/>
    <w:rsid w:val="00CA732C"/>
    <w:rsid w:val="00CB206B"/>
    <w:rsid w:val="00CB24D2"/>
    <w:rsid w:val="00CB252A"/>
    <w:rsid w:val="00CB2DB2"/>
    <w:rsid w:val="00CB434C"/>
    <w:rsid w:val="00CB4351"/>
    <w:rsid w:val="00CB4D1B"/>
    <w:rsid w:val="00CB5B21"/>
    <w:rsid w:val="00CB6198"/>
    <w:rsid w:val="00CB71FF"/>
    <w:rsid w:val="00CB74C0"/>
    <w:rsid w:val="00CB7A6E"/>
    <w:rsid w:val="00CC0A61"/>
    <w:rsid w:val="00CC2264"/>
    <w:rsid w:val="00CC462D"/>
    <w:rsid w:val="00CC5D84"/>
    <w:rsid w:val="00CC62D1"/>
    <w:rsid w:val="00CC6328"/>
    <w:rsid w:val="00CC6673"/>
    <w:rsid w:val="00CC6CCC"/>
    <w:rsid w:val="00CC7C3D"/>
    <w:rsid w:val="00CD0210"/>
    <w:rsid w:val="00CD0428"/>
    <w:rsid w:val="00CD2ABC"/>
    <w:rsid w:val="00CD2EFE"/>
    <w:rsid w:val="00CD36CF"/>
    <w:rsid w:val="00CD3A81"/>
    <w:rsid w:val="00CD4873"/>
    <w:rsid w:val="00CD4A44"/>
    <w:rsid w:val="00CD4CBC"/>
    <w:rsid w:val="00CD4EFA"/>
    <w:rsid w:val="00CD50FC"/>
    <w:rsid w:val="00CD6070"/>
    <w:rsid w:val="00CD6B8F"/>
    <w:rsid w:val="00CD6D91"/>
    <w:rsid w:val="00CD7929"/>
    <w:rsid w:val="00CE2143"/>
    <w:rsid w:val="00CE450A"/>
    <w:rsid w:val="00CE46D4"/>
    <w:rsid w:val="00CE51EC"/>
    <w:rsid w:val="00CE6755"/>
    <w:rsid w:val="00CE793B"/>
    <w:rsid w:val="00CF044B"/>
    <w:rsid w:val="00CF0E2E"/>
    <w:rsid w:val="00CF11E5"/>
    <w:rsid w:val="00CF129D"/>
    <w:rsid w:val="00CF1919"/>
    <w:rsid w:val="00CF1EAE"/>
    <w:rsid w:val="00CF3A26"/>
    <w:rsid w:val="00CF41BD"/>
    <w:rsid w:val="00CF47C2"/>
    <w:rsid w:val="00CF4E04"/>
    <w:rsid w:val="00CF6B29"/>
    <w:rsid w:val="00CF7896"/>
    <w:rsid w:val="00CF7BB5"/>
    <w:rsid w:val="00CF7CFC"/>
    <w:rsid w:val="00D00EF7"/>
    <w:rsid w:val="00D01645"/>
    <w:rsid w:val="00D01FC6"/>
    <w:rsid w:val="00D0218C"/>
    <w:rsid w:val="00D044BA"/>
    <w:rsid w:val="00D048D7"/>
    <w:rsid w:val="00D05797"/>
    <w:rsid w:val="00D05D8D"/>
    <w:rsid w:val="00D06994"/>
    <w:rsid w:val="00D06D83"/>
    <w:rsid w:val="00D07672"/>
    <w:rsid w:val="00D10EA2"/>
    <w:rsid w:val="00D11670"/>
    <w:rsid w:val="00D1212F"/>
    <w:rsid w:val="00D14931"/>
    <w:rsid w:val="00D153B6"/>
    <w:rsid w:val="00D15959"/>
    <w:rsid w:val="00D15BD9"/>
    <w:rsid w:val="00D17898"/>
    <w:rsid w:val="00D17FAD"/>
    <w:rsid w:val="00D209FF"/>
    <w:rsid w:val="00D21892"/>
    <w:rsid w:val="00D21C5D"/>
    <w:rsid w:val="00D225E3"/>
    <w:rsid w:val="00D22FEA"/>
    <w:rsid w:val="00D23FA0"/>
    <w:rsid w:val="00D240AE"/>
    <w:rsid w:val="00D24ABE"/>
    <w:rsid w:val="00D24D45"/>
    <w:rsid w:val="00D264F3"/>
    <w:rsid w:val="00D31D1F"/>
    <w:rsid w:val="00D31F2D"/>
    <w:rsid w:val="00D31F52"/>
    <w:rsid w:val="00D321BD"/>
    <w:rsid w:val="00D3396A"/>
    <w:rsid w:val="00D35592"/>
    <w:rsid w:val="00D36CB2"/>
    <w:rsid w:val="00D40E3C"/>
    <w:rsid w:val="00D41725"/>
    <w:rsid w:val="00D42114"/>
    <w:rsid w:val="00D42CA7"/>
    <w:rsid w:val="00D42CF3"/>
    <w:rsid w:val="00D4337F"/>
    <w:rsid w:val="00D43596"/>
    <w:rsid w:val="00D436A2"/>
    <w:rsid w:val="00D44171"/>
    <w:rsid w:val="00D45151"/>
    <w:rsid w:val="00D451F2"/>
    <w:rsid w:val="00D457E7"/>
    <w:rsid w:val="00D45CEF"/>
    <w:rsid w:val="00D46A11"/>
    <w:rsid w:val="00D478D3"/>
    <w:rsid w:val="00D50946"/>
    <w:rsid w:val="00D5103D"/>
    <w:rsid w:val="00D51799"/>
    <w:rsid w:val="00D525A2"/>
    <w:rsid w:val="00D53665"/>
    <w:rsid w:val="00D53E67"/>
    <w:rsid w:val="00D559BF"/>
    <w:rsid w:val="00D57A6B"/>
    <w:rsid w:val="00D57D3E"/>
    <w:rsid w:val="00D6109F"/>
    <w:rsid w:val="00D623CD"/>
    <w:rsid w:val="00D623F8"/>
    <w:rsid w:val="00D6258C"/>
    <w:rsid w:val="00D62C67"/>
    <w:rsid w:val="00D630AA"/>
    <w:rsid w:val="00D63389"/>
    <w:rsid w:val="00D63581"/>
    <w:rsid w:val="00D6377B"/>
    <w:rsid w:val="00D637EF"/>
    <w:rsid w:val="00D640C1"/>
    <w:rsid w:val="00D64B0D"/>
    <w:rsid w:val="00D64B23"/>
    <w:rsid w:val="00D6536A"/>
    <w:rsid w:val="00D67A6F"/>
    <w:rsid w:val="00D67B4D"/>
    <w:rsid w:val="00D67C1D"/>
    <w:rsid w:val="00D71BCC"/>
    <w:rsid w:val="00D71D26"/>
    <w:rsid w:val="00D74A65"/>
    <w:rsid w:val="00D74D5E"/>
    <w:rsid w:val="00D7538C"/>
    <w:rsid w:val="00D75D5D"/>
    <w:rsid w:val="00D75F73"/>
    <w:rsid w:val="00D764AC"/>
    <w:rsid w:val="00D76539"/>
    <w:rsid w:val="00D766C3"/>
    <w:rsid w:val="00D80B70"/>
    <w:rsid w:val="00D817C4"/>
    <w:rsid w:val="00D82393"/>
    <w:rsid w:val="00D82F4D"/>
    <w:rsid w:val="00D833B1"/>
    <w:rsid w:val="00D87DFE"/>
    <w:rsid w:val="00D90861"/>
    <w:rsid w:val="00D90B75"/>
    <w:rsid w:val="00D919BA"/>
    <w:rsid w:val="00D91E82"/>
    <w:rsid w:val="00D9288B"/>
    <w:rsid w:val="00D9406C"/>
    <w:rsid w:val="00D9499E"/>
    <w:rsid w:val="00D95429"/>
    <w:rsid w:val="00D957BE"/>
    <w:rsid w:val="00D96630"/>
    <w:rsid w:val="00D96C10"/>
    <w:rsid w:val="00D97DE2"/>
    <w:rsid w:val="00DA0D97"/>
    <w:rsid w:val="00DA1BE6"/>
    <w:rsid w:val="00DA1E07"/>
    <w:rsid w:val="00DA3812"/>
    <w:rsid w:val="00DA3CC3"/>
    <w:rsid w:val="00DA5FDA"/>
    <w:rsid w:val="00DA651A"/>
    <w:rsid w:val="00DA6C9F"/>
    <w:rsid w:val="00DA6E43"/>
    <w:rsid w:val="00DB13B3"/>
    <w:rsid w:val="00DB2208"/>
    <w:rsid w:val="00DB3E2B"/>
    <w:rsid w:val="00DB4ED1"/>
    <w:rsid w:val="00DB606D"/>
    <w:rsid w:val="00DB639B"/>
    <w:rsid w:val="00DB6630"/>
    <w:rsid w:val="00DB7285"/>
    <w:rsid w:val="00DC1209"/>
    <w:rsid w:val="00DC15C2"/>
    <w:rsid w:val="00DC1B8F"/>
    <w:rsid w:val="00DC1E0F"/>
    <w:rsid w:val="00DC202E"/>
    <w:rsid w:val="00DC230C"/>
    <w:rsid w:val="00DC23A9"/>
    <w:rsid w:val="00DC24EB"/>
    <w:rsid w:val="00DC27FA"/>
    <w:rsid w:val="00DC4764"/>
    <w:rsid w:val="00DC4B10"/>
    <w:rsid w:val="00DC595D"/>
    <w:rsid w:val="00DC5DE2"/>
    <w:rsid w:val="00DC67F8"/>
    <w:rsid w:val="00DC770C"/>
    <w:rsid w:val="00DC7E04"/>
    <w:rsid w:val="00DD0716"/>
    <w:rsid w:val="00DD1836"/>
    <w:rsid w:val="00DD2605"/>
    <w:rsid w:val="00DD2A3F"/>
    <w:rsid w:val="00DD2E6E"/>
    <w:rsid w:val="00DD49FF"/>
    <w:rsid w:val="00DD4E84"/>
    <w:rsid w:val="00DD710D"/>
    <w:rsid w:val="00DD7B56"/>
    <w:rsid w:val="00DE07AD"/>
    <w:rsid w:val="00DE1241"/>
    <w:rsid w:val="00DE1398"/>
    <w:rsid w:val="00DE1BFA"/>
    <w:rsid w:val="00DE21C5"/>
    <w:rsid w:val="00DE271E"/>
    <w:rsid w:val="00DE2F58"/>
    <w:rsid w:val="00DE343D"/>
    <w:rsid w:val="00DE3A0C"/>
    <w:rsid w:val="00DE3C86"/>
    <w:rsid w:val="00DE4908"/>
    <w:rsid w:val="00DE4D94"/>
    <w:rsid w:val="00DE4EA0"/>
    <w:rsid w:val="00DE55FE"/>
    <w:rsid w:val="00DE62BC"/>
    <w:rsid w:val="00DE6DA4"/>
    <w:rsid w:val="00DF1473"/>
    <w:rsid w:val="00DF1797"/>
    <w:rsid w:val="00DF1B4F"/>
    <w:rsid w:val="00DF1E7F"/>
    <w:rsid w:val="00DF2258"/>
    <w:rsid w:val="00DF3295"/>
    <w:rsid w:val="00DF37D5"/>
    <w:rsid w:val="00DF396B"/>
    <w:rsid w:val="00DF39BC"/>
    <w:rsid w:val="00DF5A62"/>
    <w:rsid w:val="00DF64C0"/>
    <w:rsid w:val="00DF6B93"/>
    <w:rsid w:val="00DF7903"/>
    <w:rsid w:val="00DF7ACB"/>
    <w:rsid w:val="00E00821"/>
    <w:rsid w:val="00E026BD"/>
    <w:rsid w:val="00E02F44"/>
    <w:rsid w:val="00E04B9E"/>
    <w:rsid w:val="00E06182"/>
    <w:rsid w:val="00E10AB1"/>
    <w:rsid w:val="00E1141F"/>
    <w:rsid w:val="00E11918"/>
    <w:rsid w:val="00E1237E"/>
    <w:rsid w:val="00E13782"/>
    <w:rsid w:val="00E1576D"/>
    <w:rsid w:val="00E15844"/>
    <w:rsid w:val="00E15C39"/>
    <w:rsid w:val="00E204CC"/>
    <w:rsid w:val="00E20F26"/>
    <w:rsid w:val="00E20F75"/>
    <w:rsid w:val="00E21875"/>
    <w:rsid w:val="00E21D0F"/>
    <w:rsid w:val="00E23B22"/>
    <w:rsid w:val="00E23EC7"/>
    <w:rsid w:val="00E25836"/>
    <w:rsid w:val="00E25C16"/>
    <w:rsid w:val="00E270FA"/>
    <w:rsid w:val="00E27EDF"/>
    <w:rsid w:val="00E27F2E"/>
    <w:rsid w:val="00E32549"/>
    <w:rsid w:val="00E32AD6"/>
    <w:rsid w:val="00E3385D"/>
    <w:rsid w:val="00E33CDA"/>
    <w:rsid w:val="00E35069"/>
    <w:rsid w:val="00E352CD"/>
    <w:rsid w:val="00E35966"/>
    <w:rsid w:val="00E35D57"/>
    <w:rsid w:val="00E35DEC"/>
    <w:rsid w:val="00E373C3"/>
    <w:rsid w:val="00E40563"/>
    <w:rsid w:val="00E4073F"/>
    <w:rsid w:val="00E42E61"/>
    <w:rsid w:val="00E42FDF"/>
    <w:rsid w:val="00E44750"/>
    <w:rsid w:val="00E4653E"/>
    <w:rsid w:val="00E4682F"/>
    <w:rsid w:val="00E474C5"/>
    <w:rsid w:val="00E50999"/>
    <w:rsid w:val="00E516A6"/>
    <w:rsid w:val="00E5200E"/>
    <w:rsid w:val="00E52B42"/>
    <w:rsid w:val="00E532BB"/>
    <w:rsid w:val="00E5477D"/>
    <w:rsid w:val="00E547B2"/>
    <w:rsid w:val="00E56295"/>
    <w:rsid w:val="00E56521"/>
    <w:rsid w:val="00E56FDD"/>
    <w:rsid w:val="00E574A7"/>
    <w:rsid w:val="00E574B7"/>
    <w:rsid w:val="00E5750E"/>
    <w:rsid w:val="00E62126"/>
    <w:rsid w:val="00E625B7"/>
    <w:rsid w:val="00E62A59"/>
    <w:rsid w:val="00E634D7"/>
    <w:rsid w:val="00E640D9"/>
    <w:rsid w:val="00E64A4F"/>
    <w:rsid w:val="00E64B3A"/>
    <w:rsid w:val="00E653D6"/>
    <w:rsid w:val="00E6749E"/>
    <w:rsid w:val="00E6770F"/>
    <w:rsid w:val="00E70166"/>
    <w:rsid w:val="00E70714"/>
    <w:rsid w:val="00E707E9"/>
    <w:rsid w:val="00E70A00"/>
    <w:rsid w:val="00E710C1"/>
    <w:rsid w:val="00E7154F"/>
    <w:rsid w:val="00E72727"/>
    <w:rsid w:val="00E736BB"/>
    <w:rsid w:val="00E7465A"/>
    <w:rsid w:val="00E74BA4"/>
    <w:rsid w:val="00E75CBD"/>
    <w:rsid w:val="00E761DB"/>
    <w:rsid w:val="00E762DC"/>
    <w:rsid w:val="00E76445"/>
    <w:rsid w:val="00E7684C"/>
    <w:rsid w:val="00E76EC6"/>
    <w:rsid w:val="00E76F90"/>
    <w:rsid w:val="00E779A2"/>
    <w:rsid w:val="00E77D33"/>
    <w:rsid w:val="00E8095A"/>
    <w:rsid w:val="00E80E21"/>
    <w:rsid w:val="00E81FE0"/>
    <w:rsid w:val="00E8259C"/>
    <w:rsid w:val="00E825F8"/>
    <w:rsid w:val="00E82782"/>
    <w:rsid w:val="00E8377B"/>
    <w:rsid w:val="00E83907"/>
    <w:rsid w:val="00E83F00"/>
    <w:rsid w:val="00E843B0"/>
    <w:rsid w:val="00E845C1"/>
    <w:rsid w:val="00E846D5"/>
    <w:rsid w:val="00E84F96"/>
    <w:rsid w:val="00E87C24"/>
    <w:rsid w:val="00E90759"/>
    <w:rsid w:val="00E90F96"/>
    <w:rsid w:val="00E91563"/>
    <w:rsid w:val="00E924D1"/>
    <w:rsid w:val="00E92815"/>
    <w:rsid w:val="00E932F0"/>
    <w:rsid w:val="00E93722"/>
    <w:rsid w:val="00E95402"/>
    <w:rsid w:val="00E95F4C"/>
    <w:rsid w:val="00E96496"/>
    <w:rsid w:val="00E966EF"/>
    <w:rsid w:val="00E96B82"/>
    <w:rsid w:val="00E97F63"/>
    <w:rsid w:val="00EA02AA"/>
    <w:rsid w:val="00EA0BC9"/>
    <w:rsid w:val="00EA11F6"/>
    <w:rsid w:val="00EA1D08"/>
    <w:rsid w:val="00EA4312"/>
    <w:rsid w:val="00EA4811"/>
    <w:rsid w:val="00EA5388"/>
    <w:rsid w:val="00EA54E4"/>
    <w:rsid w:val="00EA5A6F"/>
    <w:rsid w:val="00EA6908"/>
    <w:rsid w:val="00EA6ADB"/>
    <w:rsid w:val="00EA7B5B"/>
    <w:rsid w:val="00EB0BC6"/>
    <w:rsid w:val="00EB1651"/>
    <w:rsid w:val="00EB1A60"/>
    <w:rsid w:val="00EB239A"/>
    <w:rsid w:val="00EB3226"/>
    <w:rsid w:val="00EB34AF"/>
    <w:rsid w:val="00EB65EA"/>
    <w:rsid w:val="00EB6D80"/>
    <w:rsid w:val="00EC01C0"/>
    <w:rsid w:val="00EC1553"/>
    <w:rsid w:val="00EC20DE"/>
    <w:rsid w:val="00EC2A2C"/>
    <w:rsid w:val="00EC351B"/>
    <w:rsid w:val="00EC4B9D"/>
    <w:rsid w:val="00EC4E72"/>
    <w:rsid w:val="00EC53A2"/>
    <w:rsid w:val="00EC61E8"/>
    <w:rsid w:val="00EC767F"/>
    <w:rsid w:val="00ED01E2"/>
    <w:rsid w:val="00ED0BDF"/>
    <w:rsid w:val="00ED37F4"/>
    <w:rsid w:val="00ED44A0"/>
    <w:rsid w:val="00ED46A5"/>
    <w:rsid w:val="00ED6681"/>
    <w:rsid w:val="00ED68BC"/>
    <w:rsid w:val="00ED710B"/>
    <w:rsid w:val="00ED75ED"/>
    <w:rsid w:val="00ED7932"/>
    <w:rsid w:val="00EE043A"/>
    <w:rsid w:val="00EE0D5D"/>
    <w:rsid w:val="00EE173B"/>
    <w:rsid w:val="00EE27EE"/>
    <w:rsid w:val="00EE2CE1"/>
    <w:rsid w:val="00EE2D67"/>
    <w:rsid w:val="00EE36DD"/>
    <w:rsid w:val="00EE3A95"/>
    <w:rsid w:val="00EE4917"/>
    <w:rsid w:val="00EE50F0"/>
    <w:rsid w:val="00EE58B8"/>
    <w:rsid w:val="00EE5C6D"/>
    <w:rsid w:val="00EE5CA6"/>
    <w:rsid w:val="00EE5D1C"/>
    <w:rsid w:val="00EE61EE"/>
    <w:rsid w:val="00EE6A88"/>
    <w:rsid w:val="00EE6C4A"/>
    <w:rsid w:val="00EF0B3B"/>
    <w:rsid w:val="00EF0ED4"/>
    <w:rsid w:val="00EF1D61"/>
    <w:rsid w:val="00EF34C0"/>
    <w:rsid w:val="00EF3FB3"/>
    <w:rsid w:val="00EF49F1"/>
    <w:rsid w:val="00EF4CAE"/>
    <w:rsid w:val="00EF54F0"/>
    <w:rsid w:val="00EF56A4"/>
    <w:rsid w:val="00EF59B3"/>
    <w:rsid w:val="00EF6172"/>
    <w:rsid w:val="00EF6D82"/>
    <w:rsid w:val="00EF70B7"/>
    <w:rsid w:val="00EF78A3"/>
    <w:rsid w:val="00F005B9"/>
    <w:rsid w:val="00F00742"/>
    <w:rsid w:val="00F00A00"/>
    <w:rsid w:val="00F010A0"/>
    <w:rsid w:val="00F0201F"/>
    <w:rsid w:val="00F027DD"/>
    <w:rsid w:val="00F03E3F"/>
    <w:rsid w:val="00F03F8C"/>
    <w:rsid w:val="00F045EE"/>
    <w:rsid w:val="00F04774"/>
    <w:rsid w:val="00F05324"/>
    <w:rsid w:val="00F05887"/>
    <w:rsid w:val="00F05ED9"/>
    <w:rsid w:val="00F05F64"/>
    <w:rsid w:val="00F0661A"/>
    <w:rsid w:val="00F07554"/>
    <w:rsid w:val="00F1081F"/>
    <w:rsid w:val="00F10BCA"/>
    <w:rsid w:val="00F11551"/>
    <w:rsid w:val="00F11E4F"/>
    <w:rsid w:val="00F11F4C"/>
    <w:rsid w:val="00F1234B"/>
    <w:rsid w:val="00F1256A"/>
    <w:rsid w:val="00F12A61"/>
    <w:rsid w:val="00F13AFF"/>
    <w:rsid w:val="00F13EBD"/>
    <w:rsid w:val="00F14495"/>
    <w:rsid w:val="00F152B4"/>
    <w:rsid w:val="00F15C5D"/>
    <w:rsid w:val="00F15ECA"/>
    <w:rsid w:val="00F16670"/>
    <w:rsid w:val="00F16BD5"/>
    <w:rsid w:val="00F177CE"/>
    <w:rsid w:val="00F17F3E"/>
    <w:rsid w:val="00F20460"/>
    <w:rsid w:val="00F21277"/>
    <w:rsid w:val="00F21649"/>
    <w:rsid w:val="00F226E0"/>
    <w:rsid w:val="00F25A5E"/>
    <w:rsid w:val="00F270E1"/>
    <w:rsid w:val="00F30266"/>
    <w:rsid w:val="00F30FEB"/>
    <w:rsid w:val="00F3102E"/>
    <w:rsid w:val="00F32D86"/>
    <w:rsid w:val="00F338B1"/>
    <w:rsid w:val="00F3392D"/>
    <w:rsid w:val="00F339B9"/>
    <w:rsid w:val="00F35359"/>
    <w:rsid w:val="00F357F7"/>
    <w:rsid w:val="00F3631F"/>
    <w:rsid w:val="00F36518"/>
    <w:rsid w:val="00F365FE"/>
    <w:rsid w:val="00F36612"/>
    <w:rsid w:val="00F37F87"/>
    <w:rsid w:val="00F40078"/>
    <w:rsid w:val="00F40936"/>
    <w:rsid w:val="00F414F5"/>
    <w:rsid w:val="00F42C35"/>
    <w:rsid w:val="00F431F9"/>
    <w:rsid w:val="00F438B0"/>
    <w:rsid w:val="00F443B5"/>
    <w:rsid w:val="00F447B4"/>
    <w:rsid w:val="00F44DFA"/>
    <w:rsid w:val="00F452CD"/>
    <w:rsid w:val="00F45677"/>
    <w:rsid w:val="00F45E8C"/>
    <w:rsid w:val="00F46B0C"/>
    <w:rsid w:val="00F47181"/>
    <w:rsid w:val="00F47B09"/>
    <w:rsid w:val="00F50342"/>
    <w:rsid w:val="00F50F42"/>
    <w:rsid w:val="00F51902"/>
    <w:rsid w:val="00F52583"/>
    <w:rsid w:val="00F53AF7"/>
    <w:rsid w:val="00F5614F"/>
    <w:rsid w:val="00F564F2"/>
    <w:rsid w:val="00F5668D"/>
    <w:rsid w:val="00F56FCA"/>
    <w:rsid w:val="00F60935"/>
    <w:rsid w:val="00F60BCD"/>
    <w:rsid w:val="00F619DE"/>
    <w:rsid w:val="00F6277E"/>
    <w:rsid w:val="00F63442"/>
    <w:rsid w:val="00F6361A"/>
    <w:rsid w:val="00F64290"/>
    <w:rsid w:val="00F64644"/>
    <w:rsid w:val="00F649B9"/>
    <w:rsid w:val="00F650C6"/>
    <w:rsid w:val="00F65A4B"/>
    <w:rsid w:val="00F65D51"/>
    <w:rsid w:val="00F65EF2"/>
    <w:rsid w:val="00F66831"/>
    <w:rsid w:val="00F67236"/>
    <w:rsid w:val="00F67400"/>
    <w:rsid w:val="00F67B68"/>
    <w:rsid w:val="00F70BC8"/>
    <w:rsid w:val="00F70EC9"/>
    <w:rsid w:val="00F717B8"/>
    <w:rsid w:val="00F71F35"/>
    <w:rsid w:val="00F71F66"/>
    <w:rsid w:val="00F727EA"/>
    <w:rsid w:val="00F72F21"/>
    <w:rsid w:val="00F73889"/>
    <w:rsid w:val="00F74114"/>
    <w:rsid w:val="00F74890"/>
    <w:rsid w:val="00F752B7"/>
    <w:rsid w:val="00F752CD"/>
    <w:rsid w:val="00F75E96"/>
    <w:rsid w:val="00F770EF"/>
    <w:rsid w:val="00F7756A"/>
    <w:rsid w:val="00F7756B"/>
    <w:rsid w:val="00F77CAE"/>
    <w:rsid w:val="00F77DBB"/>
    <w:rsid w:val="00F81B22"/>
    <w:rsid w:val="00F832BA"/>
    <w:rsid w:val="00F84253"/>
    <w:rsid w:val="00F85882"/>
    <w:rsid w:val="00F86592"/>
    <w:rsid w:val="00F86EF7"/>
    <w:rsid w:val="00F86F5E"/>
    <w:rsid w:val="00F90683"/>
    <w:rsid w:val="00F9120E"/>
    <w:rsid w:val="00F92ABA"/>
    <w:rsid w:val="00F92BE9"/>
    <w:rsid w:val="00F9347C"/>
    <w:rsid w:val="00F935C9"/>
    <w:rsid w:val="00F93FCE"/>
    <w:rsid w:val="00F942EB"/>
    <w:rsid w:val="00F94DA2"/>
    <w:rsid w:val="00F9546D"/>
    <w:rsid w:val="00F959F9"/>
    <w:rsid w:val="00F96601"/>
    <w:rsid w:val="00F96973"/>
    <w:rsid w:val="00F96B3D"/>
    <w:rsid w:val="00F97329"/>
    <w:rsid w:val="00FA047A"/>
    <w:rsid w:val="00FA0832"/>
    <w:rsid w:val="00FA0AE2"/>
    <w:rsid w:val="00FA2720"/>
    <w:rsid w:val="00FA3043"/>
    <w:rsid w:val="00FA416C"/>
    <w:rsid w:val="00FA4A5D"/>
    <w:rsid w:val="00FA5485"/>
    <w:rsid w:val="00FA63EC"/>
    <w:rsid w:val="00FA753D"/>
    <w:rsid w:val="00FA792A"/>
    <w:rsid w:val="00FB0282"/>
    <w:rsid w:val="00FB0DEF"/>
    <w:rsid w:val="00FB3010"/>
    <w:rsid w:val="00FB37F6"/>
    <w:rsid w:val="00FB53FE"/>
    <w:rsid w:val="00FB6AB0"/>
    <w:rsid w:val="00FB7496"/>
    <w:rsid w:val="00FC22C0"/>
    <w:rsid w:val="00FC22E1"/>
    <w:rsid w:val="00FC27C5"/>
    <w:rsid w:val="00FC282C"/>
    <w:rsid w:val="00FC2EC5"/>
    <w:rsid w:val="00FC36E2"/>
    <w:rsid w:val="00FC572C"/>
    <w:rsid w:val="00FC5853"/>
    <w:rsid w:val="00FC5C07"/>
    <w:rsid w:val="00FC78F5"/>
    <w:rsid w:val="00FD1D4D"/>
    <w:rsid w:val="00FD2551"/>
    <w:rsid w:val="00FD343A"/>
    <w:rsid w:val="00FD5454"/>
    <w:rsid w:val="00FD5DE7"/>
    <w:rsid w:val="00FD6A13"/>
    <w:rsid w:val="00FD6CD0"/>
    <w:rsid w:val="00FE0AE0"/>
    <w:rsid w:val="00FE152B"/>
    <w:rsid w:val="00FE20E1"/>
    <w:rsid w:val="00FE2750"/>
    <w:rsid w:val="00FE3F99"/>
    <w:rsid w:val="00FE4CAC"/>
    <w:rsid w:val="00FE4DBA"/>
    <w:rsid w:val="00FE5A6E"/>
    <w:rsid w:val="00FE640C"/>
    <w:rsid w:val="00FE7A6B"/>
    <w:rsid w:val="00FF01EF"/>
    <w:rsid w:val="00FF0D71"/>
    <w:rsid w:val="00FF10E9"/>
    <w:rsid w:val="00FF275C"/>
    <w:rsid w:val="00FF3884"/>
    <w:rsid w:val="00FF4397"/>
    <w:rsid w:val="00FF49BD"/>
    <w:rsid w:val="00FF4A72"/>
    <w:rsid w:val="00FF4F75"/>
    <w:rsid w:val="00FF73B8"/>
    <w:rsid w:val="00FF7C10"/>
    <w:rsid w:val="023E6246"/>
    <w:rsid w:val="07FE0EC5"/>
    <w:rsid w:val="0AFF5B88"/>
    <w:rsid w:val="0DEFAA43"/>
    <w:rsid w:val="0EF70EC3"/>
    <w:rsid w:val="0FBABEE9"/>
    <w:rsid w:val="15F7EEBD"/>
    <w:rsid w:val="15FFA47A"/>
    <w:rsid w:val="17D1445F"/>
    <w:rsid w:val="17D2F21D"/>
    <w:rsid w:val="18F5A495"/>
    <w:rsid w:val="1A1E7A6F"/>
    <w:rsid w:val="1ABAD6D1"/>
    <w:rsid w:val="1B561171"/>
    <w:rsid w:val="1D73E3F8"/>
    <w:rsid w:val="1DED1310"/>
    <w:rsid w:val="1FE3CAA6"/>
    <w:rsid w:val="22FF4926"/>
    <w:rsid w:val="237B2F77"/>
    <w:rsid w:val="26EFA114"/>
    <w:rsid w:val="27EE9708"/>
    <w:rsid w:val="29377C85"/>
    <w:rsid w:val="2ADF6AD9"/>
    <w:rsid w:val="2D369E90"/>
    <w:rsid w:val="2E0FFD56"/>
    <w:rsid w:val="2EE9D04C"/>
    <w:rsid w:val="2F7F2A47"/>
    <w:rsid w:val="2FDFA3CA"/>
    <w:rsid w:val="2FEFE63F"/>
    <w:rsid w:val="2FFF35DA"/>
    <w:rsid w:val="32D65E79"/>
    <w:rsid w:val="351B5F13"/>
    <w:rsid w:val="3697A5DC"/>
    <w:rsid w:val="386B5FAB"/>
    <w:rsid w:val="3AA24230"/>
    <w:rsid w:val="3BE3F0C3"/>
    <w:rsid w:val="3BF4866D"/>
    <w:rsid w:val="3CF3E1F2"/>
    <w:rsid w:val="3D7B5D50"/>
    <w:rsid w:val="3DBD5A45"/>
    <w:rsid w:val="3DD6BCE4"/>
    <w:rsid w:val="3DE761D0"/>
    <w:rsid w:val="3DF7E352"/>
    <w:rsid w:val="3DFDD58E"/>
    <w:rsid w:val="3E6FE275"/>
    <w:rsid w:val="3EF88BF6"/>
    <w:rsid w:val="3EFB913F"/>
    <w:rsid w:val="3EFDF3E9"/>
    <w:rsid w:val="3EFF7A77"/>
    <w:rsid w:val="3F5F3D1E"/>
    <w:rsid w:val="3F7B03E5"/>
    <w:rsid w:val="3FAB48D2"/>
    <w:rsid w:val="3FB6EE31"/>
    <w:rsid w:val="3FBFC07D"/>
    <w:rsid w:val="3FECFBB7"/>
    <w:rsid w:val="3FF7997D"/>
    <w:rsid w:val="4538D29F"/>
    <w:rsid w:val="45EB5997"/>
    <w:rsid w:val="46FF3F89"/>
    <w:rsid w:val="47FE5244"/>
    <w:rsid w:val="4BF74A77"/>
    <w:rsid w:val="4BFA78E2"/>
    <w:rsid w:val="4DBD36D1"/>
    <w:rsid w:val="4DBF2D87"/>
    <w:rsid w:val="4DE8D5A7"/>
    <w:rsid w:val="4E9F57EB"/>
    <w:rsid w:val="4EE76D26"/>
    <w:rsid w:val="4EFF5739"/>
    <w:rsid w:val="4F7DBCF6"/>
    <w:rsid w:val="53768E4E"/>
    <w:rsid w:val="56EF2EA2"/>
    <w:rsid w:val="573532A8"/>
    <w:rsid w:val="576CC143"/>
    <w:rsid w:val="57F03CB5"/>
    <w:rsid w:val="57FDC414"/>
    <w:rsid w:val="59DEBC75"/>
    <w:rsid w:val="59EDA9ED"/>
    <w:rsid w:val="59FD7CB4"/>
    <w:rsid w:val="5AFF3C93"/>
    <w:rsid w:val="5B3270DC"/>
    <w:rsid w:val="5B57BAF3"/>
    <w:rsid w:val="5C6F5EBA"/>
    <w:rsid w:val="5CD7E7A6"/>
    <w:rsid w:val="5CFDD49A"/>
    <w:rsid w:val="5CFFBF65"/>
    <w:rsid w:val="5D053D08"/>
    <w:rsid w:val="5DDA2830"/>
    <w:rsid w:val="5DEEE412"/>
    <w:rsid w:val="5DF6FF46"/>
    <w:rsid w:val="5EC544F3"/>
    <w:rsid w:val="5EEF03F1"/>
    <w:rsid w:val="5EF6A640"/>
    <w:rsid w:val="5EFB41E3"/>
    <w:rsid w:val="5F3FA5A0"/>
    <w:rsid w:val="5F577A8A"/>
    <w:rsid w:val="5FFA2FF9"/>
    <w:rsid w:val="5FFF5BE7"/>
    <w:rsid w:val="63FBD7FF"/>
    <w:rsid w:val="64F9430D"/>
    <w:rsid w:val="65399771"/>
    <w:rsid w:val="657DFCE9"/>
    <w:rsid w:val="67FD70E6"/>
    <w:rsid w:val="67FE1AAF"/>
    <w:rsid w:val="687FE351"/>
    <w:rsid w:val="69FF937C"/>
    <w:rsid w:val="6B67E91B"/>
    <w:rsid w:val="6BDD5291"/>
    <w:rsid w:val="6BFB239E"/>
    <w:rsid w:val="6BFE251A"/>
    <w:rsid w:val="6CD5E091"/>
    <w:rsid w:val="6DF3D0BA"/>
    <w:rsid w:val="6F473E19"/>
    <w:rsid w:val="6F57A351"/>
    <w:rsid w:val="6F67DBF7"/>
    <w:rsid w:val="6F69E276"/>
    <w:rsid w:val="6F945012"/>
    <w:rsid w:val="6FAE6A3A"/>
    <w:rsid w:val="6FE9FDD3"/>
    <w:rsid w:val="6FEFB2AD"/>
    <w:rsid w:val="6FF7C87F"/>
    <w:rsid w:val="6FF894B0"/>
    <w:rsid w:val="708DC5BB"/>
    <w:rsid w:val="71FE4B55"/>
    <w:rsid w:val="72DF4A48"/>
    <w:rsid w:val="7372491E"/>
    <w:rsid w:val="73B5E94D"/>
    <w:rsid w:val="73BF53B0"/>
    <w:rsid w:val="747DD7C5"/>
    <w:rsid w:val="74F9166B"/>
    <w:rsid w:val="751780B7"/>
    <w:rsid w:val="754E9EB0"/>
    <w:rsid w:val="75BAB531"/>
    <w:rsid w:val="75FFCDFD"/>
    <w:rsid w:val="76FF0816"/>
    <w:rsid w:val="76FF7FEE"/>
    <w:rsid w:val="775487D1"/>
    <w:rsid w:val="7757A6E6"/>
    <w:rsid w:val="777F90BD"/>
    <w:rsid w:val="778E9741"/>
    <w:rsid w:val="77D7A996"/>
    <w:rsid w:val="77DDBC91"/>
    <w:rsid w:val="77DF6E0F"/>
    <w:rsid w:val="77F523B9"/>
    <w:rsid w:val="77FC9339"/>
    <w:rsid w:val="77FF5236"/>
    <w:rsid w:val="79F73D3F"/>
    <w:rsid w:val="79F87E0E"/>
    <w:rsid w:val="7A9FFBDA"/>
    <w:rsid w:val="7ABBB231"/>
    <w:rsid w:val="7AF88F7F"/>
    <w:rsid w:val="7B432313"/>
    <w:rsid w:val="7B6D9D86"/>
    <w:rsid w:val="7B7C4742"/>
    <w:rsid w:val="7B7E65EF"/>
    <w:rsid w:val="7BBFB56B"/>
    <w:rsid w:val="7BDE057B"/>
    <w:rsid w:val="7BDFD0A6"/>
    <w:rsid w:val="7BEF2D15"/>
    <w:rsid w:val="7BFF40E8"/>
    <w:rsid w:val="7BFF573F"/>
    <w:rsid w:val="7BFFB7F6"/>
    <w:rsid w:val="7BFFD758"/>
    <w:rsid w:val="7CF57F47"/>
    <w:rsid w:val="7CFF4188"/>
    <w:rsid w:val="7CFFEF0F"/>
    <w:rsid w:val="7D273975"/>
    <w:rsid w:val="7D3DF83F"/>
    <w:rsid w:val="7D4FBE54"/>
    <w:rsid w:val="7D67875F"/>
    <w:rsid w:val="7D7F2B48"/>
    <w:rsid w:val="7D8FB44B"/>
    <w:rsid w:val="7DD1DF2E"/>
    <w:rsid w:val="7DD5A003"/>
    <w:rsid w:val="7DD7CC7A"/>
    <w:rsid w:val="7DEFD1A2"/>
    <w:rsid w:val="7DFAB2F3"/>
    <w:rsid w:val="7DFF1D87"/>
    <w:rsid w:val="7E43323A"/>
    <w:rsid w:val="7E4F3A40"/>
    <w:rsid w:val="7E7B9DA4"/>
    <w:rsid w:val="7EBBBAD4"/>
    <w:rsid w:val="7ECD5F4D"/>
    <w:rsid w:val="7EE4D65D"/>
    <w:rsid w:val="7EF73BD3"/>
    <w:rsid w:val="7EFB2F6F"/>
    <w:rsid w:val="7EFF8669"/>
    <w:rsid w:val="7F589128"/>
    <w:rsid w:val="7F6BE0EE"/>
    <w:rsid w:val="7F77B803"/>
    <w:rsid w:val="7F7BF662"/>
    <w:rsid w:val="7F7F603D"/>
    <w:rsid w:val="7F7F7D95"/>
    <w:rsid w:val="7F95D09A"/>
    <w:rsid w:val="7F9FC127"/>
    <w:rsid w:val="7FBBA88C"/>
    <w:rsid w:val="7FBE4E0F"/>
    <w:rsid w:val="7FBF7D85"/>
    <w:rsid w:val="7FC9D180"/>
    <w:rsid w:val="7FD7E1AC"/>
    <w:rsid w:val="7FDB37A5"/>
    <w:rsid w:val="7FDB4533"/>
    <w:rsid w:val="7FDBCA3E"/>
    <w:rsid w:val="7FDBF237"/>
    <w:rsid w:val="7FEF1C82"/>
    <w:rsid w:val="7FEF426A"/>
    <w:rsid w:val="7FF7C26D"/>
    <w:rsid w:val="7FF8F656"/>
    <w:rsid w:val="7FF9F220"/>
    <w:rsid w:val="7FFA0394"/>
    <w:rsid w:val="7FFBAC83"/>
    <w:rsid w:val="7FFCA308"/>
    <w:rsid w:val="7FFEEA5B"/>
    <w:rsid w:val="7FFF5C34"/>
    <w:rsid w:val="87FBDE58"/>
    <w:rsid w:val="8EA6FB91"/>
    <w:rsid w:val="9756D627"/>
    <w:rsid w:val="976AB9A8"/>
    <w:rsid w:val="97FEE347"/>
    <w:rsid w:val="99E7AF3D"/>
    <w:rsid w:val="9ADE8E09"/>
    <w:rsid w:val="9CAF44B0"/>
    <w:rsid w:val="9CFEC485"/>
    <w:rsid w:val="9D2A1D96"/>
    <w:rsid w:val="9F2FD822"/>
    <w:rsid w:val="9F4FA1CA"/>
    <w:rsid w:val="9F7B6B8B"/>
    <w:rsid w:val="9F7CDB60"/>
    <w:rsid w:val="9FAF92C4"/>
    <w:rsid w:val="9FBC4096"/>
    <w:rsid w:val="9FBE2160"/>
    <w:rsid w:val="9FBFF176"/>
    <w:rsid w:val="A1FE85AC"/>
    <w:rsid w:val="A6E7896F"/>
    <w:rsid w:val="A77B5FC2"/>
    <w:rsid w:val="AB7D0D07"/>
    <w:rsid w:val="ADB596DA"/>
    <w:rsid w:val="ADBFA478"/>
    <w:rsid w:val="AF6C1976"/>
    <w:rsid w:val="AF7DA6AA"/>
    <w:rsid w:val="AFD98A64"/>
    <w:rsid w:val="AFFB1780"/>
    <w:rsid w:val="B0ED6CA0"/>
    <w:rsid w:val="B27F401D"/>
    <w:rsid w:val="B49FFDD5"/>
    <w:rsid w:val="B5CF4FF1"/>
    <w:rsid w:val="B5E5883D"/>
    <w:rsid w:val="B69BE7EE"/>
    <w:rsid w:val="B75F8502"/>
    <w:rsid w:val="B75FA8FA"/>
    <w:rsid w:val="BA7C18E1"/>
    <w:rsid w:val="BB5E4E7D"/>
    <w:rsid w:val="BBAFCB90"/>
    <w:rsid w:val="BBAFF228"/>
    <w:rsid w:val="BBD5D44A"/>
    <w:rsid w:val="BD566AB1"/>
    <w:rsid w:val="BDFF1775"/>
    <w:rsid w:val="BDFF8F9F"/>
    <w:rsid w:val="BDFFA7B6"/>
    <w:rsid w:val="BEBFFF82"/>
    <w:rsid w:val="BEDB6865"/>
    <w:rsid w:val="BEE5AFF5"/>
    <w:rsid w:val="BEFBBBF5"/>
    <w:rsid w:val="BEFDB018"/>
    <w:rsid w:val="BEFDB99E"/>
    <w:rsid w:val="BEFFED77"/>
    <w:rsid w:val="BF772FD5"/>
    <w:rsid w:val="BF7968BE"/>
    <w:rsid w:val="BF8B6BE0"/>
    <w:rsid w:val="BFBFE4F4"/>
    <w:rsid w:val="BFDF5D4F"/>
    <w:rsid w:val="BFE67861"/>
    <w:rsid w:val="BFF3AF48"/>
    <w:rsid w:val="BFF90147"/>
    <w:rsid w:val="BFFDBCFB"/>
    <w:rsid w:val="C33D31AD"/>
    <w:rsid w:val="C36620F0"/>
    <w:rsid w:val="C7763BDF"/>
    <w:rsid w:val="CB5EF995"/>
    <w:rsid w:val="CB740C72"/>
    <w:rsid w:val="CB8FE01D"/>
    <w:rsid w:val="CBD5E94F"/>
    <w:rsid w:val="CCF76FC2"/>
    <w:rsid w:val="CDCF6A4A"/>
    <w:rsid w:val="CDFDCE19"/>
    <w:rsid w:val="CE1BE8AD"/>
    <w:rsid w:val="CE4B46E4"/>
    <w:rsid w:val="CEBF32F0"/>
    <w:rsid w:val="CF5F2D59"/>
    <w:rsid w:val="CF612914"/>
    <w:rsid w:val="CFAD530E"/>
    <w:rsid w:val="CFBF3E55"/>
    <w:rsid w:val="CFCCFEF8"/>
    <w:rsid w:val="CFF52953"/>
    <w:rsid w:val="D1F47A58"/>
    <w:rsid w:val="D35D53A3"/>
    <w:rsid w:val="D3676DD4"/>
    <w:rsid w:val="D3C74A25"/>
    <w:rsid w:val="D56516F9"/>
    <w:rsid w:val="D5D3B871"/>
    <w:rsid w:val="D661472D"/>
    <w:rsid w:val="D78F4DCF"/>
    <w:rsid w:val="D7FF58B1"/>
    <w:rsid w:val="D84E1827"/>
    <w:rsid w:val="D8F625A1"/>
    <w:rsid w:val="D9F1FA4A"/>
    <w:rsid w:val="D9F6B38E"/>
    <w:rsid w:val="DA6B6606"/>
    <w:rsid w:val="DAEBD37E"/>
    <w:rsid w:val="DBFB8EA6"/>
    <w:rsid w:val="DBFBCB44"/>
    <w:rsid w:val="DCEB58D4"/>
    <w:rsid w:val="DEBFA61B"/>
    <w:rsid w:val="DEFD7826"/>
    <w:rsid w:val="DEFF804B"/>
    <w:rsid w:val="DF7DA016"/>
    <w:rsid w:val="DF7F1F2A"/>
    <w:rsid w:val="DFB742F9"/>
    <w:rsid w:val="DFBD5446"/>
    <w:rsid w:val="DFDFCF31"/>
    <w:rsid w:val="DFEB4CD8"/>
    <w:rsid w:val="DFEF022A"/>
    <w:rsid w:val="DFF73A1D"/>
    <w:rsid w:val="DFFE7BA1"/>
    <w:rsid w:val="DFFEBD03"/>
    <w:rsid w:val="E1FD0C99"/>
    <w:rsid w:val="E3FAABB8"/>
    <w:rsid w:val="E3FF1E0F"/>
    <w:rsid w:val="E7671D95"/>
    <w:rsid w:val="E7B75CDF"/>
    <w:rsid w:val="E7D7DB94"/>
    <w:rsid w:val="E7FE08B4"/>
    <w:rsid w:val="E7FE99C0"/>
    <w:rsid w:val="EBAFE71A"/>
    <w:rsid w:val="ED0CFBBC"/>
    <w:rsid w:val="EDF92E37"/>
    <w:rsid w:val="EDFF53C1"/>
    <w:rsid w:val="EE4C6E93"/>
    <w:rsid w:val="EEB53BD1"/>
    <w:rsid w:val="EEFCA9A7"/>
    <w:rsid w:val="EEFFD916"/>
    <w:rsid w:val="EF2F309A"/>
    <w:rsid w:val="EF2FD0A3"/>
    <w:rsid w:val="EF4FCEAA"/>
    <w:rsid w:val="EF79A031"/>
    <w:rsid w:val="EF7F3AA6"/>
    <w:rsid w:val="EF9E0993"/>
    <w:rsid w:val="EFDF92DC"/>
    <w:rsid w:val="EFF21AD6"/>
    <w:rsid w:val="EFFB90BE"/>
    <w:rsid w:val="EFFB9F9B"/>
    <w:rsid w:val="F0FF35EC"/>
    <w:rsid w:val="F0FF4526"/>
    <w:rsid w:val="F364A4D2"/>
    <w:rsid w:val="F37F62E7"/>
    <w:rsid w:val="F39D6404"/>
    <w:rsid w:val="F3C393B3"/>
    <w:rsid w:val="F3F3B493"/>
    <w:rsid w:val="F3FFEE2E"/>
    <w:rsid w:val="F5778A54"/>
    <w:rsid w:val="F57F52F8"/>
    <w:rsid w:val="F59F6C99"/>
    <w:rsid w:val="F6B76A11"/>
    <w:rsid w:val="F6FAEA51"/>
    <w:rsid w:val="F6FFBB59"/>
    <w:rsid w:val="F747A22E"/>
    <w:rsid w:val="F777B75E"/>
    <w:rsid w:val="F7DF23FD"/>
    <w:rsid w:val="F7DF34C3"/>
    <w:rsid w:val="F7EC9C12"/>
    <w:rsid w:val="F7EFC129"/>
    <w:rsid w:val="F7FDB1E7"/>
    <w:rsid w:val="F7FFD510"/>
    <w:rsid w:val="F8BEEB47"/>
    <w:rsid w:val="F99B8ED0"/>
    <w:rsid w:val="F9BBDAF3"/>
    <w:rsid w:val="F9CD1F66"/>
    <w:rsid w:val="F9F7CA62"/>
    <w:rsid w:val="F9FFCB6B"/>
    <w:rsid w:val="FAF595D5"/>
    <w:rsid w:val="FB5F99D1"/>
    <w:rsid w:val="FB9A4068"/>
    <w:rsid w:val="FBBF64D7"/>
    <w:rsid w:val="FBEED193"/>
    <w:rsid w:val="FBF918B5"/>
    <w:rsid w:val="FBFF17BA"/>
    <w:rsid w:val="FCFED85E"/>
    <w:rsid w:val="FD2799C4"/>
    <w:rsid w:val="FD4B780F"/>
    <w:rsid w:val="FD7770EF"/>
    <w:rsid w:val="FD8EB640"/>
    <w:rsid w:val="FD9746A7"/>
    <w:rsid w:val="FDBE9A81"/>
    <w:rsid w:val="FDD1ED5D"/>
    <w:rsid w:val="FDDC9A9A"/>
    <w:rsid w:val="FDDEFDFF"/>
    <w:rsid w:val="FDDF0A00"/>
    <w:rsid w:val="FDFB7740"/>
    <w:rsid w:val="FDFD962A"/>
    <w:rsid w:val="FDFDE452"/>
    <w:rsid w:val="FDFEE4FE"/>
    <w:rsid w:val="FE8FBC2A"/>
    <w:rsid w:val="FE9FDFCE"/>
    <w:rsid w:val="FEFBD2DA"/>
    <w:rsid w:val="FEFD96F3"/>
    <w:rsid w:val="FEFF7A62"/>
    <w:rsid w:val="FF4E0E5E"/>
    <w:rsid w:val="FF4F47A1"/>
    <w:rsid w:val="FF594554"/>
    <w:rsid w:val="FF6E3899"/>
    <w:rsid w:val="FF756315"/>
    <w:rsid w:val="FF7F75EA"/>
    <w:rsid w:val="FF8756E5"/>
    <w:rsid w:val="FF9F45B1"/>
    <w:rsid w:val="FFB75A26"/>
    <w:rsid w:val="FFBDF95E"/>
    <w:rsid w:val="FFCFEC0E"/>
    <w:rsid w:val="FFDF5008"/>
    <w:rsid w:val="FFE507EB"/>
    <w:rsid w:val="FFEB2587"/>
    <w:rsid w:val="FFF362D0"/>
    <w:rsid w:val="FFF78112"/>
    <w:rsid w:val="FFFBDA06"/>
    <w:rsid w:val="FFFFC510"/>
    <w:rsid w:val="FFFFCA93"/>
    <w:rsid w:val="FFFFD939"/>
    <w:rsid w:val="FFFFF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640" w:firstLineChars="200"/>
      <w:jc w:val="both"/>
    </w:pPr>
    <w:rPr>
      <w:rFonts w:ascii="仿宋" w:hAnsi="仿宋" w:eastAsia="仿宋" w:cstheme="minorBidi"/>
      <w:color w:val="000000" w:themeColor="text1"/>
      <w:kern w:val="2"/>
      <w:sz w:val="32"/>
      <w:szCs w:val="24"/>
      <w:lang w:val="en-US" w:eastAsia="zh-CN" w:bidi="ar-SA"/>
      <w14:textFill>
        <w14:solidFill>
          <w14:schemeClr w14:val="tx1"/>
        </w14:solidFill>
      </w14:textFill>
    </w:rPr>
  </w:style>
  <w:style w:type="paragraph" w:styleId="2">
    <w:name w:val="heading 1"/>
    <w:basedOn w:val="1"/>
    <w:next w:val="1"/>
    <w:link w:val="25"/>
    <w:qFormat/>
    <w:uiPriority w:val="9"/>
    <w:pPr>
      <w:numPr>
        <w:ilvl w:val="0"/>
        <w:numId w:val="1"/>
      </w:numPr>
      <w:adjustRightInd w:val="0"/>
      <w:snapToGrid w:val="0"/>
      <w:spacing w:before="120" w:after="120"/>
      <w:ind w:firstLine="0" w:firstLineChars="0"/>
      <w:jc w:val="left"/>
      <w:outlineLvl w:val="0"/>
    </w:pPr>
    <w:rPr>
      <w:rFonts w:cs="宋体"/>
      <w:b/>
      <w:bCs/>
      <w:kern w:val="44"/>
      <w:szCs w:val="44"/>
    </w:rPr>
  </w:style>
  <w:style w:type="paragraph" w:styleId="3">
    <w:name w:val="heading 2"/>
    <w:basedOn w:val="1"/>
    <w:next w:val="1"/>
    <w:link w:val="26"/>
    <w:unhideWhenUsed/>
    <w:qFormat/>
    <w:uiPriority w:val="9"/>
    <w:pPr>
      <w:numPr>
        <w:ilvl w:val="1"/>
        <w:numId w:val="1"/>
      </w:numPr>
      <w:adjustRightInd w:val="0"/>
      <w:snapToGrid w:val="0"/>
      <w:ind w:left="0" w:firstLine="643"/>
      <w:outlineLvl w:val="1"/>
    </w:pPr>
    <w:rPr>
      <w:rFonts w:asciiTheme="majorHAnsi" w:hAnsiTheme="majorHAnsi" w:cstheme="majorBidi"/>
      <w:b/>
      <w:bCs/>
      <w:szCs w:val="32"/>
    </w:rPr>
  </w:style>
  <w:style w:type="paragraph" w:styleId="4">
    <w:name w:val="heading 3"/>
    <w:basedOn w:val="1"/>
    <w:next w:val="1"/>
    <w:link w:val="27"/>
    <w:unhideWhenUsed/>
    <w:qFormat/>
    <w:uiPriority w:val="9"/>
    <w:pPr>
      <w:numPr>
        <w:ilvl w:val="2"/>
        <w:numId w:val="1"/>
      </w:numPr>
      <w:ind w:firstLine="0" w:firstLineChars="0"/>
      <w:outlineLvl w:val="2"/>
    </w:pPr>
    <w:rPr>
      <w:b/>
      <w:szCs w:val="32"/>
    </w:rPr>
  </w:style>
  <w:style w:type="character" w:default="1" w:styleId="19">
    <w:name w:val="Default Paragraph Font"/>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unhideWhenUsed/>
    <w:qFormat/>
    <w:uiPriority w:val="99"/>
    <w:pPr>
      <w:spacing w:line="660" w:lineRule="exact"/>
      <w:ind w:firstLine="420"/>
    </w:pPr>
    <w:rPr>
      <w:rFonts w:ascii="Calibri" w:hAnsi="Calibri" w:eastAsia="仿宋_GB2312" w:cs="Times New Roman"/>
    </w:rPr>
  </w:style>
  <w:style w:type="paragraph" w:styleId="6">
    <w:name w:val="annotation text"/>
    <w:basedOn w:val="1"/>
    <w:link w:val="37"/>
    <w:autoRedefine/>
    <w:semiHidden/>
    <w:unhideWhenUsed/>
    <w:qFormat/>
    <w:uiPriority w:val="99"/>
    <w:pPr>
      <w:jc w:val="left"/>
    </w:pPr>
  </w:style>
  <w:style w:type="paragraph" w:styleId="7">
    <w:name w:val="toc 3"/>
    <w:basedOn w:val="1"/>
    <w:next w:val="1"/>
    <w:autoRedefine/>
    <w:unhideWhenUsed/>
    <w:qFormat/>
    <w:uiPriority w:val="39"/>
    <w:pPr>
      <w:ind w:left="400" w:leftChars="400"/>
    </w:pPr>
  </w:style>
  <w:style w:type="paragraph" w:styleId="8">
    <w:name w:val="endnote text"/>
    <w:basedOn w:val="1"/>
    <w:link w:val="34"/>
    <w:autoRedefine/>
    <w:semiHidden/>
    <w:unhideWhenUsed/>
    <w:qFormat/>
    <w:uiPriority w:val="99"/>
    <w:pPr>
      <w:snapToGrid w:val="0"/>
      <w:jc w:val="left"/>
    </w:pPr>
  </w:style>
  <w:style w:type="paragraph" w:styleId="9">
    <w:name w:val="Balloon Text"/>
    <w:basedOn w:val="1"/>
    <w:link w:val="33"/>
    <w:autoRedefine/>
    <w:semiHidden/>
    <w:unhideWhenUsed/>
    <w:qFormat/>
    <w:uiPriority w:val="99"/>
    <w:rPr>
      <w:rFonts w:ascii="宋体" w:eastAsia="宋体"/>
      <w:sz w:val="18"/>
      <w:szCs w:val="18"/>
    </w:rPr>
  </w:style>
  <w:style w:type="paragraph" w:styleId="10">
    <w:name w:val="footer"/>
    <w:basedOn w:val="1"/>
    <w:link w:val="28"/>
    <w:autoRedefine/>
    <w:unhideWhenUsed/>
    <w:qFormat/>
    <w:uiPriority w:val="99"/>
    <w:pPr>
      <w:tabs>
        <w:tab w:val="center" w:pos="4153"/>
        <w:tab w:val="right" w:pos="8306"/>
      </w:tabs>
      <w:snapToGrid w:val="0"/>
      <w:jc w:val="left"/>
    </w:pPr>
    <w:rPr>
      <w:sz w:val="18"/>
      <w:szCs w:val="18"/>
    </w:rPr>
  </w:style>
  <w:style w:type="paragraph" w:styleId="11">
    <w:name w:val="header"/>
    <w:basedOn w:val="1"/>
    <w:link w:val="2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style>
  <w:style w:type="paragraph" w:styleId="13">
    <w:name w:val="footnote text"/>
    <w:basedOn w:val="1"/>
    <w:link w:val="30"/>
    <w:autoRedefine/>
    <w:semiHidden/>
    <w:unhideWhenUsed/>
    <w:qFormat/>
    <w:uiPriority w:val="99"/>
    <w:pPr>
      <w:snapToGrid w:val="0"/>
      <w:jc w:val="left"/>
    </w:pPr>
    <w:rPr>
      <w:sz w:val="18"/>
      <w:szCs w:val="18"/>
    </w:rPr>
  </w:style>
  <w:style w:type="paragraph" w:styleId="14">
    <w:name w:val="toc 2"/>
    <w:basedOn w:val="1"/>
    <w:next w:val="1"/>
    <w:autoRedefine/>
    <w:unhideWhenUsed/>
    <w:qFormat/>
    <w:uiPriority w:val="39"/>
    <w:pPr>
      <w:ind w:left="200" w:leftChars="200"/>
    </w:pPr>
  </w:style>
  <w:style w:type="paragraph" w:styleId="15">
    <w:name w:val="Title"/>
    <w:basedOn w:val="1"/>
    <w:next w:val="1"/>
    <w:link w:val="39"/>
    <w:qFormat/>
    <w:uiPriority w:val="10"/>
    <w:pPr>
      <w:spacing w:before="240" w:after="60"/>
      <w:jc w:val="center"/>
      <w:outlineLvl w:val="0"/>
    </w:pPr>
    <w:rPr>
      <w:rFonts w:asciiTheme="majorHAnsi" w:hAnsiTheme="majorHAnsi" w:eastAsiaTheme="majorEastAsia" w:cstheme="majorBidi"/>
      <w:b/>
      <w:bCs/>
      <w:szCs w:val="32"/>
    </w:rPr>
  </w:style>
  <w:style w:type="paragraph" w:styleId="16">
    <w:name w:val="annotation subject"/>
    <w:basedOn w:val="6"/>
    <w:next w:val="6"/>
    <w:link w:val="38"/>
    <w:semiHidden/>
    <w:unhideWhenUsed/>
    <w:qFormat/>
    <w:uiPriority w:val="99"/>
    <w:rPr>
      <w:b/>
      <w:bCs/>
    </w:rPr>
  </w:style>
  <w:style w:type="table" w:styleId="18">
    <w:name w:val="Table Grid"/>
    <w:basedOn w:val="17"/>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ndnote reference"/>
    <w:basedOn w:val="19"/>
    <w:autoRedefine/>
    <w:semiHidden/>
    <w:unhideWhenUsed/>
    <w:qFormat/>
    <w:uiPriority w:val="99"/>
    <w:rPr>
      <w:vertAlign w:val="superscript"/>
    </w:rPr>
  </w:style>
  <w:style w:type="character" w:styleId="21">
    <w:name w:val="page number"/>
    <w:basedOn w:val="19"/>
    <w:semiHidden/>
    <w:unhideWhenUsed/>
    <w:qFormat/>
    <w:uiPriority w:val="99"/>
  </w:style>
  <w:style w:type="character" w:styleId="22">
    <w:name w:val="Hyperlink"/>
    <w:basedOn w:val="19"/>
    <w:autoRedefine/>
    <w:unhideWhenUsed/>
    <w:qFormat/>
    <w:uiPriority w:val="99"/>
    <w:rPr>
      <w:color w:val="0563C1" w:themeColor="hyperlink"/>
      <w:u w:val="single"/>
      <w14:textFill>
        <w14:solidFill>
          <w14:schemeClr w14:val="hlink"/>
        </w14:solidFill>
      </w14:textFill>
    </w:rPr>
  </w:style>
  <w:style w:type="character" w:styleId="23">
    <w:name w:val="annotation reference"/>
    <w:basedOn w:val="19"/>
    <w:autoRedefine/>
    <w:semiHidden/>
    <w:unhideWhenUsed/>
    <w:qFormat/>
    <w:uiPriority w:val="99"/>
    <w:rPr>
      <w:sz w:val="21"/>
      <w:szCs w:val="21"/>
    </w:rPr>
  </w:style>
  <w:style w:type="character" w:styleId="24">
    <w:name w:val="footnote reference"/>
    <w:basedOn w:val="19"/>
    <w:autoRedefine/>
    <w:semiHidden/>
    <w:unhideWhenUsed/>
    <w:qFormat/>
    <w:uiPriority w:val="99"/>
    <w:rPr>
      <w:vertAlign w:val="superscript"/>
    </w:rPr>
  </w:style>
  <w:style w:type="character" w:customStyle="1" w:styleId="25">
    <w:name w:val="标题 1 字符"/>
    <w:basedOn w:val="19"/>
    <w:link w:val="2"/>
    <w:autoRedefine/>
    <w:qFormat/>
    <w:uiPriority w:val="9"/>
    <w:rPr>
      <w:rFonts w:ascii="仿宋" w:hAnsi="仿宋" w:eastAsia="仿宋" w:cs="宋体"/>
      <w:b/>
      <w:bCs/>
      <w:color w:val="000000" w:themeColor="text1"/>
      <w:kern w:val="44"/>
      <w:sz w:val="32"/>
      <w:szCs w:val="44"/>
      <w14:textFill>
        <w14:solidFill>
          <w14:schemeClr w14:val="tx1"/>
        </w14:solidFill>
      </w14:textFill>
    </w:rPr>
  </w:style>
  <w:style w:type="character" w:customStyle="1" w:styleId="26">
    <w:name w:val="标题 2 字符"/>
    <w:basedOn w:val="19"/>
    <w:link w:val="3"/>
    <w:autoRedefine/>
    <w:qFormat/>
    <w:uiPriority w:val="9"/>
    <w:rPr>
      <w:rFonts w:eastAsia="仿宋" w:asciiTheme="majorHAnsi" w:hAnsiTheme="majorHAnsi" w:cstheme="majorBidi"/>
      <w:b/>
      <w:bCs/>
      <w:color w:val="000000" w:themeColor="text1"/>
      <w:sz w:val="32"/>
      <w:szCs w:val="32"/>
      <w14:textFill>
        <w14:solidFill>
          <w14:schemeClr w14:val="tx1"/>
        </w14:solidFill>
      </w14:textFill>
    </w:rPr>
  </w:style>
  <w:style w:type="character" w:customStyle="1" w:styleId="27">
    <w:name w:val="标题 3 字符"/>
    <w:basedOn w:val="19"/>
    <w:link w:val="4"/>
    <w:autoRedefine/>
    <w:qFormat/>
    <w:uiPriority w:val="9"/>
    <w:rPr>
      <w:rFonts w:ascii="仿宋" w:hAnsi="仿宋" w:eastAsia="仿宋"/>
      <w:b/>
      <w:color w:val="000000" w:themeColor="text1"/>
      <w:sz w:val="32"/>
      <w:szCs w:val="32"/>
      <w14:textFill>
        <w14:solidFill>
          <w14:schemeClr w14:val="tx1"/>
        </w14:solidFill>
      </w14:textFill>
    </w:rPr>
  </w:style>
  <w:style w:type="character" w:customStyle="1" w:styleId="28">
    <w:name w:val="页脚 字符"/>
    <w:basedOn w:val="19"/>
    <w:link w:val="10"/>
    <w:autoRedefine/>
    <w:qFormat/>
    <w:uiPriority w:val="99"/>
    <w:rPr>
      <w:rFonts w:eastAsia="仿宋"/>
      <w:sz w:val="18"/>
      <w:szCs w:val="18"/>
    </w:rPr>
  </w:style>
  <w:style w:type="character" w:customStyle="1" w:styleId="29">
    <w:name w:val="页眉 字符"/>
    <w:basedOn w:val="19"/>
    <w:link w:val="11"/>
    <w:autoRedefine/>
    <w:qFormat/>
    <w:uiPriority w:val="99"/>
    <w:rPr>
      <w:rFonts w:eastAsia="仿宋"/>
      <w:sz w:val="18"/>
      <w:szCs w:val="18"/>
    </w:rPr>
  </w:style>
  <w:style w:type="character" w:customStyle="1" w:styleId="30">
    <w:name w:val="脚注文本 字符"/>
    <w:basedOn w:val="19"/>
    <w:link w:val="13"/>
    <w:autoRedefine/>
    <w:semiHidden/>
    <w:qFormat/>
    <w:uiPriority w:val="99"/>
    <w:rPr>
      <w:rFonts w:eastAsia="仿宋"/>
      <w:sz w:val="18"/>
      <w:szCs w:val="18"/>
    </w:rPr>
  </w:style>
  <w:style w:type="character" w:customStyle="1" w:styleId="31">
    <w:name w:val="Unresolved Mention"/>
    <w:basedOn w:val="19"/>
    <w:autoRedefine/>
    <w:semiHidden/>
    <w:unhideWhenUsed/>
    <w:qFormat/>
    <w:uiPriority w:val="99"/>
    <w:rPr>
      <w:color w:val="605E5C"/>
      <w:shd w:val="clear" w:color="auto" w:fill="E1DFDD"/>
    </w:rPr>
  </w:style>
  <w:style w:type="paragraph" w:styleId="32">
    <w:name w:val="List Paragraph"/>
    <w:basedOn w:val="1"/>
    <w:autoRedefine/>
    <w:qFormat/>
    <w:uiPriority w:val="34"/>
    <w:pPr>
      <w:ind w:firstLine="420"/>
    </w:pPr>
  </w:style>
  <w:style w:type="character" w:customStyle="1" w:styleId="33">
    <w:name w:val="批注框文本 字符"/>
    <w:basedOn w:val="19"/>
    <w:link w:val="9"/>
    <w:autoRedefine/>
    <w:semiHidden/>
    <w:qFormat/>
    <w:uiPriority w:val="99"/>
    <w:rPr>
      <w:rFonts w:ascii="宋体" w:eastAsia="宋体"/>
      <w:sz w:val="18"/>
      <w:szCs w:val="18"/>
    </w:rPr>
  </w:style>
  <w:style w:type="character" w:customStyle="1" w:styleId="34">
    <w:name w:val="尾注文本 字符"/>
    <w:basedOn w:val="19"/>
    <w:link w:val="8"/>
    <w:autoRedefine/>
    <w:semiHidden/>
    <w:qFormat/>
    <w:uiPriority w:val="99"/>
    <w:rPr>
      <w:rFonts w:eastAsia="仿宋"/>
      <w:sz w:val="32"/>
    </w:rPr>
  </w:style>
  <w:style w:type="table" w:customStyle="1" w:styleId="35">
    <w:name w:val="Table Normal"/>
    <w:autoRedefine/>
    <w:semiHidden/>
    <w:unhideWhenUsed/>
    <w:qFormat/>
    <w:uiPriority w:val="2"/>
    <w:pPr>
      <w:widowControl w:val="0"/>
      <w:autoSpaceDE w:val="0"/>
      <w:autoSpaceDN w:val="0"/>
    </w:pPr>
    <w:rPr>
      <w:kern w:val="0"/>
      <w:sz w:val="22"/>
      <w:szCs w:val="22"/>
      <w:lang w:eastAsia="en-US"/>
    </w:rPr>
    <w:tblPr>
      <w:tblCellMar>
        <w:top w:w="0" w:type="dxa"/>
        <w:left w:w="0" w:type="dxa"/>
        <w:bottom w:w="0" w:type="dxa"/>
        <w:right w:w="0" w:type="dxa"/>
      </w:tblCellMar>
    </w:tblPr>
  </w:style>
  <w:style w:type="paragraph" w:customStyle="1" w:styleId="36">
    <w:name w:val="Table Paragraph"/>
    <w:basedOn w:val="1"/>
    <w:autoRedefine/>
    <w:qFormat/>
    <w:uiPriority w:val="1"/>
    <w:pPr>
      <w:autoSpaceDE w:val="0"/>
      <w:autoSpaceDN w:val="0"/>
      <w:jc w:val="center"/>
    </w:pPr>
    <w:rPr>
      <w:rFonts w:cs="仿宋"/>
      <w:kern w:val="0"/>
      <w:sz w:val="22"/>
      <w:szCs w:val="22"/>
      <w:lang w:eastAsia="en-US"/>
    </w:rPr>
  </w:style>
  <w:style w:type="character" w:customStyle="1" w:styleId="37">
    <w:name w:val="批注文字 字符"/>
    <w:basedOn w:val="19"/>
    <w:link w:val="6"/>
    <w:autoRedefine/>
    <w:semiHidden/>
    <w:qFormat/>
    <w:uiPriority w:val="99"/>
    <w:rPr>
      <w:rFonts w:ascii="仿宋" w:hAnsi="仿宋" w:eastAsia="仿宋"/>
      <w:color w:val="000000" w:themeColor="text1"/>
      <w:sz w:val="32"/>
      <w14:textFill>
        <w14:solidFill>
          <w14:schemeClr w14:val="tx1"/>
        </w14:solidFill>
      </w14:textFill>
    </w:rPr>
  </w:style>
  <w:style w:type="character" w:customStyle="1" w:styleId="38">
    <w:name w:val="批注主题 字符"/>
    <w:basedOn w:val="37"/>
    <w:link w:val="16"/>
    <w:autoRedefine/>
    <w:semiHidden/>
    <w:qFormat/>
    <w:uiPriority w:val="99"/>
    <w:rPr>
      <w:rFonts w:ascii="仿宋" w:hAnsi="仿宋" w:eastAsia="仿宋"/>
      <w:b/>
      <w:bCs/>
      <w:color w:val="000000" w:themeColor="text1"/>
      <w:sz w:val="32"/>
      <w14:textFill>
        <w14:solidFill>
          <w14:schemeClr w14:val="tx1"/>
        </w14:solidFill>
      </w14:textFill>
    </w:rPr>
  </w:style>
  <w:style w:type="character" w:customStyle="1" w:styleId="39">
    <w:name w:val="标题 字符"/>
    <w:basedOn w:val="19"/>
    <w:link w:val="15"/>
    <w:qFormat/>
    <w:uiPriority w:val="10"/>
    <w:rPr>
      <w:rFonts w:asciiTheme="majorHAnsi" w:hAnsiTheme="majorHAnsi" w:eastAsiaTheme="majorEastAsia" w:cstheme="majorBidi"/>
      <w:b/>
      <w:bCs/>
      <w:color w:val="000000" w:themeColor="text1"/>
      <w:sz w:val="32"/>
      <w:szCs w:val="32"/>
      <w14:textFill>
        <w14:solidFill>
          <w14:schemeClr w14:val="tx1"/>
        </w14:solidFill>
      </w14:textFill>
    </w:rPr>
  </w:style>
  <w:style w:type="paragraph" w:customStyle="1" w:styleId="40">
    <w:name w:val="Revision"/>
    <w:autoRedefine/>
    <w:hidden/>
    <w:semiHidden/>
    <w:qFormat/>
    <w:uiPriority w:val="99"/>
    <w:rPr>
      <w:rFonts w:ascii="仿宋" w:hAnsi="仿宋" w:eastAsia="仿宋" w:cstheme="minorBidi"/>
      <w:color w:val="000000" w:themeColor="text1"/>
      <w:kern w:val="2"/>
      <w:sz w:val="32"/>
      <w:szCs w:val="24"/>
      <w:lang w:val="en-US" w:eastAsia="zh-CN" w:bidi="ar-SA"/>
      <w14:textFill>
        <w14:solidFill>
          <w14:schemeClr w14:val="tx1"/>
        </w14:solidFill>
      </w14:textFill>
    </w:rPr>
  </w:style>
  <w:style w:type="paragraph" w:customStyle="1" w:styleId="41">
    <w:name w:val="Char"/>
    <w:basedOn w:val="1"/>
    <w:autoRedefine/>
    <w:qFormat/>
    <w:uiPriority w:val="0"/>
    <w:pPr>
      <w:spacing w:line="240" w:lineRule="auto"/>
      <w:ind w:firstLine="0" w:firstLineChars="0"/>
    </w:pPr>
    <w:rPr>
      <w:rFonts w:ascii="Tahoma" w:hAnsi="Tahoma" w:eastAsia="宋体" w:cs="Times New Roman"/>
      <w:color w:val="auto"/>
      <w:sz w:val="24"/>
      <w:szCs w:val="20"/>
    </w:rPr>
  </w:style>
  <w:style w:type="paragraph" w:customStyle="1" w:styleId="42">
    <w:name w:val="列出段落1"/>
    <w:basedOn w:val="1"/>
    <w:autoRedefine/>
    <w:qFormat/>
    <w:uiPriority w:val="99"/>
    <w:pPr>
      <w:spacing w:line="240" w:lineRule="auto"/>
      <w:ind w:firstLine="420"/>
    </w:pPr>
    <w:rPr>
      <w:rFonts w:asciiTheme="minorHAnsi" w:hAnsiTheme="minorHAnsi" w:eastAsiaTheme="minorEastAsia"/>
      <w:color w:val="auto"/>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2770</Words>
  <Characters>15791</Characters>
  <Lines>131</Lines>
  <Paragraphs>37</Paragraphs>
  <TotalTime>170</TotalTime>
  <ScaleCrop>false</ScaleCrop>
  <LinksUpToDate>false</LinksUpToDate>
  <CharactersWithSpaces>18524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2021-10-21T01:21:00Z</dcterms:created>
  <dc:creator>26281</dc:creator>
  <cp:lastModifiedBy>Icarus</cp:lastModifiedBy>
  <cp:lastPrinted>2021-10-30T17:22:00Z</cp:lastPrinted>
  <dcterms:modified xsi:type="dcterms:W3CDTF">2024-02-22T01:44:20Z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E5B5CA6E218F4BC785F9127923EF25D5</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宏2_1" visible="true" label="Normal.NewMacros.宏2" imageMso="ListMacros" onAction="宏2"/>
      </mso:documentControls>
    </mso:qat>
  </mso:ribbon>
</mso:customUI>
</file>