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480"/>
        <w:rPr>
          <w:rFonts w:ascii="宋体" w:hAnsi="宋体"/>
          <w:sz w:val="24"/>
          <w:szCs w:val="24"/>
        </w:rPr>
      </w:pPr>
      <w:bookmarkStart w:id="0" w:name="_GoBack"/>
      <w:bookmarkEnd w:id="0"/>
    </w:p>
    <w:p>
      <w:pPr>
        <w:spacing w:line="440" w:lineRule="exact"/>
        <w:ind w:firstLine="617" w:firstLineChars="192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市级部门整体支出绩效评价基本情况表</w:t>
      </w:r>
    </w:p>
    <w:p>
      <w:pPr>
        <w:spacing w:line="440" w:lineRule="exact"/>
        <w:ind w:firstLine="614" w:firstLineChars="192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  2019  年度）</w:t>
      </w:r>
    </w:p>
    <w:p>
      <w:pPr>
        <w:spacing w:line="440" w:lineRule="exact"/>
        <w:ind w:firstLine="614" w:firstLineChars="192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填报单位（盖章）：丽水市农</w:t>
      </w:r>
      <w:r>
        <w:rPr>
          <w:rFonts w:hint="eastAsia" w:ascii="宋体" w:hAnsi="宋体"/>
          <w:sz w:val="32"/>
          <w:szCs w:val="32"/>
          <w:lang w:eastAsia="zh-CN"/>
        </w:rPr>
        <w:t>业</w:t>
      </w:r>
      <w:r>
        <w:rPr>
          <w:rFonts w:hint="eastAsia" w:ascii="宋体" w:hAnsi="宋体"/>
          <w:sz w:val="32"/>
          <w:szCs w:val="32"/>
        </w:rPr>
        <w:t>科</w:t>
      </w:r>
      <w:r>
        <w:rPr>
          <w:rFonts w:hint="eastAsia" w:ascii="宋体" w:hAnsi="宋体"/>
          <w:sz w:val="32"/>
          <w:szCs w:val="32"/>
          <w:lang w:eastAsia="zh-CN"/>
        </w:rPr>
        <w:t>学研究</w:t>
      </w:r>
      <w:r>
        <w:rPr>
          <w:rFonts w:hint="eastAsia" w:ascii="宋体" w:hAnsi="宋体"/>
          <w:sz w:val="32"/>
          <w:szCs w:val="32"/>
        </w:rPr>
        <w:t>院</w:t>
      </w:r>
    </w:p>
    <w:tbl>
      <w:tblPr>
        <w:tblStyle w:val="4"/>
        <w:tblW w:w="14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525"/>
        <w:gridCol w:w="2270"/>
        <w:gridCol w:w="1885"/>
        <w:gridCol w:w="360"/>
        <w:gridCol w:w="283"/>
        <w:gridCol w:w="1500"/>
        <w:gridCol w:w="3437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评价联系人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刘根华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联系电话及手机</w:t>
            </w:r>
          </w:p>
        </w:tc>
        <w:tc>
          <w:tcPr>
            <w:tcW w:w="5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2028076  13666559419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人员编制数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实有人数</w:t>
            </w:r>
          </w:p>
        </w:tc>
        <w:tc>
          <w:tcPr>
            <w:tcW w:w="5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9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单位职能</w:t>
            </w:r>
          </w:p>
        </w:tc>
        <w:tc>
          <w:tcPr>
            <w:tcW w:w="12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（一）承担全市农林业战略性、前瞻性和应用性项目研发和成果转化工作，组织全市农林业科技协同创新，支撑服务农林业发展的科技需求。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（二）</w:t>
            </w: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开展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全市粮油、食用菌、茶叶</w:t>
            </w: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、水干果、蔬菜、中药材、畜牧、笋竹、木本油料等品种引进、良种选育、生态高效种养技术、设施农业及农林产品贮藏、保鲜、加工等领域的研发工作。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（三）开展森林生态环境功能与修复、野生动植物保护与利用、种苗花卉、森林培育、生态公益林和森林景观建设等领域的研发工作。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（四）开展农林业标准化、农林业循环经济和产业化发展的研究。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（五）开展农林业科技创新与成果熟化，建立科技示范基地，开展成果转化与科技服务工作。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（六）建设维护丽水农科教旅一体化（松阳）基地等院属科研基地和科技创新平台。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（七）守成市委、市政府交办的其他任务。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单位年度实际收入（万元）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收入合计</w:t>
            </w:r>
          </w:p>
        </w:tc>
        <w:tc>
          <w:tcPr>
            <w:tcW w:w="122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其中: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上年结转结余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财政拨款收入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上级补助收入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经营收入及其他收入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6524.55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1558.61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4391.99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573.95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单位年度实际支出（万元）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支出合计</w:t>
            </w:r>
          </w:p>
        </w:tc>
        <w:tc>
          <w:tcPr>
            <w:tcW w:w="122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其中: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4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其中:</w:t>
            </w:r>
          </w:p>
        </w:tc>
        <w:tc>
          <w:tcPr>
            <w:tcW w:w="343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经营支出及其他支出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人员支出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日常公用支出</w:t>
            </w:r>
          </w:p>
        </w:tc>
        <w:tc>
          <w:tcPr>
            <w:tcW w:w="34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4882.95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2243.46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2036.54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206.92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2639.49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年度绩效状况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cs="黑体"/>
                <w:b/>
                <w:bCs/>
                <w:sz w:val="24"/>
                <w:szCs w:val="24"/>
              </w:rPr>
              <w:t>年度财政支出整体绩效目标总体描述</w:t>
            </w:r>
          </w:p>
        </w:tc>
        <w:tc>
          <w:tcPr>
            <w:tcW w:w="12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szCs w:val="24"/>
              </w:rPr>
              <w:t>科技创新在若干领域国内省内有影响、成果转化为丽水现代生态农业提供重要支撑。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目标设置和年度财政收支的主要依据及说明</w:t>
            </w:r>
          </w:p>
        </w:tc>
        <w:tc>
          <w:tcPr>
            <w:tcW w:w="12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丽编委[2019］47号关于丽水市农林科院职能配置规定及我院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  <w:lang w:eastAsia="zh-CN"/>
              </w:rPr>
              <w:t>“十三五”规划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本年度提供的公共产品或服务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服务名称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计  划</w:t>
            </w:r>
          </w:p>
        </w:tc>
        <w:tc>
          <w:tcPr>
            <w:tcW w:w="7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实  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rPr>
                <w:rFonts w:ascii="宋体" w:hAnsi="宋体" w:cs="仿宋_GB2312"/>
                <w:spacing w:val="-11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pacing w:val="-11"/>
                <w:sz w:val="22"/>
                <w:szCs w:val="22"/>
              </w:rPr>
              <w:t>夯实科学研究和条件建设水平，提升科技支撑能力</w:t>
            </w:r>
          </w:p>
          <w:p>
            <w:pPr>
              <w:autoSpaceDE w:val="0"/>
              <w:spacing w:line="360" w:lineRule="exact"/>
              <w:rPr>
                <w:rFonts w:hint="eastAsia" w:ascii="宋体" w:hAnsi="宋体" w:cs="仿宋_GB2312"/>
                <w:spacing w:val="-11"/>
                <w:sz w:val="22"/>
                <w:szCs w:val="22"/>
              </w:rPr>
            </w:pPr>
          </w:p>
          <w:p>
            <w:pPr>
              <w:widowControl/>
              <w:autoSpaceDE w:val="0"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both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获国家发明专利5项以上，审定新品种3个以上，获省科技进步奖3项以上。完成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丽水农科教旅一体化（松阳）基地大楼及附属设施建设</w:t>
            </w:r>
          </w:p>
        </w:tc>
        <w:tc>
          <w:tcPr>
            <w:tcW w:w="7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.围绕丽水主导农林产业，重点在食用菌、茶叶、蔬菜、中药材、水果、加工、竹笋、美丽林相等产业开展研发，深入推进院重大项目三年培育计划。申请专利9项，授权7项，编制修订市级地方标准7项，审定品种4个，获中国民族医药协会科学技术奖一等奖1项、省科技进步三等奖1项、省科技兴林奖二等奖1项、三等奖1项。其中，我院主持的省重点研发计划项目“垂直农业系列关键技术研究及产品开发---垂直农场与垂直农业技术的研发及应用”顺利通过验收，研究成果不仅国内各地得到推广，也在美国、俄罗斯等世界各地推广。2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 xml:space="preserve"> 已完成4400平方米主体大楼建筑，连栋大棚、钢架大棚等农业设施18000多平方米、配套用房和江边坑水利工程、园区大门等配套设施建设。国家食用菌产业体系区试站、浙江茶树种质资源圃、省农作物区试站等一批重点项目入园，其中浙江茶树种质资源圃为国内绿茶种质资源最为齐全，已收集保存1900多份茶树种质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本年度取得的实际效益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效益名称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计  划</w:t>
            </w:r>
          </w:p>
        </w:tc>
        <w:tc>
          <w:tcPr>
            <w:tcW w:w="7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实  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  <w:jc w:val="center"/>
        </w:trPr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深入开展四季服务“两山”实践行动，提升服务区域成效，整合资源，创新科技合作模式，充分利用科技人员优势，深入产业一线开展乡村振兴工作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rPr>
                <w:rFonts w:ascii="宋体" w:hAnsi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sz w:val="22"/>
                <w:szCs w:val="22"/>
              </w:rPr>
              <w:t>开展三服务活动80次以上，与各类创新主体合作申报项目35项以上，推广新品种15个以上</w:t>
            </w:r>
            <w:r>
              <w:rPr>
                <w:rFonts w:hint="eastAsia" w:ascii="宋体" w:hAnsi="宋体" w:cs="仿宋_GB2312"/>
                <w:color w:val="FF0000"/>
                <w:sz w:val="22"/>
                <w:szCs w:val="22"/>
              </w:rPr>
              <w:t>。</w:t>
            </w:r>
          </w:p>
        </w:tc>
        <w:tc>
          <w:tcPr>
            <w:tcW w:w="7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ind w:firstLine="440" w:firstLineChars="200"/>
              <w:rPr>
                <w:rFonts w:ascii="宋体" w:hAnsi="宋体" w:cs="仿宋_GB2312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仿宋_GB2312"/>
                <w:sz w:val="22"/>
                <w:szCs w:val="22"/>
              </w:rPr>
              <w:t>各研究所发挥技术和人才优势，每月组织2次深入服务基层农业主体，开展三服务活动86余次，梳理问题清单53项，其中现场解决生产实际问题49项。2.发放种子、种苗、农资等400多份，发放模式图、技术手册等资料1000多份；派出一名科技干部挂职缙云县农业农村局，牵头组织实施茭白产业发展专项，建立科技示范基地2个，面积2000多亩；参与2019年石练镇迎新村借力发展计划，多次开展调研，开展扶贫增收、生态大米和稻田养鱼等方案，向养殖户免费赠送鸡苗1000只和玉米饲料100斤并提供全程技术支持；与市供销社深入推进“市农作物放心工程”，参与制定并实施《2019农作物放心工程培训计划》、《2019年农作物放心工程电台广播讲座计划》。3.整合资源，创新科技合作模式。以院农民讲师团、国家产业技术体系综合试验站、院士专家工作站、博士后工作站等为载体，以项目合作、技术服务为切入点，与其他各县市各类企业主体共同开展国家自然科学基金、省重大专项、市重点科技项目等项目合作50多项。4.实施山区茶园可持续技术模式示范等推广项目22项，示范推广“丽耳3号”、“丽芸2号”等自主选育新品种6个，示范推广“中桃5号”、“中蟠11号”等引进优质新品种20多个，专技人员对接各类农业主体43个。</w:t>
            </w:r>
          </w:p>
          <w:p>
            <w:pPr>
              <w:widowControl/>
              <w:autoSpaceDE w:val="0"/>
              <w:spacing w:line="36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  <w:szCs w:val="24"/>
              </w:rPr>
              <w:t>服务对象（受益者及相关群体）满意度</w:t>
            </w:r>
          </w:p>
        </w:tc>
        <w:tc>
          <w:tcPr>
            <w:tcW w:w="12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满意</w:t>
            </w:r>
          </w:p>
        </w:tc>
      </w:tr>
    </w:tbl>
    <w:p>
      <w:pPr>
        <w:tabs>
          <w:tab w:val="left" w:pos="5083"/>
        </w:tabs>
        <w:jc w:val="left"/>
        <w:rPr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NTgxNjlhMjdhMjVhYjFhMzg5OWFiZDcwNDY3NDkifQ=="/>
  </w:docVars>
  <w:rsids>
    <w:rsidRoot w:val="00E65B58"/>
    <w:rsid w:val="00E65B58"/>
    <w:rsid w:val="00FE64BF"/>
    <w:rsid w:val="0D20156A"/>
    <w:rsid w:val="115D69F1"/>
    <w:rsid w:val="1E643C78"/>
    <w:rsid w:val="21561ADC"/>
    <w:rsid w:val="26F938D4"/>
    <w:rsid w:val="2C957F6E"/>
    <w:rsid w:val="305A40CF"/>
    <w:rsid w:val="45BF3C85"/>
    <w:rsid w:val="46866126"/>
    <w:rsid w:val="57055ADF"/>
    <w:rsid w:val="5C8859FB"/>
    <w:rsid w:val="66764C78"/>
    <w:rsid w:val="7BD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link w:val="7"/>
    <w:unhideWhenUsed/>
    <w:qFormat/>
    <w:uiPriority w:val="99"/>
    <w:pPr>
      <w:spacing w:before="100" w:beforeAutospacing="1"/>
      <w:ind w:firstLine="420" w:firstLineChars="200"/>
    </w:pPr>
    <w:rPr>
      <w:kern w:val="0"/>
      <w:sz w:val="20"/>
      <w:szCs w:val="20"/>
    </w:rPr>
  </w:style>
  <w:style w:type="character" w:customStyle="1" w:styleId="6">
    <w:name w:val="正文文本缩进 Char"/>
    <w:basedOn w:val="5"/>
    <w:link w:val="2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7">
    <w:name w:val="正文首行缩进 2 Char"/>
    <w:basedOn w:val="6"/>
    <w:link w:val="3"/>
    <w:qFormat/>
    <w:uiPriority w:val="99"/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1750</Words>
  <Characters>1879</Characters>
  <Lines>28</Lines>
  <Paragraphs>8</Paragraphs>
  <TotalTime>14</TotalTime>
  <ScaleCrop>false</ScaleCrop>
  <LinksUpToDate>false</LinksUpToDate>
  <CharactersWithSpaces>1907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2020-08-28T07:56:00Z</dcterms:created>
  <dc:creator>Microsoft</dc:creator>
  <cp:lastModifiedBy>Icarus</cp:lastModifiedBy>
  <cp:lastPrinted>2020-08-31T03:01:00Z</cp:lastPrinted>
  <dcterms:modified xsi:type="dcterms:W3CDTF">2022-09-07T08:28:02Z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F26F1E2D5E8D4EE5BC6C14C74AE2AC1D</vt:lpwstr>
  </property>
</Properties>
</file>