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市场监管检测监测（含疫情防控、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食品、药品、产品等）项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目绩效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报告</w:t>
      </w:r>
    </w:p>
    <w:p>
      <w:pPr>
        <w:spacing w:line="520" w:lineRule="exact"/>
        <w:ind w:firstLine="614" w:firstLineChars="192"/>
        <w:rPr>
          <w:rFonts w:hint="eastAsia" w:ascii="黑体" w:eastAsia="黑体"/>
          <w:sz w:val="32"/>
          <w:szCs w:val="32"/>
        </w:rPr>
      </w:pPr>
    </w:p>
    <w:p>
      <w:pPr>
        <w:spacing w:line="520" w:lineRule="exact"/>
        <w:ind w:firstLine="578" w:firstLineChars="192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一、项目基本概况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2021年预算分配我局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市场监管检测监测（含疫情防控、食品、药品、产品等）项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305万元，主要为:产品检测145万元，食品检测119万元，食品快检41万元。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0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（一）食品检测：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制定了食品安全监督抽检计划，计划抽检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1695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批次，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其中生产环节557批次、流通环节613批次、餐饮环节525批次，抽检范围覆盖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粮食加工品、肉制品、饮料、方便食品、冷冻饮品、速冻食品、薯类和膨化食品、糖果制品、酒类、蔬菜制品、水果制品、淀粉及淀粉制品、糕点、豆制品、蜂产品、婴幼儿配方食品、餐饮食品、食用农产品等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类。</w:t>
      </w:r>
    </w:p>
    <w:p>
      <w:pPr>
        <w:numPr>
          <w:ilvl w:val="0"/>
          <w:numId w:val="0"/>
        </w:numPr>
        <w:tabs>
          <w:tab w:val="left" w:pos="312"/>
        </w:tabs>
        <w:spacing w:line="520" w:lineRule="exact"/>
        <w:ind w:firstLine="576" w:firstLineChars="192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  <w:lang w:eastAsia="zh-CN"/>
        </w:rPr>
        <w:t>（二）食品快检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</w:rPr>
        <w:t>按照《丽水市食用农产品快速检测标准规范》（试行）每天对南城农批市场内交易的食用农产品快速检测不少于200批次，其中非农残项目每天不少于总批次的10%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开展定量检测分析不少于50批次，并提供定量检测报告。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（三）产品检测：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根据企业数，以往工作量和历年产品检测情况，20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市财政继续统筹安排我局产品质量监督抽查检测经费145万元。产品质量主管职能部门从全市企业分布情况，以及重点行业块状产业和特色产业特点，根据生产领域产品变化情况及监督抽查重点，结合历年抽查情况和省局监督抽查工作要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省市局根据确定的产品抽查目录，确定20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年质量工作要点和产品质量监督抽查重点。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绩效目标和实施计划。产品质量监督抽查的主要目的，是根据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“抽查一个行业,发现一些问题,推出一个整治,提高一个产业”的工作思路,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通过实施定期和专项监督抽查产品质量工作，向政府提供真实、准确的监督抽查结果，对全市产品质量状况进行客观评价，为政府决策提供参考依据；为消费者提供放心购物的产品信息，引导群众消费；通过指导企业进行有针对性的整改，提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我市各类企业质量管理水平，为丽水高质量绿色发展奠定坚实的质量基础。经报财政部门审核同意，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年我局产品质量监督抽查经费为145万，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eastAsia="zh-CN"/>
        </w:rPr>
        <w:t>通过竞争性磋商的方式招标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。2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对我市7大类77种共409家企业生产的413批次产品组织实施了市级定期产品质量监督抽查，不合格9批次，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流通领域抽检298批次，不合格15批次。专项监督抽查137批次，不合格19批次，专项风险监测20批次，不合格4批次。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项目实施情况。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年，定期监督抽查实际共完成抽查计划为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val="en-US" w:eastAsia="zh-CN"/>
        </w:rPr>
        <w:t>77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409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家企业的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413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批次产品。专项监督抽查计划实际完成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157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批次产品，流通领域商品抽检计划实际完成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298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批次。20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年，抽样项目完成率为100%（根据国家和省局有关规定，对检测机构以到企业实地抽样考查，并填写企业情况抽样调查表为完成抽样计划考核指标）。</w:t>
      </w:r>
    </w:p>
    <w:p>
      <w:pPr>
        <w:numPr>
          <w:ilvl w:val="0"/>
          <w:numId w:val="1"/>
        </w:numPr>
        <w:spacing w:line="520" w:lineRule="exact"/>
        <w:ind w:left="-404" w:leftChars="0" w:firstLine="614" w:firstLineChars="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项目绩效状况分析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食品检测：根据食品抽检计划开展各环节定期或不定期监督抽检，及时处置抽检不合格单位，加强食品安全监管，推进食品安全示范市  项目组织实施印发《2021年全市食品安全抽检监测计划》，在国家食品安全抽样检验信息系统中部署任务，检测完成后，检测机构将抽检结果录入至国家食品安全抽样检验信息系统中，并将抽检结果在市局外网进行公示；市监局定期对食品安全检测机构进行考核，实地考核承检机构技术支撑情况、员工培训情况、检验过程、质量控制、抽样与样品管理等方面，切实提高检测机构业务水平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（二）产品检测：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全面掌握和分析产品质量状况，为宏观质量决策提供了重要参考。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1.生产领域产品质量分析。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年，对我市生产领域电子、纺织、化工、机械、建材、轻工和冶金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7大类77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种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共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val="en-US" w:eastAsia="zh-CN"/>
        </w:rPr>
        <w:t>409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家企业生产的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val="en-US" w:eastAsia="zh-CN"/>
        </w:rPr>
        <w:t>413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批次产品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实施了定期监督抽查，其中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eastAsia="zh-CN"/>
        </w:rPr>
        <w:t>合格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/>
        </w:rPr>
        <w:t>404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批次，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合格率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val="en-US" w:eastAsia="zh-CN"/>
        </w:rPr>
        <w:t>97.82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%，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</w:rPr>
        <w:t>全市产品质量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继续保持稳定运行态势。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从产品看，批次合格率100% 的有木门、食品用纸质包装、棉纱、铅笔、有机肥料、溶解乙炔、油漆、油漆稀释剂和空气净化产品等71种产品349批次，占全部抽查产品种类92.21%，占全部抽查产品批次的84.50%。批次合格率低于80%的有皮革、玩具（电玩具）、外墙涂料、建筑胶粘剂4种产品5批次（不合格5批次），占全部抽查产品种类的5.20%，占全部抽查产品批次的1.21%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 w:firstLine="60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从行业类别看，批次合格率最高的是纺织、冶金、机械、电子和建材类，均为100％，最低的是化工类为92.11%。抽查批次数最多的是建材类，共132批次,其次是机械类，共100批次。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2.从流通领域看，对我市流通领域25种产品共298批次产品组织实施了市级产品质量监督抽查，合格283批次，批次合格率94.97%，全市流通领域产品质量继续保持稳定运行态势。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从产品看，批次合格率100% 的有卫生巾（护垫）、汽油、柴油、车用尿素水溶液、学生用品、商品零售包装袋、电热毯、电饼铛、农（地）膜、建筑用砂、油漆、壁纸（布）、插座、书包皮、安全帽、电风扇、电动自行车充电器和儿童服装（包括儿童服装、婴童服装、婴幼儿服饰等）产品等18个种类产品184批次，占全部抽查产品种类的72%，占全部抽查产品批次的61.74%。批次合格率低于80%的只有家用燃气灶具1个种类产品8批次（不合格4批次），占全部抽查产品种类的4%，占全部抽查产品批次的1.34%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从行业类别看，批次合格率最高的是妇女用品、学生用品、车用汽柴油、家用电器、儿童服装类，均为100.00％，最低的是家用燃气灶具类为50%。抽查批次数最多的是车用汽柴油，共43批次,其次是复合肥料类，共40批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抽查情况数据显示，家用燃气灶具、消防器材、烟花爆竹、一次性塑料餐饮具、化肥、电动自行车和建筑排水用硬聚氯乙烯管材产品发现问题产品，产品不合格项目主要集中在标识标签、计量误差、安装使用说明书等项目。其中家用燃气灶具8批次中发现4个批次不合格产品；消防器材25批次中发现3个批次不合格产品，应予以重点关注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2、以产品质量信息公开引导消费。严格履行监督抽查结果信息公开的相关规定，及时、准确、全面地公开市级监督抽查结果信息。全年通过局门户网和微信公众号公布了2021年第一、二、三、四季度市级定期监督抽查信息和监督抽查不合格产品后处理情况，流通领域产品质量抽查信息，并发布消费指南，引导消费者理性消费。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3、以强化后处理提升企业质量管理水平。依法对2021年9家定期监督抽查不合格企业、16家流通领域经营户完成了后处理，复查率、整改率100%。在严格后处理的同时，要求生产企业建立健全企业质量管理体系，切实加强进厂原材料和出厂产品的检验、强化质量关键控制点把控，防止不合格产品进入市场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本项目能按照计划和文件要求实施，为当地政府提供了产品质量状况，明确了质量监管部门监管重点，为消费者提升了相关消费指引，项目达到了预定目标。</w:t>
      </w:r>
    </w:p>
    <w:p>
      <w:pPr>
        <w:spacing w:line="520" w:lineRule="exact"/>
        <w:ind w:firstLine="576" w:firstLineChars="19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（三）食品快检：2021年度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已按计划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项目实施后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，一是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提高经营户食品安全意识；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规范经营户准入、检测等食品安全规范化建设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；三是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保障机关、企事业单位、学校食堂食材供应安全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；四是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推进从田头到餐桌食用农产品全链条管控。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达到项目实施的预期效益目标。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1、目标指标完成情况分析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产出指标完成情况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：</w:t>
      </w:r>
    </w:p>
    <w:p>
      <w:pPr>
        <w:numPr>
          <w:ilvl w:val="0"/>
          <w:numId w:val="0"/>
        </w:numPr>
        <w:spacing w:line="600" w:lineRule="exact"/>
        <w:ind w:firstLine="300" w:firstLineChars="1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数量指标</w:t>
      </w:r>
    </w:p>
    <w:p>
      <w:pPr>
        <w:pStyle w:val="2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①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实际完成食品安全抽检1695批次，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其中生产环节557批次、流通环节613批次、餐饮环节525批次。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②2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  <w:t>年,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对我市7大类77种共409家企业生产的413批次产品组织实施了市级定期产品质量监督抽查，不合格9批次，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  <w:lang w:val="en-US" w:eastAsia="zh-CN"/>
        </w:rPr>
        <w:t>流通领域抽检298批次，不合格15批次。专项监督抽查137批次，不合格19批次，专项风险监测20批次，不合格4批次。</w:t>
      </w:r>
    </w:p>
    <w:p>
      <w:pPr>
        <w:numPr>
          <w:ilvl w:val="0"/>
          <w:numId w:val="0"/>
        </w:numPr>
        <w:tabs>
          <w:tab w:val="left" w:pos="312"/>
        </w:tabs>
        <w:spacing w:line="520" w:lineRule="exact"/>
        <w:ind w:firstLine="576" w:firstLineChars="192"/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</w:rPr>
        <w:t>③每天对南城农批市场内交易的食用农产品快速检测不少于200批次，其中非农残项目每天不少于总批次的10%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u w:val="none"/>
          <w:lang w:val="en-US" w:eastAsia="zh-CN"/>
        </w:rPr>
        <w:t>开展定量检测分析不少于50批次，并提供定量检测报告。</w:t>
      </w:r>
    </w:p>
    <w:p>
      <w:pPr>
        <w:pStyle w:val="3"/>
        <w:numPr>
          <w:ilvl w:val="0"/>
          <w:numId w:val="0"/>
        </w:numPr>
        <w:ind w:leftChars="100" w:firstLine="300" w:firstLineChars="1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社会效益分析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降低食品安全风险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①通过对食品生产、经营单位及产品生产、流通企业进行定期、不定期的抽样检验，能够降低食品安全风险，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年丽水市未发生重大食品安全事故，食品安全形势总体稳定。</w:t>
      </w:r>
    </w:p>
    <w:p>
      <w:pPr>
        <w:pStyle w:val="3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cs="仿宋_GB2312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提高不合格食品问题发现率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    坚持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以问题为导向的制定抽检计划，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</w:rPr>
        <w:t>对抽检发现不合格项目的样品，统一建立不合格样品数据库，在后续的抽检工作中，跟踪监督，确保食品的安全性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0"/>
          <w:szCs w:val="30"/>
          <w:u w:val="none"/>
        </w:rPr>
        <w:t>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为当地政府提供了产品质量状况，明确了质量监管部门监管重点，为消费者提升了相关消费指引，项目达到了预定目标。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_GB2312" w:hAnsi="仿宋_GB2312" w:eastAsia="仿宋_GB2312" w:cs="仿宋_GB2312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综合以上绩效目标完成情况分析，2021年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市场监管和知识产权专项资金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绩效评价自评得分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96分，评价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结果为优秀。</w:t>
      </w:r>
    </w:p>
    <w:p>
      <w:pPr>
        <w:numPr>
          <w:ilvl w:val="0"/>
          <w:numId w:val="1"/>
        </w:numPr>
        <w:spacing w:line="520" w:lineRule="exact"/>
        <w:ind w:left="-404" w:leftChars="0" w:firstLine="614" w:firstLineChars="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评价发现的问题及原因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2021年，本项目全部按时间节点如期完成了既定的工作任务，但在项目实施过程中发现存在以下一些问题，需认真加以研究和解决。</w:t>
      </w:r>
    </w:p>
    <w:p>
      <w:pPr>
        <w:widowControl/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0"/>
          <w:szCs w:val="30"/>
          <w:lang w:val="en-US" w:eastAsia="zh-CN" w:bidi="ar-SA"/>
        </w:rPr>
        <w:t>（一）众多中小微企业质量管理水平仍有待提升。从去年抽查情况看，规模企业产品质量较好，中小微企业产品质量问题依然较为突出，显著拉低了全市产品抽样合格率水平。从全年抽查的情况看，不合格产品生产企业属小微企业居多，规模普遍较小，竞争能力不强，抗风险能力较弱,质量管理水平不高，进厂原料及出厂产品的质量不能有效控制，产品质量水平在低位徘徊。不少小企业质量意识淡薄，生产设备落后，检验手段和检验技术力量缺乏，面对原材料涨价，通过减料的方法降低成本，也有企业为满足部分客户对低端产品的需求，选择相对劣质的原材料，降低了产品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  <w:t>量，需引起监管部门高度重视。</w:t>
      </w:r>
    </w:p>
    <w:p>
      <w:pPr>
        <w:spacing w:line="600" w:lineRule="exact"/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）抽查经费仍存在缺口。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  <w:t>根据自2020年1月1日起施行的《产品质量监督抽查管理暂行办法》（国家市场监督管理总局令第18号）第六条规定，监督抽查所需样品的抽取、购买、运输、检验、处置以及复查等工作费用，按照国家有关规定列入同级政府财政预算。此前抽样样品费用和复查等工作费用均由生产企业无偿提供，仅此一项全年因买样所需资金预估需大概在45万元缺口。</w:t>
      </w:r>
    </w:p>
    <w:p>
      <w:pPr>
        <w:pStyle w:val="2"/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71A1D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71A1D"/>
          <w:spacing w:val="0"/>
          <w:sz w:val="30"/>
          <w:szCs w:val="30"/>
          <w:shd w:val="clear" w:fill="FFFFFF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171A1D"/>
          <w:spacing w:val="0"/>
          <w:sz w:val="30"/>
          <w:szCs w:val="30"/>
          <w:shd w:val="clear" w:fill="FFFFFF"/>
        </w:rPr>
        <w:t>抽检工作本身的质量管理还不够规范，特别是抽检的抽检计划不够合理、科学，以致于抽检作用的发挥不够有力。</w:t>
      </w:r>
    </w:p>
    <w:p>
      <w:pPr>
        <w:spacing w:line="520" w:lineRule="exact"/>
        <w:ind w:firstLine="576" w:firstLineChars="19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" w:eastAsia="zh-CN"/>
        </w:rPr>
        <w:t>（四）原东港农批市场快检服务外包的延伸，设施设备均为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2016年购置，到目前运行6年，设施设备已老化，并随着农产品市场农资产业的发展，各类新型农药上市流通，老设施设备有可能检出度不高。</w:t>
      </w:r>
    </w:p>
    <w:p>
      <w:pPr>
        <w:numPr>
          <w:ilvl w:val="0"/>
          <w:numId w:val="0"/>
        </w:numPr>
        <w:spacing w:line="520" w:lineRule="exact"/>
        <w:ind w:firstLine="301" w:firstLineChars="1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下一步改进的措施与建议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（一）</w:t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进一步提升企业质量管理水平。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指导企业分类推进现场管理、精益生产、卓越绩效等先进质量管理方法,帮助企业建立最适合其企业文化的质量管理模式。通过组织召开质量安全座谈会、质量论坛、培训会等形式，普及质量知识，提升企业质量意识。推动企业实行产品认证和企业管理体系认证工作，提高企业的管理能力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）增加产品质量监督抽查经费。综上所述，建议产品质量抽查经费以每年200万元为宜，包含买样费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）简化采购方式。鉴于我市产品质量监督抽查情况的特殊性和复杂性，建议同意我局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采取通过政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采云内网备案方式依法进行“分散采购自行组织”，采购产品质量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监督抽查项目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z w:val="30"/>
          <w:szCs w:val="30"/>
        </w:rPr>
        <w:t>）建议增加资金使用的灵活性。考虑产品检测的特殊性，涉及数十个检验检测机构上千批次产品的检测经费，尤其是监督抽查的不确定性在经费控制上也不好把握整数，建议在经费使用额度明确上限允许不超出正负10%把控。</w:t>
      </w:r>
    </w:p>
    <w:p>
      <w:pPr>
        <w:spacing w:line="600" w:lineRule="exact"/>
        <w:ind w:firstLine="750" w:firstLineChars="250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在抽样计划质量上下功夫，科学制定抽检计划，提升食品安全风险监测效能，问题导向进一步鲜明，风险排查能力不断提升。</w:t>
      </w:r>
    </w:p>
    <w:p>
      <w:pPr>
        <w:numPr>
          <w:ilvl w:val="0"/>
          <w:numId w:val="0"/>
        </w:numPr>
        <w:spacing w:line="520" w:lineRule="exact"/>
        <w:ind w:firstLine="576" w:firstLineChars="192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（六）更新增加快速检测设施。</w:t>
      </w:r>
    </w:p>
    <w:bookmarkEnd w:id="0"/>
    <w:p>
      <w:pPr>
        <w:spacing w:line="520" w:lineRule="exact"/>
        <w:ind w:firstLine="578" w:firstLineChars="192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五、附件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无</w:t>
      </w:r>
    </w:p>
    <w:p>
      <w:pPr>
        <w:spacing w:line="440" w:lineRule="exact"/>
        <w:ind w:firstLine="694" w:firstLineChars="192"/>
        <w:jc w:val="center"/>
        <w:rPr>
          <w:rFonts w:hint="eastAsia" w:ascii="宋体" w:hAnsi="宋体"/>
          <w:b/>
          <w:bCs/>
          <w:sz w:val="36"/>
          <w:szCs w:val="36"/>
          <w:lang w:eastAsia="zh-CN"/>
        </w:rPr>
      </w:pPr>
    </w:p>
    <w:p>
      <w:pPr>
        <w:spacing w:line="440" w:lineRule="exact"/>
        <w:ind w:firstLine="694" w:firstLineChars="192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项</w:t>
      </w:r>
      <w:r>
        <w:rPr>
          <w:rFonts w:hint="eastAsia" w:ascii="宋体" w:hAnsi="宋体"/>
          <w:b/>
          <w:bCs/>
          <w:sz w:val="36"/>
          <w:szCs w:val="36"/>
        </w:rPr>
        <w:t>目单位自评基本情况表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市场监管检测监测（含疫情防控、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食品、药品、产品等）项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目</w:t>
      </w:r>
    </w:p>
    <w:tbl>
      <w:tblPr>
        <w:tblStyle w:val="6"/>
        <w:tblW w:w="7920" w:type="dxa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602"/>
        <w:gridCol w:w="905"/>
        <w:gridCol w:w="1075"/>
        <w:gridCol w:w="538"/>
        <w:gridCol w:w="171"/>
        <w:gridCol w:w="1079"/>
        <w:gridCol w:w="192"/>
        <w:gridCol w:w="168"/>
        <w:gridCol w:w="907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2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项目负责人</w:t>
            </w:r>
          </w:p>
        </w:tc>
        <w:tc>
          <w:tcPr>
            <w:tcW w:w="1784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lang w:val="en" w:eastAsia="zh-CN"/>
              </w:rPr>
            </w:pPr>
            <w:r>
              <w:rPr>
                <w:rFonts w:hint="eastAsia" w:ascii="仿宋_GB2312" w:eastAsia="仿宋_GB2312"/>
                <w:sz w:val="28"/>
                <w:lang w:val="en" w:eastAsia="zh-CN"/>
              </w:rPr>
              <w:t>蔡人海等</w:t>
            </w:r>
          </w:p>
        </w:tc>
        <w:tc>
          <w:tcPr>
            <w:tcW w:w="1439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</w:t>
            </w: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2661019；15925792005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     址</w:t>
            </w:r>
          </w:p>
        </w:tc>
        <w:tc>
          <w:tcPr>
            <w:tcW w:w="3223" w:type="dxa"/>
            <w:gridSpan w:val="6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丽水市丽阳街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689号</w:t>
            </w:r>
          </w:p>
        </w:tc>
        <w:tc>
          <w:tcPr>
            <w:tcW w:w="90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445" w:type="dxa"/>
            <w:noWrap w:val="0"/>
            <w:vAlign w:val="top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323000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4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项目起止时间</w:t>
            </w:r>
          </w:p>
        </w:tc>
        <w:tc>
          <w:tcPr>
            <w:tcW w:w="5575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lang w:val="en-US" w:eastAsia="zh-CN"/>
              </w:rPr>
              <w:t>2021.01-2021.12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预算金额</w:t>
            </w:r>
            <w:r>
              <w:rPr>
                <w:rFonts w:hint="eastAsia" w:ascii="仿宋_GB2312" w:eastAsia="仿宋_GB2312"/>
              </w:rPr>
              <w:t>（万元）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305</w:t>
            </w:r>
          </w:p>
        </w:tc>
        <w:tc>
          <w:tcPr>
            <w:tcW w:w="2346" w:type="dxa"/>
            <w:gridSpan w:val="4"/>
            <w:vMerge w:val="restart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实际支出金额</w:t>
            </w:r>
            <w:r>
              <w:rPr>
                <w:rFonts w:hint="eastAsia" w:ascii="仿宋_GB2312" w:eastAsia="仿宋_GB2312"/>
              </w:rPr>
              <w:t>（万元）</w:t>
            </w:r>
          </w:p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restart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304.31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其中：中央财政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省财政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346" w:type="dxa"/>
            <w:gridSpan w:val="4"/>
            <w:vMerge w:val="continue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市财政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305</w:t>
            </w:r>
          </w:p>
        </w:tc>
        <w:tc>
          <w:tcPr>
            <w:tcW w:w="2346" w:type="dxa"/>
            <w:gridSpan w:val="4"/>
            <w:vMerge w:val="continue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5" w:type="dxa"/>
            <w:gridSpan w:val="3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vMerge w:val="continue"/>
            <w:noWrap w:val="0"/>
            <w:vAlign w:val="center"/>
          </w:tcPr>
          <w:p>
            <w:pPr>
              <w:ind w:firstLine="760" w:firstLineChars="3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支出内容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（经济科目）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预算支出数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劳务费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8900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委托业务费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3034211.59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3034211.59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3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支出合计</w:t>
            </w:r>
          </w:p>
        </w:tc>
        <w:tc>
          <w:tcPr>
            <w:tcW w:w="28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3043111.59</w:t>
            </w:r>
          </w:p>
        </w:tc>
        <w:tc>
          <w:tcPr>
            <w:tcW w:w="271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3043111.59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三、</w:t>
            </w:r>
            <w:r>
              <w:rPr>
                <w:rFonts w:hint="eastAsia" w:ascii="仿宋_GB2312" w:eastAsia="仿宋_GB2312"/>
                <w:b/>
                <w:sz w:val="28"/>
              </w:rPr>
              <w:t>项目绩效目标完成情况（简要）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3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项目绩效目标及实施计划</w:t>
            </w:r>
          </w:p>
        </w:tc>
        <w:tc>
          <w:tcPr>
            <w:tcW w:w="31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</w:rPr>
              <w:t>预期及调整情况</w:t>
            </w:r>
          </w:p>
        </w:tc>
        <w:tc>
          <w:tcPr>
            <w:tcW w:w="396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2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</w:rPr>
            </w:pPr>
          </w:p>
        </w:tc>
        <w:tc>
          <w:tcPr>
            <w:tcW w:w="312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计划抽检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1695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批次，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其中生产环节557批次、流通环节613批次、餐饮环节525批次。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产品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定期监督抽查实际共完成抽查计划为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77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种共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409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家企业的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413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批次产品。</w:t>
            </w:r>
          </w:p>
          <w:p>
            <w:pPr>
              <w:pStyle w:val="2"/>
              <w:numPr>
                <w:ilvl w:val="0"/>
                <w:numId w:val="3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食品快检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每天对南城农批市场内交易的食用农产品快速检测不少于200批次，其中非农残项目每天不少于总批次的10%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开展定量检测分析不少于50批次，并提供定量检测报告。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开展定量检测分析不少于50批次，并提供定量检测报告。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</w:rPr>
              <w:t>降低食品安全风险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提高不合格食品问题发现率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  <w:t>为当地政府提供了产品质量状况，明确了质量监管部门监管重点，为消费者提升了相关消费指引。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396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1、实际完成食品安全抽检1695批次，其中生产环节557批次、流通环节613批次、餐饮环节525批次。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产品定期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监督抽查计划实际完成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77种，455批次产品。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3、每天完成食用农产品快速检测数265批次，其中，非农残项目每天不少于总批次的10%，并每天同步、精准将所有检测数据录入和上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传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食品安全溯源系统，同时建立检测书式台账。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4、全年完成定量检测数50批次，并提供定量检测报告。</w:t>
            </w:r>
          </w:p>
          <w:p>
            <w:pPr>
              <w:spacing w:line="360" w:lineRule="auto"/>
              <w:ind w:firstLine="360" w:firstLineChars="20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通过对食品生产、经营单位及产品生产、流通企业进行定期、不定期的抽样检验，能够降低食品安全风险，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年丽水市未发生重大食品安全事故，食品安全形势总体稳定。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6、坚持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以问题为导向的制定抽检计划，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对抽检发现不合格项目的样品，统一建立不合格样品数据库，在后续的抽检工作中，跟踪监督，确保食品的安全性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7、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-SA"/>
              </w:rPr>
              <w:t>为当地政府提供了产品质量状况，明确了质量监管部门监管重点，为消费者提升了相关消费指引，项目达到了预定目标。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395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 w:val="0"/>
                <w:sz w:val="24"/>
                <w:lang w:eastAsia="zh-CN"/>
              </w:rPr>
              <w:t>自评结论</w:t>
            </w:r>
          </w:p>
        </w:tc>
        <w:tc>
          <w:tcPr>
            <w:tcW w:w="396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熊夏敏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市市场监管局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食品流通处处长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2298763；13884359255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周璟玲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市市场监管局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食品协调处副处长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2395630；13857083222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06"/>
              </w:tabs>
              <w:jc w:val="left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金建勇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市市场监管局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食品协调处干部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2292036；13666557208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叶敏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市市场监管局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食品流通处干部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2298769,13625886658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06"/>
              </w:tabs>
              <w:jc w:val="left"/>
              <w:rPr>
                <w:rFonts w:hint="eastAsia"/>
                <w:lang w:eastAsia="zh-CN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高璐</w:t>
            </w: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市市场监管局</w:t>
            </w: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产品监督处干部</w:t>
            </w: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2661072,15906426292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五、项目单位（评价机构）意见：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（盖章）</w:t>
            </w:r>
          </w:p>
          <w:p>
            <w:pPr>
              <w:ind w:firstLine="4340" w:firstLineChars="15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</w:trPr>
        <w:tc>
          <w:tcPr>
            <w:tcW w:w="792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六、主管部门审核意见：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（盖单）</w:t>
            </w:r>
          </w:p>
          <w:p>
            <w:pPr>
              <w:wordWrap w:val="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年   月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DD159"/>
    <w:multiLevelType w:val="singleLevel"/>
    <w:tmpl w:val="990DD15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27D8C4"/>
    <w:multiLevelType w:val="singleLevel"/>
    <w:tmpl w:val="4527D8C4"/>
    <w:lvl w:ilvl="0" w:tentative="0">
      <w:start w:val="2"/>
      <w:numFmt w:val="chineseCounting"/>
      <w:suff w:val="nothing"/>
      <w:lvlText w:val="%1、"/>
      <w:lvlJc w:val="left"/>
      <w:pPr>
        <w:ind w:left="-404"/>
      </w:pPr>
      <w:rPr>
        <w:rFonts w:hint="eastAsia"/>
      </w:rPr>
    </w:lvl>
  </w:abstractNum>
  <w:abstractNum w:abstractNumId="2">
    <w:nsid w:val="74C0A635"/>
    <w:multiLevelType w:val="singleLevel"/>
    <w:tmpl w:val="74C0A63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0497E"/>
    <w:rsid w:val="0EBA7DD5"/>
    <w:rsid w:val="10FC70B5"/>
    <w:rsid w:val="121D59B5"/>
    <w:rsid w:val="14E849D3"/>
    <w:rsid w:val="15F249BD"/>
    <w:rsid w:val="20D332B7"/>
    <w:rsid w:val="283E279F"/>
    <w:rsid w:val="2B905A6A"/>
    <w:rsid w:val="31991E97"/>
    <w:rsid w:val="3C0472AF"/>
    <w:rsid w:val="3C705F9A"/>
    <w:rsid w:val="3E480636"/>
    <w:rsid w:val="476D5B95"/>
    <w:rsid w:val="4BE0497E"/>
    <w:rsid w:val="53A656DF"/>
    <w:rsid w:val="550772E2"/>
    <w:rsid w:val="55352078"/>
    <w:rsid w:val="6D405253"/>
    <w:rsid w:val="71A07257"/>
    <w:rsid w:val="737878CE"/>
    <w:rsid w:val="7392202C"/>
    <w:rsid w:val="764C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toc 4"/>
    <w:basedOn w:val="1"/>
    <w:next w:val="1"/>
    <w:qFormat/>
    <w:uiPriority w:val="0"/>
    <w:pPr>
      <w:spacing w:line="560" w:lineRule="exact"/>
      <w:ind w:left="1260" w:leftChars="600" w:firstLine="10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正文1"/>
    <w:qFormat/>
    <w:uiPriority w:val="0"/>
    <w:pPr>
      <w:widowControl w:val="0"/>
      <w:suppressAutoHyphens w:val="0"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customStyle="1" w:styleId="9">
    <w:name w:val="template32"/>
    <w:basedOn w:val="7"/>
    <w:qFormat/>
    <w:uiPriority w:val="0"/>
    <w:rPr>
      <w:rFonts w:ascii="宋体" w:hAnsi="宋体" w:eastAsia="宋体" w:cs="Times New Roman"/>
      <w:color w:val="000033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2022-04-22T03:06:00Z</dcterms:created>
  <dc:creator>陈利莉</dc:creator>
  <cp:lastModifiedBy>陈利莉</cp:lastModifiedBy>
  <dcterms:modified xsi:type="dcterms:W3CDTF">2022-08-19T07:31:34Z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