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丽水市人民防空办公室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政府信息主动公开基本目录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14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200"/>
        <w:gridCol w:w="2900"/>
        <w:gridCol w:w="883"/>
        <w:gridCol w:w="1500"/>
        <w:gridCol w:w="2267"/>
        <w:gridCol w:w="1250"/>
        <w:gridCol w:w="1133"/>
        <w:gridCol w:w="1666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事项类别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事项名称</w:t>
            </w:r>
          </w:p>
        </w:tc>
        <w:tc>
          <w:tcPr>
            <w:tcW w:w="29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公开依据</w:t>
            </w: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过程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公开主体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内容要求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公开时限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公开渠道</w:t>
            </w:r>
          </w:p>
        </w:tc>
        <w:tc>
          <w:tcPr>
            <w:tcW w:w="108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领导班子</w:t>
            </w:r>
          </w:p>
        </w:tc>
        <w:tc>
          <w:tcPr>
            <w:tcW w:w="29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市人防办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领导姓名、个人履历、工作分工、联系电话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0578-2230155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机构信息</w:t>
            </w:r>
          </w:p>
        </w:tc>
        <w:tc>
          <w:tcPr>
            <w:tcW w:w="2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机构名称、办公地址、办公电话、传真、通信地址、邮政编码以及依据“三定”方案及职责调整情况确定的本部门最新法定职能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内设机构名称、职责、办公电话、地址、负责人姓名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下属单位名称、地址、联系电话、基本职能、负责人姓名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工作信息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通知公告</w:t>
            </w:r>
          </w:p>
        </w:tc>
        <w:tc>
          <w:tcPr>
            <w:tcW w:w="29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执行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市人防办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公开招投标、重大采购，以及需社会知晓的公示公告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0578-2230155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2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执行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市人防办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干部任免、岗位变动，招考、遴选通知，录用公示等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政府采购</w:t>
            </w:r>
          </w:p>
        </w:tc>
        <w:tc>
          <w:tcPr>
            <w:tcW w:w="2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执行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市人防办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政府集中采购的总额及货物、服务、工程等项目的具体金额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法律、法规</w:t>
            </w:r>
          </w:p>
        </w:tc>
        <w:tc>
          <w:tcPr>
            <w:tcW w:w="29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市人防办</w:t>
            </w: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国家涉人防法律法规、我省涉人防法规规章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上级机关发布信息或信息形成（变更）3个工作日内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0578-2230155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其他政策文件</w:t>
            </w:r>
          </w:p>
        </w:tc>
        <w:tc>
          <w:tcPr>
            <w:tcW w:w="2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市人防办制定印发的应当公开的各类通知文件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规范性文件</w:t>
            </w:r>
          </w:p>
        </w:tc>
        <w:tc>
          <w:tcPr>
            <w:tcW w:w="2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人防建设与管理有关标准、规范、制度等</w:t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政策解读</w:t>
            </w:r>
          </w:p>
        </w:tc>
        <w:tc>
          <w:tcPr>
            <w:tcW w:w="2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有关规范性文件的相应政策解读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commentReference w:id="0"/>
            </w:r>
          </w:p>
        </w:tc>
        <w:tc>
          <w:tcPr>
            <w:tcW w:w="125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政府信息公开公专题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政府信息公开指南</w:t>
            </w:r>
          </w:p>
        </w:tc>
        <w:tc>
          <w:tcPr>
            <w:tcW w:w="29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市人防办</w:t>
            </w: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应当包括政府信息的分类、编排体系、获取方式，政府信息公开工作机构的名称、办公地址、办公时间、联系电话、传真号码、电子邮箱等内容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0578-2230155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政府信息公开制度</w:t>
            </w:r>
          </w:p>
        </w:tc>
        <w:tc>
          <w:tcPr>
            <w:tcW w:w="2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政府信息公开工作制度、政府信息公开工作考核制度、社会评议制度、责任追究制度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政府信息公开工作年度报告</w:t>
            </w:r>
          </w:p>
        </w:tc>
        <w:tc>
          <w:tcPr>
            <w:tcW w:w="2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按照政府信息公开工作有关要求，公开年度报告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每年1月31日前公布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依申请公开</w:t>
            </w:r>
          </w:p>
        </w:tc>
        <w:tc>
          <w:tcPr>
            <w:tcW w:w="29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依申请公开指南（包括申请方式、受理机构、受理程序、收费标准）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行政许可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行政许可、其他对外管理服务事项依据；行政许可结果公示</w:t>
            </w:r>
          </w:p>
        </w:tc>
        <w:tc>
          <w:tcPr>
            <w:tcW w:w="290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before="0" w:beforeAutospacing="0" w:after="0" w:afterAutospacing="0" w:line="320" w:lineRule="exact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《中华人民共和国政府信息公开条例》（国务院令第711号）</w:t>
            </w:r>
          </w:p>
        </w:tc>
        <w:tc>
          <w:tcPr>
            <w:tcW w:w="88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pStyle w:val="6"/>
              <w:widowControl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■结果</w:t>
            </w:r>
          </w:p>
        </w:tc>
        <w:tc>
          <w:tcPr>
            <w:tcW w:w="15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市人防办</w:t>
            </w:r>
          </w:p>
        </w:tc>
        <w:tc>
          <w:tcPr>
            <w:tcW w:w="226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行政许可的设定依据、实施主体、咨询和监督举报电话、申请条件、申请材料、办理流程、设定依据、收费标准、常见问题、许可结果等</w:t>
            </w:r>
          </w:p>
        </w:tc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1133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pStyle w:val="6"/>
              <w:widowControl/>
              <w:snapToGrid w:val="0"/>
              <w:spacing w:before="0" w:beforeAutospacing="0" w:after="0" w:afterAutospacing="0" w:line="320" w:lineRule="exact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pStyle w:val="6"/>
              <w:widowControl/>
              <w:snapToGrid w:val="0"/>
              <w:spacing w:before="0" w:beforeAutospacing="0" w:after="0" w:afterAutospacing="0" w:line="240" w:lineRule="exact"/>
              <w:jc w:val="both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□其他</w:t>
            </w:r>
          </w:p>
        </w:tc>
        <w:tc>
          <w:tcPr>
            <w:tcW w:w="108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0578-2230155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行政处罚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行政处罚、行政强制依据</w:t>
            </w:r>
          </w:p>
        </w:tc>
        <w:tc>
          <w:tcPr>
            <w:tcW w:w="29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《中华人民共和国政府信息公开条例》（国务院令第711号）</w:t>
            </w:r>
          </w:p>
        </w:tc>
        <w:tc>
          <w:tcPr>
            <w:tcW w:w="88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行政处罚的实施主体、法定依据、处罚流程、咨询和监督举报电话、处罚结果等</w:t>
            </w: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信息形成（变更）20个工作日内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xuan" w:date="2020-07-22T10:21:00Z" w:initials="x">
    <w:p w14:paraId="4FDD4398">
      <w:pPr>
        <w:pStyle w:val="2"/>
        <w:rPr>
          <w:rFonts w:eastAsia="仿宋_GB2312"/>
        </w:rPr>
      </w:pPr>
      <w:r>
        <w:rPr>
          <w:rFonts w:hint="eastAsia"/>
        </w:rPr>
        <w:t>删去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FDD43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uan">
    <w15:presenceInfo w15:providerId="None" w15:userId="x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995"/>
    <w:rsid w:val="000710C0"/>
    <w:rsid w:val="001B5DD3"/>
    <w:rsid w:val="00265488"/>
    <w:rsid w:val="002A0C92"/>
    <w:rsid w:val="00384034"/>
    <w:rsid w:val="004C5C81"/>
    <w:rsid w:val="00522CD4"/>
    <w:rsid w:val="005B6D73"/>
    <w:rsid w:val="00707776"/>
    <w:rsid w:val="00793995"/>
    <w:rsid w:val="00833627"/>
    <w:rsid w:val="008950B5"/>
    <w:rsid w:val="00AD0B66"/>
    <w:rsid w:val="00C04FD8"/>
    <w:rsid w:val="00CD6F1E"/>
    <w:rsid w:val="00E94FC0"/>
    <w:rsid w:val="00F47B4C"/>
    <w:rsid w:val="38C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  <w:rPr>
      <w:rFonts w:eastAsiaTheme="minorEastAsia" w:cstheme="minorBidi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仿宋_GB2312"/>
      <w:kern w:val="0"/>
      <w:sz w:val="24"/>
      <w:szCs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uiPriority w:val="99"/>
    <w:rPr>
      <w:rFonts w:ascii="Calibri" w:hAnsi="Calibri"/>
    </w:rPr>
  </w:style>
  <w:style w:type="character" w:customStyle="1" w:styleId="13">
    <w:name w:val="批注文字 Char1"/>
    <w:basedOn w:val="8"/>
    <w:link w:val="2"/>
    <w:semiHidden/>
    <w:uiPriority w:val="99"/>
    <w:rPr>
      <w:rFonts w:ascii="Calibri" w:hAnsi="Calibri" w:eastAsia="宋体" w:cs="Times New Roman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272</Words>
  <Characters>1554</Characters>
  <Lines>12</Lines>
  <Paragraphs>3</Paragraphs>
  <TotalTime>151</TotalTime>
  <ScaleCrop>false</ScaleCrop>
  <LinksUpToDate>false</LinksUpToDate>
  <CharactersWithSpaces>1823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2020-07-08T07:21:00Z</dcterms:created>
  <dc:creator>微软用户</dc:creator>
  <cp:lastModifiedBy>茹若若若</cp:lastModifiedBy>
  <cp:lastPrinted>2020-07-08T07:23:00Z</cp:lastPrinted>
  <dcterms:modified xsi:type="dcterms:W3CDTF">2021-04-20T03:20:45Z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