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丽水市</w:t>
      </w:r>
      <w:r>
        <w:rPr>
          <w:rFonts w:hint="eastAsia" w:ascii="方正小标宋简体" w:hAnsi="方正小标宋简体" w:eastAsia="方正小标宋简体" w:cs="方正小标宋简体"/>
          <w:color w:val="auto"/>
          <w:sz w:val="44"/>
          <w:szCs w:val="44"/>
          <w:lang w:val="en-US" w:eastAsia="zh-CN"/>
        </w:rPr>
        <w:t>全面做实</w:t>
      </w:r>
      <w:r>
        <w:rPr>
          <w:rFonts w:hint="eastAsia" w:ascii="方正小标宋简体" w:hAnsi="方正小标宋简体" w:eastAsia="方正小标宋简体" w:cs="方正小标宋简体"/>
          <w:color w:val="auto"/>
          <w:sz w:val="44"/>
          <w:szCs w:val="44"/>
        </w:rPr>
        <w:t>基本医疗保险市级统筹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3080" w:firstLineChars="700"/>
        <w:jc w:val="both"/>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实施方案</w:t>
      </w:r>
    </w:p>
    <w:p>
      <w:pPr>
        <w:keepNext w:val="0"/>
        <w:keepLines w:val="0"/>
        <w:pageBreakBefore w:val="0"/>
        <w:widowControl w:val="0"/>
        <w:kinsoku/>
        <w:wordWrap/>
        <w:overflowPunct/>
        <w:topLinePunct w:val="0"/>
        <w:autoSpaceDE/>
        <w:autoSpaceDN/>
        <w:bidi w:val="0"/>
        <w:adjustRightInd/>
        <w:snapToGrid/>
        <w:spacing w:line="580" w:lineRule="exact"/>
        <w:ind w:left="0" w:firstLine="2880" w:firstLineChars="9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征求意见稿</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深入</w:t>
      </w:r>
      <w:r>
        <w:rPr>
          <w:rFonts w:hint="eastAsia" w:ascii="仿宋_GB2312" w:hAnsi="仿宋_GB2312" w:eastAsia="仿宋_GB2312" w:cs="仿宋_GB2312"/>
          <w:color w:val="auto"/>
          <w:sz w:val="32"/>
          <w:szCs w:val="32"/>
        </w:rPr>
        <w:t>贯彻落实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中共中央</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国务院关于深化医疗保障制度改革的意见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全面落实基本医疗保险市级统筹，实现基本医疗保险高质量、可持续发展，根据《中共浙江省委 浙江省人民政府关于深化医疗保障制度改革的实施意见》等部署要求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实际，制定本实施方案。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习近平新时代中国特色社会主义思想</w:t>
      </w:r>
      <w:r>
        <w:rPr>
          <w:rFonts w:hint="eastAsia" w:ascii="仿宋_GB2312" w:hAnsi="仿宋_GB2312" w:eastAsia="仿宋_GB2312" w:cs="仿宋_GB2312"/>
          <w:color w:val="auto"/>
          <w:sz w:val="32"/>
          <w:szCs w:val="32"/>
          <w:lang w:eastAsia="zh-CN"/>
        </w:rPr>
        <w:t>为指导</w:t>
      </w:r>
      <w:r>
        <w:rPr>
          <w:rFonts w:hint="eastAsia" w:ascii="仿宋_GB2312" w:hAnsi="仿宋_GB2312" w:eastAsia="仿宋_GB2312" w:cs="仿宋_GB2312"/>
          <w:color w:val="auto"/>
          <w:sz w:val="32"/>
          <w:szCs w:val="32"/>
        </w:rPr>
        <w:t>，全面贯彻党的十九届</w:t>
      </w:r>
      <w:r>
        <w:rPr>
          <w:rFonts w:hint="eastAsia" w:ascii="仿宋_GB2312" w:hAnsi="仿宋_GB2312" w:eastAsia="仿宋_GB2312" w:cs="仿宋_GB2312"/>
          <w:color w:val="auto"/>
          <w:sz w:val="32"/>
          <w:szCs w:val="32"/>
          <w:lang w:eastAsia="zh-CN"/>
        </w:rPr>
        <w:t>五中</w:t>
      </w:r>
      <w:r>
        <w:rPr>
          <w:rFonts w:hint="eastAsia" w:ascii="仿宋_GB2312" w:hAnsi="仿宋_GB2312" w:eastAsia="仿宋_GB2312" w:cs="仿宋_GB2312"/>
          <w:color w:val="auto"/>
          <w:sz w:val="32"/>
          <w:szCs w:val="32"/>
        </w:rPr>
        <w:t>全会</w:t>
      </w:r>
      <w:r>
        <w:rPr>
          <w:rFonts w:hint="eastAsia" w:ascii="仿宋_GB2312" w:hAnsi="仿宋_GB2312" w:eastAsia="仿宋_GB2312" w:cs="仿宋_GB2312"/>
          <w:color w:val="auto"/>
          <w:sz w:val="32"/>
          <w:szCs w:val="32"/>
          <w:lang w:eastAsia="zh-CN"/>
        </w:rPr>
        <w:t>、省委十四届八次全会</w:t>
      </w:r>
      <w:r>
        <w:rPr>
          <w:rFonts w:hint="eastAsia" w:ascii="仿宋_GB2312" w:hAnsi="仿宋_GB2312" w:eastAsia="仿宋_GB2312" w:cs="仿宋_GB2312"/>
          <w:color w:val="auto"/>
          <w:sz w:val="32"/>
          <w:szCs w:val="32"/>
          <w:lang w:val="en-US" w:eastAsia="zh-CN"/>
        </w:rPr>
        <w:t>和市委四届九次全会精神，以人民健康为中心，坚持以数字化改革为牵引，进一步深化</w:t>
      </w:r>
      <w:r>
        <w:rPr>
          <w:rFonts w:hint="eastAsia" w:ascii="仿宋_GB2312" w:hAnsi="仿宋_GB2312" w:eastAsia="仿宋_GB2312" w:cs="仿宋_GB2312"/>
          <w:color w:val="auto"/>
          <w:sz w:val="32"/>
          <w:szCs w:val="32"/>
          <w:lang w:eastAsia="zh-CN"/>
        </w:rPr>
        <w:t>医疗保障制度改革，</w:t>
      </w:r>
      <w:r>
        <w:rPr>
          <w:rFonts w:hint="eastAsia" w:ascii="仿宋_GB2312" w:hAnsi="仿宋_GB2312" w:eastAsia="仿宋_GB2312" w:cs="仿宋_GB2312"/>
          <w:color w:val="auto"/>
          <w:sz w:val="32"/>
          <w:szCs w:val="32"/>
          <w:lang w:val="en-US" w:eastAsia="zh-CN"/>
        </w:rPr>
        <w:t>实现</w:t>
      </w:r>
      <w:r>
        <w:rPr>
          <w:rFonts w:hint="eastAsia" w:ascii="仿宋_GB2312" w:hAnsi="仿宋_GB2312" w:eastAsia="仿宋_GB2312" w:cs="仿宋_GB2312"/>
          <w:color w:val="auto"/>
          <w:sz w:val="32"/>
          <w:szCs w:val="32"/>
          <w:lang w:eastAsia="zh-CN"/>
        </w:rPr>
        <w:t>基本医疗保险市级统筹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提高</w:t>
      </w:r>
      <w:r>
        <w:rPr>
          <w:rFonts w:hint="eastAsia" w:ascii="仿宋_GB2312" w:hAnsi="仿宋_GB2312" w:eastAsia="仿宋_GB2312" w:cs="仿宋_GB2312"/>
          <w:color w:val="auto"/>
          <w:sz w:val="32"/>
          <w:szCs w:val="32"/>
          <w:lang w:val="en-US" w:eastAsia="zh-CN"/>
        </w:rPr>
        <w:t>市域基本</w:t>
      </w:r>
      <w:r>
        <w:rPr>
          <w:rFonts w:hint="eastAsia" w:ascii="仿宋_GB2312" w:hAnsi="仿宋_GB2312" w:eastAsia="仿宋_GB2312" w:cs="仿宋_GB2312"/>
          <w:color w:val="auto"/>
          <w:sz w:val="32"/>
          <w:szCs w:val="32"/>
          <w:lang w:eastAsia="zh-CN"/>
        </w:rPr>
        <w:t>医疗保障的公平性和协调性，增强基本医疗保险基金区域共济能力和使用效率，推动医疗保障</w:t>
      </w:r>
      <w:r>
        <w:rPr>
          <w:rFonts w:hint="eastAsia" w:ascii="仿宋_GB2312" w:hAnsi="仿宋_GB2312" w:eastAsia="仿宋_GB2312" w:cs="仿宋_GB2312"/>
          <w:color w:val="auto"/>
          <w:sz w:val="32"/>
          <w:szCs w:val="32"/>
          <w:lang w:val="en-US" w:eastAsia="zh-CN"/>
        </w:rPr>
        <w:t>治理现代化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不断增强人民群众获得感、幸福感、安全感，在</w:t>
      </w:r>
      <w:r>
        <w:rPr>
          <w:rFonts w:hint="eastAsia" w:ascii="仿宋_GB2312" w:hAnsi="仿宋_GB2312" w:eastAsia="仿宋_GB2312" w:cs="仿宋_GB2312"/>
          <w:color w:val="auto"/>
          <w:sz w:val="32"/>
          <w:szCs w:val="32"/>
        </w:rPr>
        <w:t>打造展示新时代中国特色社会主义医保制度优越性重要窗口</w:t>
      </w:r>
      <w:r>
        <w:rPr>
          <w:rFonts w:hint="eastAsia" w:ascii="仿宋_GB2312" w:hAnsi="仿宋_GB2312" w:eastAsia="仿宋_GB2312" w:cs="仿宋_GB2312"/>
          <w:color w:val="auto"/>
          <w:sz w:val="32"/>
          <w:szCs w:val="32"/>
          <w:lang w:val="en-US" w:eastAsia="zh-CN"/>
        </w:rPr>
        <w:t>和推动共同富裕中贡献医保力量</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主要目标</w:t>
      </w:r>
    </w:p>
    <w:p>
      <w:pPr>
        <w:pStyle w:val="2"/>
        <w:keepNext w:val="0"/>
        <w:keepLines w:val="0"/>
        <w:pageBreakBefore w:val="0"/>
        <w:widowControl w:val="0"/>
        <w:kinsoku/>
        <w:wordWrap/>
        <w:overflowPunct/>
        <w:topLinePunct w:val="0"/>
        <w:autoSpaceDE/>
        <w:autoSpaceDN/>
        <w:bidi w:val="0"/>
        <w:adjustRightInd/>
        <w:snapToGrid/>
        <w:spacing w:before="113" w:line="580" w:lineRule="exact"/>
        <w:ind w:left="0" w:right="273" w:firstLine="640" w:firstLineChars="200"/>
        <w:jc w:val="both"/>
        <w:textAlignment w:val="auto"/>
        <w:rPr>
          <w:color w:val="auto"/>
          <w:sz w:val="32"/>
          <w:szCs w:val="32"/>
        </w:rPr>
      </w:pPr>
      <w:r>
        <w:rPr>
          <w:rFonts w:hint="eastAsia"/>
          <w:color w:val="auto"/>
          <w:spacing w:val="0"/>
          <w:sz w:val="32"/>
          <w:szCs w:val="32"/>
          <w:lang w:val="en-US" w:eastAsia="zh-CN"/>
        </w:rPr>
        <w:t>从2022年1月1日起</w:t>
      </w:r>
      <w:r>
        <w:rPr>
          <w:color w:val="auto"/>
          <w:sz w:val="32"/>
          <w:szCs w:val="32"/>
        </w:rPr>
        <w:t>，</w:t>
      </w:r>
      <w:r>
        <w:rPr>
          <w:rFonts w:hint="eastAsia"/>
          <w:color w:val="auto"/>
          <w:sz w:val="32"/>
          <w:szCs w:val="32"/>
          <w:lang w:val="en-US" w:eastAsia="zh-CN"/>
        </w:rPr>
        <w:t>全面做实基本医疗保险市级统筹，实行</w:t>
      </w:r>
      <w:r>
        <w:rPr>
          <w:color w:val="auto"/>
          <w:sz w:val="32"/>
          <w:szCs w:val="32"/>
        </w:rPr>
        <w:t>“制度政策统</w:t>
      </w:r>
      <w:r>
        <w:rPr>
          <w:color w:val="auto"/>
          <w:spacing w:val="0"/>
          <w:sz w:val="32"/>
          <w:szCs w:val="32"/>
        </w:rPr>
        <w:t>一、基金统收统支、管理服务一体”的基本医疗保险市级统筹</w:t>
      </w:r>
      <w:r>
        <w:rPr>
          <w:rFonts w:hint="eastAsia"/>
          <w:color w:val="auto"/>
          <w:spacing w:val="0"/>
          <w:sz w:val="32"/>
          <w:szCs w:val="32"/>
          <w:lang w:val="en-US" w:eastAsia="zh-CN"/>
        </w:rPr>
        <w:t>管理</w:t>
      </w:r>
      <w:r>
        <w:rPr>
          <w:color w:val="auto"/>
          <w:spacing w:val="0"/>
          <w:sz w:val="32"/>
          <w:szCs w:val="32"/>
        </w:rPr>
        <w:t>制度</w:t>
      </w:r>
      <w:r>
        <w:rPr>
          <w:rFonts w:hint="eastAsia"/>
          <w:color w:val="auto"/>
          <w:spacing w:val="0"/>
          <w:sz w:val="32"/>
          <w:szCs w:val="32"/>
          <w:lang w:eastAsia="zh-CN"/>
        </w:rPr>
        <w:t>。</w:t>
      </w:r>
      <w:r>
        <w:rPr>
          <w:rFonts w:hint="eastAsia"/>
          <w:color w:val="auto"/>
          <w:spacing w:val="0"/>
          <w:sz w:val="32"/>
          <w:szCs w:val="32"/>
          <w:lang w:val="en-US" w:eastAsia="zh-CN"/>
        </w:rPr>
        <w:t>全市实施统一的医疗保险基本政策、待遇标准、基金收支、经办服务、定点管理、信息系统。建立</w:t>
      </w:r>
      <w:r>
        <w:rPr>
          <w:rFonts w:hint="eastAsia"/>
          <w:color w:val="auto"/>
          <w:sz w:val="32"/>
          <w:szCs w:val="32"/>
        </w:rPr>
        <w:t>健全</w:t>
      </w:r>
      <w:r>
        <w:rPr>
          <w:rFonts w:hint="eastAsia"/>
          <w:color w:val="auto"/>
          <w:sz w:val="32"/>
          <w:szCs w:val="32"/>
          <w:lang w:val="en-US" w:eastAsia="zh-CN"/>
        </w:rPr>
        <w:t>权责对等的</w:t>
      </w:r>
      <w:r>
        <w:rPr>
          <w:rFonts w:hint="eastAsia"/>
          <w:color w:val="auto"/>
          <w:sz w:val="32"/>
          <w:szCs w:val="32"/>
        </w:rPr>
        <w:t>风险分担机制，完善复合型医保支付方式，</w:t>
      </w:r>
      <w:r>
        <w:rPr>
          <w:rFonts w:hint="eastAsia"/>
          <w:color w:val="auto"/>
          <w:sz w:val="32"/>
          <w:szCs w:val="32"/>
          <w:lang w:val="en-US" w:eastAsia="zh-CN"/>
        </w:rPr>
        <w:t>建立</w:t>
      </w:r>
      <w:r>
        <w:rPr>
          <w:rFonts w:hint="eastAsia"/>
          <w:color w:val="auto"/>
          <w:sz w:val="32"/>
          <w:szCs w:val="32"/>
        </w:rPr>
        <w:t>科学合理的管理绩效评价制度</w:t>
      </w:r>
      <w:r>
        <w:rPr>
          <w:rFonts w:hint="eastAsia"/>
          <w:color w:val="auto"/>
          <w:sz w:val="32"/>
          <w:szCs w:val="32"/>
          <w:lang w:eastAsia="zh-CN"/>
        </w:rPr>
        <w:t>，</w:t>
      </w:r>
      <w:r>
        <w:rPr>
          <w:rFonts w:hint="eastAsia"/>
          <w:color w:val="auto"/>
          <w:spacing w:val="0"/>
          <w:sz w:val="32"/>
          <w:szCs w:val="32"/>
          <w:lang w:val="en-US" w:eastAsia="zh-CN"/>
        </w:rPr>
        <w:t>探索市-县</w:t>
      </w:r>
      <w:r>
        <w:rPr>
          <w:rFonts w:hint="eastAsia"/>
          <w:color w:val="auto"/>
          <w:sz w:val="32"/>
          <w:szCs w:val="32"/>
          <w:lang w:val="en-US" w:eastAsia="zh-CN"/>
        </w:rPr>
        <w:t>（市、区）</w:t>
      </w:r>
      <w:r>
        <w:rPr>
          <w:rFonts w:hint="eastAsia"/>
          <w:color w:val="auto"/>
          <w:spacing w:val="0"/>
          <w:sz w:val="32"/>
          <w:szCs w:val="32"/>
          <w:lang w:val="en-US" w:eastAsia="zh-CN"/>
        </w:rPr>
        <w:t>两级医保统筹管理新机制，推进医疗保障数字化改革，打造线上线下一体化的高效便民医保服务体系</w:t>
      </w:r>
      <w:r>
        <w:rPr>
          <w:rFonts w:hint="eastAsia"/>
          <w:color w:val="auto"/>
          <w:sz w:val="32"/>
          <w:szCs w:val="32"/>
        </w:rPr>
        <w:t>。</w:t>
      </w:r>
      <w:r>
        <w:rPr>
          <w:rFonts w:hint="eastAsia"/>
          <w:color w:val="auto"/>
          <w:sz w:val="32"/>
          <w:szCs w:val="32"/>
          <w:lang w:val="en-US" w:eastAsia="zh-CN"/>
        </w:rPr>
        <w:t>加快</w:t>
      </w:r>
      <w:r>
        <w:rPr>
          <w:rFonts w:hint="eastAsia"/>
          <w:color w:val="auto"/>
          <w:sz w:val="32"/>
          <w:szCs w:val="32"/>
        </w:rPr>
        <w:t>形成市-县</w:t>
      </w:r>
      <w:r>
        <w:rPr>
          <w:rFonts w:hint="eastAsia"/>
          <w:color w:val="auto"/>
          <w:sz w:val="32"/>
          <w:szCs w:val="32"/>
          <w:lang w:val="en-US" w:eastAsia="zh-CN"/>
        </w:rPr>
        <w:t>（市、区）</w:t>
      </w:r>
      <w:r>
        <w:rPr>
          <w:rFonts w:hint="eastAsia"/>
          <w:color w:val="auto"/>
          <w:sz w:val="32"/>
          <w:szCs w:val="32"/>
        </w:rPr>
        <w:t>两级组织有序、权责清晰、分工明确、运转高效的医保联动管理体制，市域医保制度的系统性、整体性、协同性进一步提升。</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基本原则</w:t>
      </w:r>
    </w:p>
    <w:p>
      <w:pPr>
        <w:pStyle w:val="2"/>
        <w:keepNext w:val="0"/>
        <w:keepLines w:val="0"/>
        <w:pageBreakBefore w:val="0"/>
        <w:widowControl w:val="0"/>
        <w:kinsoku/>
        <w:wordWrap/>
        <w:overflowPunct/>
        <w:topLinePunct w:val="0"/>
        <w:autoSpaceDE/>
        <w:autoSpaceDN/>
        <w:bidi w:val="0"/>
        <w:adjustRightInd/>
        <w:snapToGrid/>
        <w:spacing w:before="129" w:line="580" w:lineRule="exact"/>
        <w:ind w:left="0" w:right="273" w:firstLine="642" w:firstLineChars="200"/>
        <w:jc w:val="both"/>
        <w:textAlignment w:val="auto"/>
        <w:rPr>
          <w:rFonts w:hint="eastAsia"/>
          <w:color w:val="auto"/>
          <w:sz w:val="32"/>
          <w:szCs w:val="32"/>
          <w:lang w:val="en-US"/>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val="en-US" w:eastAsia="zh-CN"/>
        </w:rPr>
        <w:t>完善政策，保障公平</w:t>
      </w:r>
      <w:r>
        <w:rPr>
          <w:rFonts w:hint="eastAsia" w:ascii="楷体_GB2312" w:hAnsi="楷体_GB2312" w:eastAsia="楷体_GB2312" w:cs="楷体_GB2312"/>
          <w:b/>
          <w:bCs/>
          <w:color w:val="auto"/>
          <w:sz w:val="32"/>
          <w:szCs w:val="32"/>
        </w:rPr>
        <w:t>。</w:t>
      </w:r>
      <w:r>
        <w:rPr>
          <w:rFonts w:hint="eastAsia"/>
          <w:color w:val="auto"/>
          <w:spacing w:val="0"/>
          <w:sz w:val="32"/>
          <w:szCs w:val="32"/>
          <w:lang w:val="en-US"/>
        </w:rPr>
        <w:t>全市</w:t>
      </w:r>
      <w:r>
        <w:rPr>
          <w:rFonts w:hint="eastAsia"/>
          <w:color w:val="auto"/>
          <w:spacing w:val="0"/>
          <w:sz w:val="32"/>
          <w:szCs w:val="32"/>
          <w:lang w:val="en-US" w:eastAsia="zh-CN"/>
        </w:rPr>
        <w:t>实行</w:t>
      </w:r>
      <w:r>
        <w:rPr>
          <w:rFonts w:hint="eastAsia"/>
          <w:color w:val="auto"/>
          <w:spacing w:val="0"/>
          <w:sz w:val="32"/>
          <w:szCs w:val="32"/>
          <w:lang w:val="en-US"/>
        </w:rPr>
        <w:t>统一</w:t>
      </w:r>
      <w:r>
        <w:rPr>
          <w:rFonts w:hint="eastAsia"/>
          <w:color w:val="auto"/>
          <w:spacing w:val="0"/>
          <w:sz w:val="32"/>
          <w:szCs w:val="32"/>
          <w:lang w:val="en-US" w:eastAsia="zh-CN"/>
        </w:rPr>
        <w:t>的</w:t>
      </w:r>
      <w:r>
        <w:rPr>
          <w:rFonts w:hint="eastAsia"/>
          <w:color w:val="auto"/>
          <w:spacing w:val="0"/>
          <w:sz w:val="32"/>
          <w:szCs w:val="32"/>
          <w:lang w:val="en-US"/>
        </w:rPr>
        <w:t>职工基本医疗保险</w:t>
      </w:r>
      <w:r>
        <w:rPr>
          <w:rFonts w:hint="eastAsia"/>
          <w:color w:val="auto"/>
          <w:sz w:val="32"/>
          <w:szCs w:val="32"/>
          <w:lang w:val="en-US"/>
        </w:rPr>
        <w:t>（含</w:t>
      </w:r>
      <w:r>
        <w:rPr>
          <w:rFonts w:hint="eastAsia"/>
          <w:color w:val="auto"/>
          <w:spacing w:val="0"/>
          <w:sz w:val="32"/>
          <w:szCs w:val="32"/>
          <w:lang w:val="en-US"/>
        </w:rPr>
        <w:t>生育保险，以下简称职工医保</w:t>
      </w:r>
      <w:r>
        <w:rPr>
          <w:rFonts w:hint="eastAsia"/>
          <w:color w:val="auto"/>
          <w:spacing w:val="0"/>
          <w:sz w:val="32"/>
          <w:szCs w:val="32"/>
          <w:lang w:val="en-US" w:eastAsia="zh-CN"/>
        </w:rPr>
        <w:t>）、</w:t>
      </w:r>
      <w:r>
        <w:rPr>
          <w:rFonts w:hint="eastAsia"/>
          <w:color w:val="auto"/>
          <w:spacing w:val="0"/>
          <w:sz w:val="32"/>
          <w:szCs w:val="32"/>
          <w:lang w:val="en-US"/>
        </w:rPr>
        <w:t>城乡居民基本医疗保险（</w:t>
      </w:r>
      <w:r>
        <w:rPr>
          <w:rFonts w:hint="eastAsia"/>
          <w:color w:val="auto"/>
          <w:sz w:val="32"/>
          <w:szCs w:val="32"/>
          <w:lang w:val="en-US"/>
        </w:rPr>
        <w:t>以下</w:t>
      </w:r>
      <w:r>
        <w:rPr>
          <w:rFonts w:hint="eastAsia"/>
          <w:color w:val="auto"/>
          <w:spacing w:val="0"/>
          <w:sz w:val="32"/>
          <w:szCs w:val="32"/>
          <w:lang w:val="en-US"/>
        </w:rPr>
        <w:t>简称居民医保</w:t>
      </w:r>
      <w:r>
        <w:rPr>
          <w:rFonts w:hint="eastAsia"/>
          <w:color w:val="auto"/>
          <w:spacing w:val="0"/>
          <w:sz w:val="32"/>
          <w:szCs w:val="32"/>
          <w:lang w:val="en-US" w:eastAsia="zh-CN"/>
        </w:rPr>
        <w:t>）、</w:t>
      </w:r>
      <w:r>
        <w:rPr>
          <w:rFonts w:hint="eastAsia"/>
          <w:color w:val="auto"/>
          <w:sz w:val="32"/>
          <w:szCs w:val="32"/>
          <w:lang w:val="en-US"/>
        </w:rPr>
        <w:t>大病保险等保障制度，统一和完善</w:t>
      </w:r>
      <w:r>
        <w:rPr>
          <w:rFonts w:hint="eastAsia"/>
          <w:color w:val="auto"/>
          <w:spacing w:val="0"/>
          <w:sz w:val="32"/>
          <w:szCs w:val="32"/>
          <w:lang w:val="en-US"/>
        </w:rPr>
        <w:t>参保范围、筹资政策、保障待遇、基金管理、经办服务、监督管</w:t>
      </w:r>
      <w:r>
        <w:rPr>
          <w:rFonts w:hint="eastAsia"/>
          <w:color w:val="auto"/>
          <w:sz w:val="32"/>
          <w:szCs w:val="32"/>
          <w:lang w:val="en-US"/>
        </w:rPr>
        <w:t>理政策，促进医疗保障制度更加公平发展。</w:t>
      </w:r>
    </w:p>
    <w:p>
      <w:pPr>
        <w:pStyle w:val="2"/>
        <w:keepNext w:val="0"/>
        <w:keepLines w:val="0"/>
        <w:pageBreakBefore w:val="0"/>
        <w:widowControl w:val="0"/>
        <w:kinsoku/>
        <w:wordWrap/>
        <w:overflowPunct/>
        <w:topLinePunct w:val="0"/>
        <w:autoSpaceDE/>
        <w:autoSpaceDN/>
        <w:bidi w:val="0"/>
        <w:adjustRightInd/>
        <w:snapToGrid/>
        <w:spacing w:before="8" w:line="580" w:lineRule="exact"/>
        <w:ind w:left="0" w:right="195" w:firstLine="642" w:firstLineChars="200"/>
        <w:textAlignment w:val="auto"/>
        <w:rPr>
          <w:color w:val="auto"/>
          <w:sz w:val="32"/>
          <w:szCs w:val="32"/>
        </w:rPr>
      </w:pPr>
      <w:r>
        <w:rPr>
          <w:rFonts w:hint="eastAsia" w:ascii="楷体_GB2312" w:hAnsi="楷体_GB2312" w:eastAsia="楷体_GB2312" w:cs="楷体_GB2312"/>
          <w:b/>
          <w:bCs/>
          <w:color w:val="auto"/>
          <w:sz w:val="32"/>
          <w:szCs w:val="32"/>
          <w:lang w:val="en-US" w:eastAsia="zh-CN"/>
        </w:rPr>
        <w:t>（二）统收统支，科学分担。</w:t>
      </w:r>
      <w:r>
        <w:rPr>
          <w:rFonts w:hint="eastAsia"/>
          <w:color w:val="auto"/>
          <w:spacing w:val="0"/>
          <w:sz w:val="32"/>
          <w:szCs w:val="32"/>
          <w:lang w:val="en-US" w:eastAsia="zh-CN"/>
        </w:rPr>
        <w:t>基本医疗保险基金</w:t>
      </w:r>
      <w:r>
        <w:rPr>
          <w:color w:val="auto"/>
          <w:spacing w:val="0"/>
          <w:sz w:val="32"/>
          <w:szCs w:val="32"/>
        </w:rPr>
        <w:t>、大病保险基金实行</w:t>
      </w:r>
      <w:r>
        <w:rPr>
          <w:rFonts w:hint="eastAsia"/>
          <w:color w:val="auto"/>
          <w:spacing w:val="0"/>
          <w:sz w:val="32"/>
          <w:szCs w:val="32"/>
          <w:lang w:val="en-US" w:eastAsia="zh-CN"/>
        </w:rPr>
        <w:t>市级</w:t>
      </w:r>
      <w:r>
        <w:rPr>
          <w:color w:val="auto"/>
          <w:spacing w:val="0"/>
          <w:sz w:val="32"/>
          <w:szCs w:val="32"/>
        </w:rPr>
        <w:t>统收统支，</w:t>
      </w:r>
      <w:r>
        <w:rPr>
          <w:rFonts w:hint="eastAsia"/>
          <w:color w:val="auto"/>
          <w:spacing w:val="0"/>
          <w:sz w:val="32"/>
          <w:szCs w:val="32"/>
          <w:lang w:val="en-US" w:eastAsia="zh-CN"/>
        </w:rPr>
        <w:t>强化</w:t>
      </w:r>
      <w:r>
        <w:rPr>
          <w:color w:val="auto"/>
          <w:spacing w:val="0"/>
          <w:sz w:val="32"/>
          <w:szCs w:val="32"/>
        </w:rPr>
        <w:t>基金收支的全过程管理，建立市与县</w:t>
      </w:r>
      <w:r>
        <w:rPr>
          <w:color w:val="auto"/>
          <w:sz w:val="32"/>
          <w:szCs w:val="32"/>
        </w:rPr>
        <w:t>（市</w:t>
      </w:r>
      <w:r>
        <w:rPr>
          <w:rFonts w:hint="eastAsia"/>
          <w:color w:val="auto"/>
          <w:sz w:val="32"/>
          <w:szCs w:val="32"/>
          <w:lang w:eastAsia="zh-CN"/>
        </w:rPr>
        <w:t>、区</w:t>
      </w:r>
      <w:r>
        <w:rPr>
          <w:color w:val="auto"/>
          <w:spacing w:val="0"/>
          <w:sz w:val="32"/>
          <w:szCs w:val="32"/>
        </w:rPr>
        <w:t>）</w:t>
      </w:r>
      <w:r>
        <w:rPr>
          <w:rFonts w:hint="eastAsia"/>
          <w:color w:val="auto"/>
          <w:spacing w:val="0"/>
          <w:sz w:val="32"/>
          <w:szCs w:val="32"/>
          <w:lang w:val="en-US" w:eastAsia="zh-CN"/>
        </w:rPr>
        <w:t>两级</w:t>
      </w:r>
      <w:r>
        <w:rPr>
          <w:color w:val="auto"/>
          <w:spacing w:val="0"/>
          <w:sz w:val="32"/>
          <w:szCs w:val="32"/>
        </w:rPr>
        <w:t>基金风险责任分担机制，</w:t>
      </w:r>
      <w:r>
        <w:rPr>
          <w:rFonts w:hint="eastAsia"/>
          <w:color w:val="auto"/>
          <w:spacing w:val="0"/>
          <w:sz w:val="32"/>
          <w:szCs w:val="32"/>
          <w:lang w:val="en-US" w:eastAsia="zh-CN"/>
        </w:rPr>
        <w:t>全面</w:t>
      </w:r>
      <w:r>
        <w:rPr>
          <w:color w:val="auto"/>
          <w:spacing w:val="0"/>
          <w:sz w:val="32"/>
          <w:szCs w:val="32"/>
        </w:rPr>
        <w:t>提</w:t>
      </w:r>
      <w:r>
        <w:rPr>
          <w:rFonts w:hint="eastAsia"/>
          <w:color w:val="auto"/>
          <w:spacing w:val="0"/>
          <w:sz w:val="32"/>
          <w:szCs w:val="32"/>
          <w:lang w:val="en-US" w:eastAsia="zh-CN"/>
        </w:rPr>
        <w:t>升市域基本医疗保险</w:t>
      </w:r>
      <w:r>
        <w:rPr>
          <w:color w:val="auto"/>
          <w:spacing w:val="0"/>
          <w:sz w:val="32"/>
          <w:szCs w:val="32"/>
        </w:rPr>
        <w:t>基金抗风险能力。</w:t>
      </w:r>
    </w:p>
    <w:p>
      <w:pPr>
        <w:pStyle w:val="2"/>
        <w:keepNext w:val="0"/>
        <w:keepLines w:val="0"/>
        <w:pageBreakBefore w:val="0"/>
        <w:widowControl w:val="0"/>
        <w:kinsoku/>
        <w:wordWrap/>
        <w:overflowPunct/>
        <w:topLinePunct w:val="0"/>
        <w:autoSpaceDE/>
        <w:autoSpaceDN/>
        <w:bidi w:val="0"/>
        <w:adjustRightInd/>
        <w:snapToGrid/>
        <w:spacing w:before="13" w:line="580" w:lineRule="exact"/>
        <w:ind w:left="0" w:right="111" w:firstLine="642" w:firstLineChars="200"/>
        <w:textAlignment w:val="auto"/>
        <w:rPr>
          <w:color w:val="auto"/>
          <w:sz w:val="32"/>
          <w:szCs w:val="32"/>
        </w:rPr>
      </w:pPr>
      <w:r>
        <w:rPr>
          <w:rFonts w:hint="eastAsia" w:ascii="楷体_GB2312" w:hAnsi="楷体_GB2312" w:eastAsia="楷体_GB2312" w:cs="楷体_GB2312"/>
          <w:b/>
          <w:bCs/>
          <w:color w:val="auto"/>
          <w:sz w:val="32"/>
          <w:szCs w:val="32"/>
          <w:lang w:val="en-US" w:eastAsia="zh-CN"/>
        </w:rPr>
        <w:t>（三）落实责任，提升管理。</w:t>
      </w:r>
      <w:r>
        <w:rPr>
          <w:color w:val="auto"/>
          <w:sz w:val="32"/>
          <w:szCs w:val="32"/>
        </w:rPr>
        <w:t>按照“市级统筹、分级管理</w:t>
      </w:r>
      <w:r>
        <w:rPr>
          <w:rFonts w:hint="eastAsia"/>
          <w:color w:val="auto"/>
          <w:sz w:val="32"/>
          <w:szCs w:val="32"/>
          <w:lang w:eastAsia="zh-CN"/>
        </w:rPr>
        <w:t>”</w:t>
      </w:r>
      <w:r>
        <w:rPr>
          <w:color w:val="auto"/>
          <w:sz w:val="32"/>
          <w:szCs w:val="32"/>
        </w:rPr>
        <w:t>要求，建立与管理绩效相挂钩的激励约束机制，明确市与</w:t>
      </w:r>
      <w:r>
        <w:rPr>
          <w:color w:val="auto"/>
          <w:spacing w:val="0"/>
          <w:sz w:val="32"/>
          <w:szCs w:val="32"/>
        </w:rPr>
        <w:t>县</w:t>
      </w:r>
      <w:r>
        <w:rPr>
          <w:color w:val="auto"/>
          <w:sz w:val="32"/>
          <w:szCs w:val="32"/>
        </w:rPr>
        <w:t>（市</w:t>
      </w:r>
      <w:r>
        <w:rPr>
          <w:rFonts w:hint="eastAsia"/>
          <w:color w:val="auto"/>
          <w:sz w:val="32"/>
          <w:szCs w:val="32"/>
          <w:lang w:eastAsia="zh-CN"/>
        </w:rPr>
        <w:t>、区</w:t>
      </w:r>
      <w:r>
        <w:rPr>
          <w:color w:val="auto"/>
          <w:spacing w:val="0"/>
          <w:sz w:val="32"/>
          <w:szCs w:val="32"/>
        </w:rPr>
        <w:t>）</w:t>
      </w:r>
      <w:r>
        <w:rPr>
          <w:color w:val="auto"/>
          <w:sz w:val="32"/>
          <w:szCs w:val="32"/>
        </w:rPr>
        <w:t>政府在参保征缴、筹资补助、总额预算管理、基金监管等方面</w:t>
      </w:r>
      <w:r>
        <w:rPr>
          <w:rFonts w:hint="eastAsia"/>
          <w:color w:val="auto"/>
          <w:sz w:val="32"/>
          <w:szCs w:val="32"/>
          <w:lang w:eastAsia="zh-CN"/>
        </w:rPr>
        <w:t>的主体</w:t>
      </w:r>
      <w:r>
        <w:rPr>
          <w:color w:val="auto"/>
          <w:sz w:val="32"/>
          <w:szCs w:val="32"/>
        </w:rPr>
        <w:t>责任</w:t>
      </w:r>
      <w:r>
        <w:rPr>
          <w:rFonts w:hint="eastAsia"/>
          <w:color w:val="auto"/>
          <w:sz w:val="32"/>
          <w:szCs w:val="32"/>
          <w:lang w:eastAsia="zh-CN"/>
        </w:rPr>
        <w:t>。</w:t>
      </w:r>
      <w:r>
        <w:rPr>
          <w:color w:val="auto"/>
          <w:sz w:val="32"/>
          <w:szCs w:val="32"/>
        </w:rPr>
        <w:t>探索</w:t>
      </w:r>
      <w:r>
        <w:rPr>
          <w:rFonts w:hint="eastAsia"/>
          <w:color w:val="auto"/>
          <w:sz w:val="32"/>
          <w:szCs w:val="32"/>
          <w:lang w:val="en-US" w:eastAsia="zh-CN"/>
        </w:rPr>
        <w:t>建立市域统筹</w:t>
      </w:r>
      <w:r>
        <w:rPr>
          <w:color w:val="auto"/>
          <w:sz w:val="32"/>
          <w:szCs w:val="32"/>
        </w:rPr>
        <w:t>的高效医保</w:t>
      </w:r>
      <w:r>
        <w:rPr>
          <w:rFonts w:hint="eastAsia"/>
          <w:color w:val="auto"/>
          <w:sz w:val="32"/>
          <w:szCs w:val="32"/>
          <w:lang w:val="en-US" w:eastAsia="zh-CN"/>
        </w:rPr>
        <w:t>治理体系</w:t>
      </w:r>
      <w:r>
        <w:rPr>
          <w:color w:val="auto"/>
          <w:sz w:val="32"/>
          <w:szCs w:val="32"/>
        </w:rPr>
        <w:t>，</w:t>
      </w:r>
      <w:r>
        <w:rPr>
          <w:rFonts w:hint="eastAsia"/>
          <w:color w:val="auto"/>
          <w:sz w:val="32"/>
          <w:szCs w:val="32"/>
          <w:lang w:val="en-US" w:eastAsia="zh-CN"/>
        </w:rPr>
        <w:t>完善城乡均等、便捷高效</w:t>
      </w:r>
      <w:r>
        <w:rPr>
          <w:color w:val="auto"/>
          <w:sz w:val="32"/>
          <w:szCs w:val="32"/>
        </w:rPr>
        <w:t>的医保经办服务体系。</w:t>
      </w:r>
    </w:p>
    <w:p>
      <w:pPr>
        <w:pStyle w:val="2"/>
        <w:keepNext w:val="0"/>
        <w:keepLines w:val="0"/>
        <w:pageBreakBefore w:val="0"/>
        <w:widowControl w:val="0"/>
        <w:kinsoku/>
        <w:wordWrap/>
        <w:overflowPunct/>
        <w:topLinePunct w:val="0"/>
        <w:autoSpaceDE/>
        <w:autoSpaceDN/>
        <w:bidi w:val="0"/>
        <w:adjustRightInd/>
        <w:snapToGrid/>
        <w:spacing w:before="13" w:line="580" w:lineRule="exact"/>
        <w:ind w:right="111" w:firstLine="642" w:firstLineChars="200"/>
        <w:textAlignment w:val="auto"/>
        <w:rPr>
          <w:color w:val="auto"/>
          <w:sz w:val="32"/>
          <w:szCs w:val="32"/>
        </w:rPr>
      </w:pPr>
      <w:r>
        <w:rPr>
          <w:rFonts w:hint="eastAsia" w:ascii="楷体_GB2312" w:hAnsi="楷体_GB2312" w:eastAsia="楷体_GB2312" w:cs="楷体_GB2312"/>
          <w:b/>
          <w:bCs/>
          <w:color w:val="auto"/>
          <w:sz w:val="32"/>
          <w:szCs w:val="32"/>
          <w:lang w:val="en-US" w:eastAsia="zh-CN"/>
        </w:rPr>
        <w:t>（四）确保平稳，有序推进。</w:t>
      </w:r>
      <w:r>
        <w:rPr>
          <w:rFonts w:hint="eastAsia" w:ascii="仿宋" w:hAnsi="仿宋" w:eastAsia="仿宋" w:cs="仿宋"/>
          <w:b w:val="0"/>
          <w:bCs w:val="0"/>
          <w:color w:val="auto"/>
          <w:sz w:val="32"/>
          <w:szCs w:val="32"/>
          <w:lang w:val="en-US" w:eastAsia="zh-CN"/>
        </w:rPr>
        <w:t>根据本地实际，</w:t>
      </w:r>
      <w:r>
        <w:rPr>
          <w:rFonts w:hint="eastAsia" w:ascii="仿宋_GB2312" w:hAnsi="仿宋_GB2312" w:eastAsia="仿宋_GB2312" w:cs="仿宋_GB2312"/>
          <w:color w:val="auto"/>
          <w:sz w:val="32"/>
          <w:szCs w:val="32"/>
          <w:lang w:val="en-US" w:eastAsia="zh-CN"/>
        </w:rPr>
        <w:t>均衡个人、企业</w:t>
      </w:r>
      <w:r>
        <w:rPr>
          <w:rFonts w:hint="eastAsia" w:cs="仿宋_GB2312"/>
          <w:color w:val="auto"/>
          <w:sz w:val="32"/>
          <w:szCs w:val="32"/>
          <w:lang w:val="en-US" w:eastAsia="zh-CN"/>
        </w:rPr>
        <w:t>等各方利益，有力有序推进做实市级统筹，</w:t>
      </w:r>
      <w:r>
        <w:rPr>
          <w:color w:val="auto"/>
          <w:spacing w:val="0"/>
          <w:sz w:val="32"/>
          <w:szCs w:val="32"/>
        </w:rPr>
        <w:t>确保参保人员总体待遇不降低，</w:t>
      </w:r>
      <w:r>
        <w:rPr>
          <w:rFonts w:hint="eastAsia"/>
          <w:color w:val="auto"/>
          <w:spacing w:val="0"/>
          <w:sz w:val="32"/>
          <w:szCs w:val="32"/>
          <w:lang w:val="en-US" w:eastAsia="zh-CN"/>
        </w:rPr>
        <w:t>确保企业总体缴费水平相适应，</w:t>
      </w:r>
      <w:r>
        <w:rPr>
          <w:color w:val="auto"/>
          <w:sz w:val="32"/>
          <w:szCs w:val="32"/>
        </w:rPr>
        <w:t>确保医保基金安全可持续</w:t>
      </w:r>
      <w:r>
        <w:rPr>
          <w:rFonts w:hint="eastAsia"/>
          <w:color w:val="auto"/>
          <w:sz w:val="32"/>
          <w:szCs w:val="32"/>
          <w:lang w:eastAsia="zh-CN"/>
        </w:rPr>
        <w:t>，</w:t>
      </w:r>
      <w:r>
        <w:rPr>
          <w:color w:val="auto"/>
          <w:sz w:val="32"/>
          <w:szCs w:val="32"/>
        </w:rPr>
        <w:t>确保基本医疗保险制度平稳运行。</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四、主要任务</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right="0" w:firstLine="642" w:firstLineChars="200"/>
        <w:textAlignment w:val="auto"/>
        <w:rPr>
          <w:color w:val="auto"/>
          <w:sz w:val="32"/>
          <w:szCs w:val="32"/>
        </w:rPr>
      </w:pPr>
      <w:r>
        <w:rPr>
          <w:rFonts w:hint="eastAsia" w:ascii="楷体_GB2312" w:hAnsi="楷体_GB2312" w:eastAsia="楷体_GB2312" w:cs="楷体_GB2312"/>
          <w:b/>
          <w:bCs/>
          <w:color w:val="auto"/>
          <w:sz w:val="32"/>
          <w:szCs w:val="32"/>
          <w:lang w:val="en-US" w:eastAsia="zh-CN"/>
        </w:rPr>
        <w:t>（一）统一制度政策。</w:t>
      </w:r>
      <w:r>
        <w:rPr>
          <w:color w:val="auto"/>
          <w:sz w:val="32"/>
          <w:szCs w:val="32"/>
        </w:rPr>
        <w:t>统一全市基本医疗保险、大病保险的参保范围、筹资标准和待遇水平，执行统一的</w:t>
      </w:r>
      <w:r>
        <w:rPr>
          <w:rFonts w:hint="eastAsia"/>
          <w:color w:val="auto"/>
          <w:sz w:val="32"/>
          <w:szCs w:val="32"/>
          <w:lang w:val="en-US" w:eastAsia="zh-CN"/>
        </w:rPr>
        <w:t>保障</w:t>
      </w:r>
      <w:r>
        <w:rPr>
          <w:color w:val="auto"/>
          <w:sz w:val="32"/>
          <w:szCs w:val="32"/>
        </w:rPr>
        <w:t>目录、医疗服务价格</w:t>
      </w:r>
      <w:r>
        <w:rPr>
          <w:rFonts w:hint="eastAsia"/>
          <w:color w:val="auto"/>
          <w:sz w:val="32"/>
          <w:szCs w:val="32"/>
          <w:lang w:val="en-US" w:eastAsia="zh-CN"/>
        </w:rPr>
        <w:t>和</w:t>
      </w:r>
      <w:r>
        <w:rPr>
          <w:color w:val="auto"/>
          <w:sz w:val="32"/>
          <w:szCs w:val="32"/>
        </w:rPr>
        <w:t>招标采购</w:t>
      </w:r>
      <w:r>
        <w:rPr>
          <w:rFonts w:hint="eastAsia"/>
          <w:color w:val="auto"/>
          <w:sz w:val="32"/>
          <w:szCs w:val="32"/>
          <w:lang w:val="en-US" w:eastAsia="zh-CN"/>
        </w:rPr>
        <w:t>管理制度、</w:t>
      </w:r>
      <w:r>
        <w:rPr>
          <w:color w:val="auto"/>
          <w:sz w:val="32"/>
          <w:szCs w:val="32"/>
        </w:rPr>
        <w:t>支付方式改革政策，促进医保、医疗、医药联动改革。</w:t>
      </w:r>
    </w:p>
    <w:p>
      <w:pPr>
        <w:pStyle w:val="12"/>
        <w:keepNext w:val="0"/>
        <w:keepLines w:val="0"/>
        <w:pageBreakBefore w:val="0"/>
        <w:widowControl w:val="0"/>
        <w:numPr>
          <w:ilvl w:val="0"/>
          <w:numId w:val="2"/>
        </w:numPr>
        <w:tabs>
          <w:tab w:val="left" w:pos="1003"/>
        </w:tabs>
        <w:kinsoku/>
        <w:wordWrap/>
        <w:overflowPunct/>
        <w:topLinePunct w:val="0"/>
        <w:autoSpaceDE/>
        <w:autoSpaceDN/>
        <w:bidi w:val="0"/>
        <w:adjustRightInd/>
        <w:snapToGrid/>
        <w:spacing w:before="0" w:after="0" w:line="580" w:lineRule="exact"/>
        <w:ind w:left="111" w:right="108" w:firstLine="88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bCs/>
          <w:color w:val="auto"/>
          <w:spacing w:val="0"/>
          <w:sz w:val="32"/>
          <w:szCs w:val="32"/>
          <w:lang w:val="en-US" w:eastAsia="zh-CN"/>
        </w:rPr>
        <w:t>实行</w:t>
      </w:r>
      <w:r>
        <w:rPr>
          <w:rFonts w:hint="eastAsia" w:ascii="仿宋_GB2312" w:hAnsi="仿宋_GB2312" w:eastAsia="仿宋_GB2312" w:cs="仿宋_GB2312"/>
          <w:b/>
          <w:bCs/>
          <w:color w:val="auto"/>
          <w:spacing w:val="0"/>
          <w:sz w:val="32"/>
          <w:szCs w:val="32"/>
        </w:rPr>
        <w:t>统一</w:t>
      </w:r>
      <w:r>
        <w:rPr>
          <w:rFonts w:hint="eastAsia" w:ascii="仿宋_GB2312" w:hAnsi="仿宋_GB2312" w:eastAsia="仿宋_GB2312" w:cs="仿宋_GB2312"/>
          <w:b/>
          <w:bCs/>
          <w:color w:val="auto"/>
          <w:spacing w:val="0"/>
          <w:sz w:val="32"/>
          <w:szCs w:val="32"/>
          <w:lang w:val="en-US" w:eastAsia="zh-CN"/>
        </w:rPr>
        <w:t>的</w:t>
      </w:r>
      <w:r>
        <w:rPr>
          <w:rFonts w:hint="eastAsia" w:ascii="仿宋_GB2312" w:hAnsi="仿宋_GB2312" w:eastAsia="仿宋_GB2312" w:cs="仿宋_GB2312"/>
          <w:b/>
          <w:bCs/>
          <w:color w:val="auto"/>
          <w:spacing w:val="0"/>
          <w:sz w:val="32"/>
          <w:szCs w:val="32"/>
        </w:rPr>
        <w:t>参保范围。</w:t>
      </w:r>
      <w:r>
        <w:rPr>
          <w:rFonts w:hint="eastAsia" w:ascii="仿宋_GB2312" w:hAnsi="仿宋_GB2312" w:eastAsia="仿宋_GB2312" w:cs="仿宋_GB2312"/>
          <w:color w:val="FF0000"/>
          <w:kern w:val="2"/>
          <w:sz w:val="32"/>
          <w:szCs w:val="32"/>
          <w:lang w:val="zh-CN" w:eastAsia="zh-CN" w:bidi="zh-CN"/>
        </w:rPr>
        <w:t>执行统一的职工医保和居民医保参保范围，鼓励无雇工的个体工商户、未在用人单位参加职工基本医疗保险的非全日制从业人员及其他灵活就业人员参加职工医保，统一困难群众资助参保政策。在巩固户籍人口参保的基础上，将常住人口纳入参保范围。</w:t>
      </w:r>
    </w:p>
    <w:p>
      <w:pPr>
        <w:pStyle w:val="12"/>
        <w:keepNext w:val="0"/>
        <w:keepLines w:val="0"/>
        <w:pageBreakBefore w:val="0"/>
        <w:widowControl w:val="0"/>
        <w:numPr>
          <w:ilvl w:val="0"/>
          <w:numId w:val="2"/>
        </w:numPr>
        <w:tabs>
          <w:tab w:val="left" w:pos="1003"/>
        </w:tabs>
        <w:kinsoku/>
        <w:wordWrap/>
        <w:overflowPunct/>
        <w:topLinePunct w:val="0"/>
        <w:autoSpaceDE/>
        <w:autoSpaceDN/>
        <w:bidi w:val="0"/>
        <w:adjustRightInd/>
        <w:snapToGrid/>
        <w:spacing w:before="0" w:after="0" w:line="580" w:lineRule="exact"/>
        <w:ind w:left="111" w:right="242" w:firstLine="8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实行</w:t>
      </w:r>
      <w:r>
        <w:rPr>
          <w:rFonts w:hint="eastAsia" w:ascii="仿宋_GB2312" w:hAnsi="仿宋_GB2312" w:eastAsia="仿宋_GB2312" w:cs="仿宋_GB2312"/>
          <w:b/>
          <w:bCs/>
          <w:color w:val="auto"/>
          <w:sz w:val="32"/>
          <w:szCs w:val="32"/>
        </w:rPr>
        <w:t>统一</w:t>
      </w:r>
      <w:r>
        <w:rPr>
          <w:rFonts w:hint="eastAsia" w:ascii="仿宋_GB2312" w:hAnsi="仿宋_GB2312" w:eastAsia="仿宋_GB2312" w:cs="仿宋_GB2312"/>
          <w:b/>
          <w:bCs/>
          <w:color w:val="auto"/>
          <w:sz w:val="32"/>
          <w:szCs w:val="32"/>
          <w:lang w:val="en-US" w:eastAsia="zh-CN"/>
        </w:rPr>
        <w:t>的</w:t>
      </w:r>
      <w:r>
        <w:rPr>
          <w:rFonts w:hint="eastAsia" w:ascii="仿宋_GB2312" w:hAnsi="仿宋_GB2312" w:eastAsia="仿宋_GB2312" w:cs="仿宋_GB2312"/>
          <w:b/>
          <w:bCs/>
          <w:color w:val="auto"/>
          <w:sz w:val="32"/>
          <w:szCs w:val="32"/>
        </w:rPr>
        <w:t>筹资标准。</w:t>
      </w:r>
      <w:r>
        <w:rPr>
          <w:rFonts w:hint="eastAsia" w:ascii="仿宋_GB2312" w:hAnsi="仿宋_GB2312" w:eastAsia="仿宋_GB2312" w:cs="仿宋_GB2312"/>
          <w:color w:val="auto"/>
          <w:sz w:val="32"/>
          <w:szCs w:val="32"/>
          <w:lang w:val="en-US" w:eastAsia="zh-CN"/>
        </w:rPr>
        <w:t>全市实行统一的</w:t>
      </w:r>
      <w:r>
        <w:rPr>
          <w:rFonts w:hint="eastAsia" w:ascii="仿宋_GB2312" w:hAnsi="仿宋_GB2312" w:eastAsia="仿宋_GB2312" w:cs="仿宋_GB2312"/>
          <w:color w:val="auto"/>
          <w:sz w:val="32"/>
          <w:szCs w:val="32"/>
        </w:rPr>
        <w:t>职工医保</w:t>
      </w:r>
      <w:r>
        <w:rPr>
          <w:rFonts w:hint="eastAsia" w:ascii="仿宋_GB2312" w:hAnsi="仿宋_GB2312" w:eastAsia="仿宋_GB2312" w:cs="仿宋_GB2312"/>
          <w:color w:val="auto"/>
          <w:sz w:val="32"/>
          <w:szCs w:val="32"/>
          <w:lang w:val="en-US" w:eastAsia="zh-CN"/>
        </w:rPr>
        <w:t>缴费比例、缴费基数核定标准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基本医疗保险个人账户划入办法和标准。</w:t>
      </w:r>
      <w:r>
        <w:rPr>
          <w:rFonts w:ascii="Times New Roman" w:hAnsi="Times New Roman" w:eastAsia="仿宋_GB2312" w:cs="Times New Roman"/>
          <w:color w:val="auto"/>
          <w:sz w:val="32"/>
          <w:szCs w:val="32"/>
        </w:rPr>
        <w:t>用人单位职工工资总额按照单位参保职工缴费工资之和确定，职工缴费工资按照本人上一年度月平均工资确定。</w:t>
      </w:r>
      <w:r>
        <w:rPr>
          <w:rFonts w:hint="eastAsia" w:ascii="Times New Roman" w:hAnsi="Times New Roman" w:eastAsia="仿宋_GB2312" w:cs="Times New Roman"/>
          <w:color w:val="auto"/>
          <w:sz w:val="32"/>
          <w:szCs w:val="32"/>
        </w:rPr>
        <w:t>职工缴费工资低于上一年度全省社会单位就业人员月平均工资60%的，按照60%确定；高于上一年度全省社会单位就业人员月平均工资300%的，按照300%确定。</w:t>
      </w:r>
      <w:r>
        <w:rPr>
          <w:rFonts w:hint="eastAsia" w:ascii="仿宋_GB2312" w:hAnsi="仿宋_GB2312" w:eastAsia="仿宋_GB2312" w:cs="仿宋_GB2312"/>
          <w:color w:val="FF0000"/>
          <w:sz w:val="32"/>
          <w:szCs w:val="32"/>
          <w:lang w:val="en-US" w:eastAsia="zh-CN"/>
        </w:rPr>
        <w:t>生育保险费率统一为0.5%。</w:t>
      </w:r>
      <w:r>
        <w:rPr>
          <w:rFonts w:hint="eastAsia" w:ascii="仿宋_GB2312" w:hAnsi="仿宋_GB2312" w:eastAsia="仿宋_GB2312" w:cs="仿宋_GB2312"/>
          <w:color w:val="auto"/>
          <w:sz w:val="32"/>
          <w:szCs w:val="32"/>
          <w:lang w:val="en-US" w:eastAsia="zh-CN"/>
        </w:rPr>
        <w:t>实行统一的居民医保个人缴费标准，</w:t>
      </w:r>
      <w:r>
        <w:rPr>
          <w:rFonts w:hint="eastAsia" w:ascii="Times New Roman" w:hAnsi="Times New Roman" w:eastAsia="仿宋_GB2312" w:cs="Times New Roman"/>
          <w:color w:val="auto"/>
          <w:sz w:val="32"/>
          <w:szCs w:val="32"/>
          <w:lang w:val="en-US" w:eastAsia="zh-CN"/>
        </w:rPr>
        <w:t>实行统一的居民医保财政补助标准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逐步优化筹资结构，居民医保</w:t>
      </w:r>
      <w:r>
        <w:rPr>
          <w:rFonts w:ascii="Times New Roman" w:hAnsi="Times New Roman" w:eastAsia="仿宋_GB2312" w:cs="Times New Roman"/>
          <w:color w:val="auto"/>
          <w:sz w:val="32"/>
          <w:szCs w:val="32"/>
        </w:rPr>
        <w:t>个人缴费</w:t>
      </w:r>
      <w:r>
        <w:rPr>
          <w:rFonts w:hint="eastAsia" w:ascii="Times New Roman" w:hAnsi="Times New Roman" w:eastAsia="仿宋_GB2312" w:cs="Times New Roman"/>
          <w:color w:val="auto"/>
          <w:sz w:val="32"/>
          <w:szCs w:val="32"/>
          <w:lang w:eastAsia="zh-CN"/>
        </w:rPr>
        <w:t>一般</w:t>
      </w:r>
      <w:r>
        <w:rPr>
          <w:rFonts w:ascii="Times New Roman" w:hAnsi="Times New Roman" w:eastAsia="仿宋_GB2312" w:cs="Times New Roman"/>
          <w:color w:val="auto"/>
          <w:sz w:val="32"/>
          <w:szCs w:val="32"/>
        </w:rPr>
        <w:t>不低于人均筹资额的三分之一。对持居住证参保的，个人按</w:t>
      </w:r>
      <w:r>
        <w:rPr>
          <w:rFonts w:hint="eastAsia" w:ascii="Times New Roman" w:hAnsi="Times New Roman" w:eastAsia="仿宋_GB2312" w:cs="Times New Roman"/>
          <w:color w:val="auto"/>
          <w:sz w:val="32"/>
          <w:szCs w:val="32"/>
          <w:lang w:val="en-US" w:eastAsia="zh-CN"/>
        </w:rPr>
        <w:t>本</w:t>
      </w:r>
      <w:r>
        <w:rPr>
          <w:rFonts w:ascii="Times New Roman" w:hAnsi="Times New Roman" w:eastAsia="仿宋_GB2312" w:cs="Times New Roman"/>
          <w:color w:val="auto"/>
          <w:sz w:val="32"/>
          <w:szCs w:val="32"/>
        </w:rPr>
        <w:t>地居民相同标准缴费，各级财政按</w:t>
      </w:r>
      <w:r>
        <w:rPr>
          <w:rFonts w:hint="eastAsia" w:ascii="Times New Roman" w:hAnsi="Times New Roman" w:eastAsia="仿宋_GB2312" w:cs="Times New Roman"/>
          <w:color w:val="auto"/>
          <w:sz w:val="32"/>
          <w:szCs w:val="32"/>
          <w:lang w:val="en-US" w:eastAsia="zh-CN"/>
        </w:rPr>
        <w:t>本</w:t>
      </w:r>
      <w:r>
        <w:rPr>
          <w:rFonts w:ascii="Times New Roman" w:hAnsi="Times New Roman" w:eastAsia="仿宋_GB2312" w:cs="Times New Roman"/>
          <w:color w:val="auto"/>
          <w:sz w:val="32"/>
          <w:szCs w:val="32"/>
        </w:rPr>
        <w:t>地居民相同标准给予补助。</w:t>
      </w:r>
      <w:r>
        <w:rPr>
          <w:rFonts w:hint="eastAsia" w:ascii="Times New Roman" w:hAnsi="Times New Roman" w:eastAsia="仿宋_GB2312" w:cs="Times New Roman"/>
          <w:color w:val="auto"/>
          <w:sz w:val="32"/>
          <w:szCs w:val="32"/>
          <w:lang w:val="en-US" w:eastAsia="zh-CN"/>
        </w:rPr>
        <w:t>基本</w:t>
      </w:r>
      <w:r>
        <w:rPr>
          <w:rFonts w:ascii="Times New Roman" w:hAnsi="Times New Roman" w:eastAsia="仿宋_GB2312" w:cs="Times New Roman"/>
          <w:color w:val="auto"/>
          <w:sz w:val="32"/>
          <w:szCs w:val="32"/>
        </w:rPr>
        <w:t>医疗保险</w:t>
      </w:r>
      <w:r>
        <w:rPr>
          <w:rFonts w:hint="eastAsia" w:ascii="Times New Roman" w:hAnsi="Times New Roman" w:eastAsia="仿宋_GB2312" w:cs="Times New Roman"/>
          <w:color w:val="auto"/>
          <w:sz w:val="32"/>
          <w:szCs w:val="32"/>
          <w:lang w:val="en-US" w:eastAsia="zh-CN"/>
        </w:rPr>
        <w:t>和大病保险的</w:t>
      </w:r>
      <w:r>
        <w:rPr>
          <w:rFonts w:ascii="Times New Roman" w:hAnsi="Times New Roman" w:eastAsia="仿宋_GB2312" w:cs="Times New Roman"/>
          <w:color w:val="auto"/>
          <w:sz w:val="32"/>
          <w:szCs w:val="32"/>
        </w:rPr>
        <w:t>筹资标准按照法律法规规定，由市医保部门会同财政部门，根据</w:t>
      </w:r>
      <w:r>
        <w:rPr>
          <w:rFonts w:hint="eastAsia" w:ascii="Times New Roman" w:hAnsi="Times New Roman" w:eastAsia="仿宋_GB2312" w:cs="Times New Roman"/>
          <w:color w:val="auto"/>
          <w:sz w:val="32"/>
          <w:szCs w:val="32"/>
          <w:lang w:val="en-US" w:eastAsia="zh-CN"/>
        </w:rPr>
        <w:t>本</w:t>
      </w:r>
      <w:r>
        <w:rPr>
          <w:rFonts w:hint="eastAsia" w:ascii="Times New Roman" w:hAnsi="Times New Roman" w:eastAsia="仿宋_GB2312" w:cs="Times New Roman"/>
          <w:color w:val="auto"/>
          <w:sz w:val="32"/>
          <w:szCs w:val="32"/>
        </w:rPr>
        <w:t>地</w:t>
      </w:r>
      <w:r>
        <w:rPr>
          <w:rFonts w:ascii="Times New Roman" w:hAnsi="Times New Roman" w:eastAsia="仿宋_GB2312" w:cs="Times New Roman"/>
          <w:color w:val="auto"/>
          <w:sz w:val="32"/>
          <w:szCs w:val="32"/>
        </w:rPr>
        <w:t>经济社会发展水平、居民人均可支配收入等情况确定和调整，经市政府批准后实施</w:t>
      </w:r>
      <w:r>
        <w:rPr>
          <w:rFonts w:hint="eastAsia" w:ascii="仿宋_GB2312" w:hAnsi="仿宋_GB2312" w:eastAsia="仿宋_GB2312" w:cs="仿宋_GB2312"/>
          <w:color w:val="auto"/>
          <w:spacing w:val="0"/>
          <w:sz w:val="32"/>
          <w:szCs w:val="32"/>
          <w:lang w:val="en-US" w:eastAsia="zh-CN"/>
        </w:rPr>
        <w:t>。</w:t>
      </w:r>
    </w:p>
    <w:p>
      <w:pPr>
        <w:pStyle w:val="12"/>
        <w:keepNext w:val="0"/>
        <w:keepLines w:val="0"/>
        <w:pageBreakBefore w:val="0"/>
        <w:widowControl w:val="0"/>
        <w:numPr>
          <w:ilvl w:val="0"/>
          <w:numId w:val="0"/>
        </w:numPr>
        <w:tabs>
          <w:tab w:val="left" w:pos="1003"/>
        </w:tabs>
        <w:kinsoku/>
        <w:wordWrap/>
        <w:overflowPunct/>
        <w:topLinePunct w:val="0"/>
        <w:autoSpaceDE/>
        <w:autoSpaceDN/>
        <w:bidi w:val="0"/>
        <w:adjustRightInd/>
        <w:snapToGrid/>
        <w:spacing w:before="13" w:after="0" w:line="580" w:lineRule="exact"/>
        <w:ind w:right="274" w:rightChars="0" w:firstLine="642" w:firstLineChars="200"/>
        <w:jc w:val="both"/>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3.实行</w:t>
      </w:r>
      <w:r>
        <w:rPr>
          <w:rFonts w:hint="eastAsia" w:ascii="仿宋_GB2312" w:hAnsi="仿宋_GB2312" w:eastAsia="仿宋_GB2312" w:cs="仿宋_GB2312"/>
          <w:b/>
          <w:bCs/>
          <w:color w:val="auto"/>
          <w:spacing w:val="0"/>
          <w:sz w:val="32"/>
          <w:szCs w:val="32"/>
        </w:rPr>
        <w:t>统一</w:t>
      </w:r>
      <w:r>
        <w:rPr>
          <w:rFonts w:hint="eastAsia" w:ascii="仿宋_GB2312" w:hAnsi="仿宋_GB2312" w:eastAsia="仿宋_GB2312" w:cs="仿宋_GB2312"/>
          <w:b/>
          <w:bCs/>
          <w:color w:val="auto"/>
          <w:spacing w:val="0"/>
          <w:sz w:val="32"/>
          <w:szCs w:val="32"/>
          <w:lang w:val="en-US" w:eastAsia="zh-CN"/>
        </w:rPr>
        <w:t>的</w:t>
      </w:r>
      <w:r>
        <w:rPr>
          <w:rFonts w:hint="eastAsia" w:ascii="仿宋_GB2312" w:hAnsi="仿宋_GB2312" w:eastAsia="仿宋_GB2312" w:cs="仿宋_GB2312"/>
          <w:b/>
          <w:bCs/>
          <w:color w:val="auto"/>
          <w:spacing w:val="0"/>
          <w:sz w:val="32"/>
          <w:szCs w:val="32"/>
        </w:rPr>
        <w:t>保障待遇。</w:t>
      </w:r>
      <w:r>
        <w:rPr>
          <w:rFonts w:hint="eastAsia" w:ascii="仿宋_GB2312" w:hAnsi="仿宋_GB2312" w:eastAsia="仿宋_GB2312" w:cs="仿宋_GB2312"/>
          <w:color w:val="auto"/>
          <w:spacing w:val="0"/>
          <w:sz w:val="32"/>
          <w:szCs w:val="32"/>
          <w:lang w:val="en-US" w:eastAsia="zh-CN"/>
        </w:rPr>
        <w:t>按照国家医疗保障待遇清单制度要求，严格执行待遇保障范围和待遇调整机制，落实统一的基本医疗保险药品目录、医疗服务项目（含医用材料）目录。执行全市统一的医疗费用基金起付标准、支付比例和最高支付限额；执行全市统一的住院、门诊（含门诊慢性病和门诊特殊病种）待遇保障范围和标准；执行全市统一的转外就医、异地就医待遇；执行全市统一的生育保险待遇标准和生育津贴发放范围；执行全市统一的大病保险筹资和待遇政策。执行全市统一的基金支付范围。</w:t>
      </w:r>
    </w:p>
    <w:p>
      <w:pPr>
        <w:pStyle w:val="12"/>
        <w:keepNext w:val="0"/>
        <w:keepLines w:val="0"/>
        <w:pageBreakBefore w:val="0"/>
        <w:widowControl w:val="0"/>
        <w:numPr>
          <w:ilvl w:val="0"/>
          <w:numId w:val="0"/>
        </w:numPr>
        <w:tabs>
          <w:tab w:val="left" w:pos="1003"/>
        </w:tabs>
        <w:kinsoku/>
        <w:wordWrap/>
        <w:overflowPunct/>
        <w:topLinePunct w:val="0"/>
        <w:autoSpaceDE/>
        <w:autoSpaceDN/>
        <w:bidi w:val="0"/>
        <w:adjustRightInd/>
        <w:snapToGrid/>
        <w:spacing w:before="12" w:after="0" w:line="580" w:lineRule="exact"/>
        <w:ind w:right="243" w:righ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4.实行</w:t>
      </w:r>
      <w:r>
        <w:rPr>
          <w:rFonts w:hint="eastAsia" w:ascii="仿宋_GB2312" w:hAnsi="仿宋_GB2312" w:eastAsia="仿宋_GB2312" w:cs="仿宋_GB2312"/>
          <w:b/>
          <w:bCs/>
          <w:color w:val="auto"/>
          <w:sz w:val="32"/>
          <w:szCs w:val="32"/>
        </w:rPr>
        <w:t>统一</w:t>
      </w:r>
      <w:r>
        <w:rPr>
          <w:rFonts w:hint="eastAsia" w:ascii="仿宋_GB2312" w:hAnsi="仿宋_GB2312" w:eastAsia="仿宋_GB2312" w:cs="仿宋_GB2312"/>
          <w:b/>
          <w:bCs/>
          <w:color w:val="auto"/>
          <w:sz w:val="32"/>
          <w:szCs w:val="32"/>
          <w:lang w:val="en-US" w:eastAsia="zh-CN"/>
        </w:rPr>
        <w:t>的</w:t>
      </w:r>
      <w:r>
        <w:rPr>
          <w:rFonts w:hint="eastAsia" w:ascii="仿宋_GB2312" w:hAnsi="仿宋_GB2312" w:eastAsia="仿宋_GB2312" w:cs="仿宋_GB2312"/>
          <w:b/>
          <w:bCs/>
          <w:color w:val="auto"/>
          <w:sz w:val="32"/>
          <w:szCs w:val="32"/>
        </w:rPr>
        <w:t>支付方式。</w:t>
      </w:r>
      <w:r>
        <w:rPr>
          <w:rFonts w:hint="eastAsia" w:ascii="仿宋_GB2312" w:hAnsi="仿宋_GB2312" w:eastAsia="仿宋_GB2312" w:cs="仿宋_GB2312"/>
          <w:color w:val="auto"/>
          <w:sz w:val="32"/>
          <w:szCs w:val="32"/>
        </w:rPr>
        <w:t>全市统一</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总额预算管理下的按病组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DRG</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sz w:val="32"/>
          <w:szCs w:val="32"/>
        </w:rPr>
        <w:t>按床日、</w:t>
      </w:r>
      <w:r>
        <w:rPr>
          <w:rFonts w:hint="eastAsia" w:ascii="仿宋_GB2312" w:hAnsi="仿宋_GB2312" w:eastAsia="仿宋_GB2312" w:cs="仿宋_GB2312"/>
          <w:color w:val="auto"/>
          <w:spacing w:val="0"/>
          <w:sz w:val="32"/>
          <w:szCs w:val="32"/>
          <w:lang w:val="en-US" w:eastAsia="zh-CN"/>
        </w:rPr>
        <w:t>按人头、</w:t>
      </w:r>
      <w:r>
        <w:rPr>
          <w:rFonts w:hint="eastAsia" w:ascii="仿宋_GB2312" w:hAnsi="仿宋_GB2312" w:eastAsia="仿宋_GB2312" w:cs="仿宋_GB2312"/>
          <w:color w:val="auto"/>
          <w:spacing w:val="0"/>
          <w:sz w:val="32"/>
          <w:szCs w:val="32"/>
        </w:rPr>
        <w:t>按项目等多元复合式医保支付方式，全面实施住院费用按疾病诊断相关分组（DRG）</w:t>
      </w:r>
      <w:r>
        <w:rPr>
          <w:rFonts w:hint="eastAsia" w:ascii="仿宋_GB2312" w:hAnsi="仿宋_GB2312" w:eastAsia="仿宋_GB2312" w:cs="仿宋_GB2312"/>
          <w:color w:val="auto"/>
          <w:sz w:val="32"/>
          <w:szCs w:val="32"/>
        </w:rPr>
        <w:t>点数付费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全市按险种统一计算点数和点值；开展门诊按人头付费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0"/>
          <w:sz w:val="32"/>
          <w:szCs w:val="32"/>
          <w:lang w:val="en-US" w:eastAsia="zh-CN"/>
        </w:rPr>
        <w:t>完善全市统一的</w:t>
      </w:r>
      <w:r>
        <w:rPr>
          <w:rFonts w:hint="eastAsia" w:ascii="仿宋_GB2312" w:hAnsi="仿宋_GB2312" w:eastAsia="仿宋_GB2312" w:cs="仿宋_GB2312"/>
          <w:color w:val="auto"/>
          <w:spacing w:val="0"/>
          <w:sz w:val="32"/>
          <w:szCs w:val="32"/>
        </w:rPr>
        <w:t>激励约束机制</w:t>
      </w:r>
      <w:r>
        <w:rPr>
          <w:rFonts w:hint="eastAsia" w:ascii="仿宋_GB2312" w:hAnsi="仿宋_GB2312" w:eastAsia="仿宋_GB2312" w:cs="仿宋_GB2312"/>
          <w:color w:val="auto"/>
          <w:spacing w:val="0"/>
          <w:sz w:val="32"/>
          <w:szCs w:val="32"/>
          <w:lang w:val="en-US" w:eastAsia="zh-CN"/>
        </w:rPr>
        <w:t>和盈亏分担机制</w:t>
      </w:r>
      <w:r>
        <w:rPr>
          <w:rFonts w:hint="eastAsia" w:ascii="仿宋_GB2312" w:hAnsi="仿宋_GB2312" w:eastAsia="仿宋_GB2312" w:cs="仿宋_GB2312"/>
          <w:color w:val="auto"/>
          <w:spacing w:val="0"/>
          <w:sz w:val="32"/>
          <w:szCs w:val="32"/>
        </w:rPr>
        <w:t>。</w:t>
      </w:r>
    </w:p>
    <w:p>
      <w:pPr>
        <w:pStyle w:val="12"/>
        <w:keepNext w:val="0"/>
        <w:keepLines w:val="0"/>
        <w:pageBreakBefore w:val="0"/>
        <w:widowControl w:val="0"/>
        <w:numPr>
          <w:ilvl w:val="0"/>
          <w:numId w:val="0"/>
        </w:numPr>
        <w:tabs>
          <w:tab w:val="left" w:pos="1003"/>
        </w:tabs>
        <w:kinsoku/>
        <w:wordWrap/>
        <w:overflowPunct/>
        <w:topLinePunct w:val="0"/>
        <w:autoSpaceDE/>
        <w:autoSpaceDN/>
        <w:bidi w:val="0"/>
        <w:adjustRightInd/>
        <w:snapToGrid/>
        <w:spacing w:before="1" w:after="0" w:line="580" w:lineRule="exact"/>
        <w:ind w:right="273" w:rightChars="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0"/>
          <w:sz w:val="32"/>
          <w:szCs w:val="32"/>
          <w:lang w:val="en-US" w:eastAsia="zh-CN"/>
        </w:rPr>
        <w:t>5.实行</w:t>
      </w:r>
      <w:r>
        <w:rPr>
          <w:rFonts w:hint="eastAsia" w:ascii="仿宋_GB2312" w:hAnsi="仿宋_GB2312" w:eastAsia="仿宋_GB2312" w:cs="仿宋_GB2312"/>
          <w:b/>
          <w:bCs/>
          <w:color w:val="auto"/>
          <w:spacing w:val="0"/>
          <w:sz w:val="32"/>
          <w:szCs w:val="32"/>
        </w:rPr>
        <w:t>统一</w:t>
      </w:r>
      <w:r>
        <w:rPr>
          <w:rFonts w:hint="eastAsia" w:ascii="仿宋_GB2312" w:hAnsi="仿宋_GB2312" w:eastAsia="仿宋_GB2312" w:cs="仿宋_GB2312"/>
          <w:b/>
          <w:bCs/>
          <w:color w:val="auto"/>
          <w:spacing w:val="0"/>
          <w:sz w:val="32"/>
          <w:szCs w:val="32"/>
          <w:lang w:val="en-US" w:eastAsia="zh-CN"/>
        </w:rPr>
        <w:t>的</w:t>
      </w:r>
      <w:r>
        <w:rPr>
          <w:rFonts w:hint="eastAsia" w:ascii="仿宋_GB2312" w:hAnsi="仿宋_GB2312" w:eastAsia="仿宋_GB2312" w:cs="仿宋_GB2312"/>
          <w:b/>
          <w:bCs/>
          <w:color w:val="auto"/>
          <w:spacing w:val="0"/>
          <w:sz w:val="32"/>
          <w:szCs w:val="32"/>
        </w:rPr>
        <w:t>服务价格和招采管理。</w:t>
      </w:r>
      <w:r>
        <w:rPr>
          <w:rFonts w:hint="eastAsia" w:ascii="仿宋_GB2312" w:hAnsi="仿宋_GB2312" w:eastAsia="仿宋_GB2312" w:cs="仿宋_GB2312"/>
          <w:color w:val="auto"/>
          <w:spacing w:val="0"/>
          <w:sz w:val="32"/>
          <w:szCs w:val="32"/>
          <w:lang w:val="en-US" w:eastAsia="zh-CN"/>
        </w:rPr>
        <w:t>实行全市统一的医疗服务价格政策，执行统一的医保支付标准，执行统一的药品和医用耗材招标采购政策和结果，</w:t>
      </w:r>
      <w:r>
        <w:rPr>
          <w:rFonts w:hint="eastAsia" w:ascii="仿宋_GB2312" w:hAnsi="仿宋_GB2312" w:eastAsia="仿宋_GB2312" w:cs="仿宋_GB2312"/>
          <w:color w:val="auto"/>
          <w:sz w:val="32"/>
          <w:szCs w:val="32"/>
        </w:rPr>
        <w:t>全面促进医疗机构提质增效和高水平发展。</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right="0" w:firstLine="642" w:firstLineChars="200"/>
        <w:textAlignment w:val="auto"/>
        <w:rPr>
          <w:rFonts w:hint="default"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（二）基金统收统支。</w:t>
      </w:r>
      <w:r>
        <w:rPr>
          <w:color w:val="auto"/>
          <w:sz w:val="32"/>
          <w:szCs w:val="32"/>
        </w:rPr>
        <w:t>全市职工医保、居民医保、大病保险基金实</w:t>
      </w:r>
      <w:r>
        <w:rPr>
          <w:rFonts w:hint="eastAsia"/>
          <w:color w:val="auto"/>
          <w:sz w:val="32"/>
          <w:szCs w:val="32"/>
          <w:lang w:val="en-US" w:eastAsia="zh-CN"/>
        </w:rPr>
        <w:t>现</w:t>
      </w:r>
      <w:r>
        <w:rPr>
          <w:color w:val="auto"/>
          <w:sz w:val="32"/>
          <w:szCs w:val="32"/>
        </w:rPr>
        <w:t>统收统支管理，</w:t>
      </w:r>
      <w:r>
        <w:rPr>
          <w:rFonts w:hint="eastAsia"/>
          <w:color w:val="auto"/>
          <w:sz w:val="32"/>
          <w:szCs w:val="32"/>
          <w:lang w:val="en-US" w:eastAsia="zh-CN"/>
        </w:rPr>
        <w:t>实行</w:t>
      </w:r>
      <w:r>
        <w:rPr>
          <w:color w:val="auto"/>
          <w:sz w:val="32"/>
          <w:szCs w:val="32"/>
        </w:rPr>
        <w:t>统一征缴、统一拨付、统一清算。</w:t>
      </w:r>
    </w:p>
    <w:p>
      <w:pPr>
        <w:pStyle w:val="12"/>
        <w:keepNext w:val="0"/>
        <w:keepLines w:val="0"/>
        <w:pageBreakBefore w:val="0"/>
        <w:widowControl w:val="0"/>
        <w:numPr>
          <w:ilvl w:val="-1"/>
          <w:numId w:val="0"/>
        </w:numPr>
        <w:tabs>
          <w:tab w:val="left" w:pos="1003"/>
        </w:tabs>
        <w:kinsoku/>
        <w:wordWrap/>
        <w:overflowPunct/>
        <w:topLinePunct w:val="0"/>
        <w:autoSpaceDE/>
        <w:autoSpaceDN/>
        <w:bidi w:val="0"/>
        <w:adjustRightInd/>
        <w:snapToGrid/>
        <w:spacing w:before="0" w:after="0" w:line="580" w:lineRule="exact"/>
        <w:ind w:right="273" w:firstLine="642"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z w:val="32"/>
          <w:szCs w:val="32"/>
          <w:lang w:val="en-US" w:eastAsia="zh-CN"/>
        </w:rPr>
        <w:t>6.实行统一的</w:t>
      </w:r>
      <w:r>
        <w:rPr>
          <w:rFonts w:hint="eastAsia" w:ascii="仿宋_GB2312" w:hAnsi="仿宋_GB2312" w:eastAsia="仿宋_GB2312" w:cs="仿宋_GB2312"/>
          <w:b/>
          <w:bCs/>
          <w:color w:val="auto"/>
          <w:sz w:val="32"/>
          <w:szCs w:val="32"/>
        </w:rPr>
        <w:t>预决算管理。</w:t>
      </w:r>
      <w:r>
        <w:rPr>
          <w:rFonts w:ascii="Times New Roman" w:hAnsi="Times New Roman" w:eastAsia="仿宋_GB2312" w:cs="Times New Roman"/>
          <w:color w:val="auto"/>
          <w:sz w:val="32"/>
          <w:szCs w:val="32"/>
        </w:rPr>
        <w:t>基金预算</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决算草案由市医保经办机构编制，</w:t>
      </w:r>
      <w:r>
        <w:rPr>
          <w:rFonts w:ascii="Times New Roman" w:hAnsi="Times New Roman" w:eastAsia="仿宋_GB2312" w:cs="Times New Roman"/>
          <w:color w:val="FF0000"/>
          <w:sz w:val="32"/>
          <w:szCs w:val="32"/>
        </w:rPr>
        <w:t>经市医保、税务、财政部门</w:t>
      </w:r>
      <w:r>
        <w:rPr>
          <w:rFonts w:ascii="Times New Roman" w:hAnsi="Times New Roman" w:eastAsia="仿宋_GB2312" w:cs="Times New Roman"/>
          <w:color w:val="auto"/>
          <w:sz w:val="32"/>
          <w:szCs w:val="32"/>
        </w:rPr>
        <w:t>审核后按程序报批。</w:t>
      </w:r>
      <w:r>
        <w:rPr>
          <w:rFonts w:hint="eastAsia" w:ascii="Times New Roman" w:hAnsi="Times New Roman" w:eastAsia="仿宋_GB2312" w:cs="Times New Roman"/>
          <w:color w:val="auto"/>
          <w:sz w:val="32"/>
          <w:szCs w:val="32"/>
          <w:lang w:val="en-US" w:eastAsia="zh-CN"/>
        </w:rPr>
        <w:t>其中，</w:t>
      </w:r>
      <w:r>
        <w:rPr>
          <w:rFonts w:ascii="Times New Roman" w:hAnsi="Times New Roman" w:eastAsia="仿宋_GB2312" w:cs="Times New Roman"/>
          <w:color w:val="auto"/>
          <w:sz w:val="32"/>
          <w:szCs w:val="32"/>
        </w:rPr>
        <w:t>基金收入预算</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决算草案由市医保经办机构会同市税务部门编制。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color w:val="auto"/>
          <w:spacing w:val="0"/>
          <w:sz w:val="32"/>
          <w:szCs w:val="32"/>
          <w:lang w:val="en-US" w:eastAsia="zh-CN"/>
        </w:rPr>
        <w:t>7.实行统一的基金</w:t>
      </w:r>
      <w:r>
        <w:rPr>
          <w:rFonts w:hint="eastAsia" w:ascii="仿宋_GB2312" w:hAnsi="仿宋_GB2312" w:eastAsia="仿宋_GB2312" w:cs="仿宋_GB2312"/>
          <w:b/>
          <w:bCs/>
          <w:color w:val="auto"/>
          <w:spacing w:val="0"/>
          <w:sz w:val="32"/>
          <w:szCs w:val="32"/>
        </w:rPr>
        <w:t>收支管理。</w:t>
      </w:r>
      <w:r>
        <w:rPr>
          <w:rFonts w:hint="eastAsia" w:ascii="仿宋_GB2312" w:hAnsi="仿宋_GB2312" w:eastAsia="仿宋_GB2312" w:cs="仿宋_GB2312"/>
          <w:color w:val="auto"/>
          <w:sz w:val="32"/>
          <w:szCs w:val="32"/>
        </w:rPr>
        <w:t>统一基金征收主体，统一调整</w:t>
      </w:r>
      <w:r>
        <w:rPr>
          <w:rFonts w:hint="eastAsia" w:ascii="仿宋_GB2312" w:hAnsi="仿宋_GB2312" w:eastAsia="仿宋_GB2312" w:cs="仿宋_GB2312"/>
          <w:color w:val="auto"/>
          <w:sz w:val="32"/>
          <w:szCs w:val="32"/>
          <w:lang w:val="en-US" w:eastAsia="zh-CN"/>
        </w:rPr>
        <w:t>基金</w:t>
      </w:r>
      <w:r>
        <w:rPr>
          <w:rFonts w:hint="eastAsia" w:ascii="仿宋_GB2312" w:hAnsi="仿宋_GB2312" w:eastAsia="仿宋_GB2312" w:cs="仿宋_GB2312"/>
          <w:color w:val="auto"/>
          <w:sz w:val="32"/>
          <w:szCs w:val="32"/>
        </w:rPr>
        <w:t>收入级次，统一</w:t>
      </w:r>
      <w:r>
        <w:rPr>
          <w:rFonts w:hint="eastAsia" w:ascii="仿宋_GB2312" w:hAnsi="仿宋_GB2312" w:eastAsia="仿宋_GB2312" w:cs="仿宋_GB2312"/>
          <w:color w:val="auto"/>
          <w:sz w:val="32"/>
          <w:szCs w:val="32"/>
          <w:lang w:val="en-US" w:eastAsia="zh-CN"/>
        </w:rPr>
        <w:t>基金</w:t>
      </w:r>
      <w:r>
        <w:rPr>
          <w:rFonts w:hint="eastAsia" w:ascii="仿宋_GB2312" w:hAnsi="仿宋_GB2312" w:eastAsia="仿宋_GB2312" w:cs="仿宋_GB2312"/>
          <w:color w:val="auto"/>
          <w:sz w:val="32"/>
          <w:szCs w:val="32"/>
        </w:rPr>
        <w:t>收入划转、基金使用和支付管理，</w:t>
      </w:r>
      <w:r>
        <w:rPr>
          <w:rFonts w:hint="eastAsia" w:ascii="仿宋_GB2312" w:hAnsi="仿宋_GB2312" w:eastAsia="仿宋_GB2312" w:cs="仿宋_GB2312"/>
          <w:color w:val="auto"/>
          <w:sz w:val="32"/>
          <w:szCs w:val="32"/>
          <w:lang w:val="en-US" w:eastAsia="zh-CN"/>
        </w:rPr>
        <w:t>完善</w:t>
      </w:r>
      <w:r>
        <w:rPr>
          <w:rFonts w:hint="eastAsia" w:ascii="仿宋_GB2312" w:hAnsi="仿宋_GB2312" w:eastAsia="仿宋_GB2312" w:cs="仿宋_GB2312"/>
          <w:color w:val="auto"/>
          <w:sz w:val="32"/>
          <w:szCs w:val="32"/>
        </w:rPr>
        <w:t>医保经办机构、财政部门、税务部门</w:t>
      </w:r>
      <w:r>
        <w:rPr>
          <w:rFonts w:hint="eastAsia" w:ascii="仿宋_GB2312" w:hAnsi="仿宋_GB2312" w:eastAsia="仿宋_GB2312" w:cs="仿宋_GB2312"/>
          <w:color w:val="auto"/>
          <w:sz w:val="32"/>
          <w:szCs w:val="32"/>
          <w:lang w:val="en-US" w:eastAsia="zh-CN"/>
        </w:rPr>
        <w:t>之间</w:t>
      </w:r>
      <w:r>
        <w:rPr>
          <w:rFonts w:hint="eastAsia" w:ascii="仿宋_GB2312" w:hAnsi="仿宋_GB2312" w:eastAsia="仿宋_GB2312" w:cs="仿宋_GB2312"/>
          <w:color w:val="auto"/>
          <w:sz w:val="32"/>
          <w:szCs w:val="32"/>
        </w:rPr>
        <w:t>定期对账机制。市级统筹前的基金缺口，由原统筹区自行承担；</w:t>
      </w:r>
      <w:r>
        <w:rPr>
          <w:rFonts w:hint="eastAsia" w:ascii="仿宋_GB2312" w:hAnsi="仿宋_GB2312" w:eastAsia="仿宋_GB2312" w:cs="仿宋_GB2312"/>
          <w:color w:val="auto"/>
          <w:sz w:val="32"/>
          <w:szCs w:val="32"/>
          <w:lang w:val="en-US" w:eastAsia="zh-CN"/>
        </w:rPr>
        <w:t>市级统筹前的基金结余除按规定额度上缴市级用于归集基金统筹使用外，剩余部分留存于县（市、区），原则上用于弥补当地以后年度基金缺口。</w:t>
      </w:r>
      <w:r>
        <w:rPr>
          <w:rFonts w:hint="eastAsia" w:ascii="仿宋_GB2312" w:hAnsi="仿宋_GB2312" w:eastAsia="仿宋_GB2312" w:cs="仿宋_GB2312"/>
          <w:color w:val="auto"/>
          <w:sz w:val="32"/>
          <w:szCs w:val="32"/>
          <w:u w:val="none"/>
          <w:lang w:val="en-US" w:eastAsia="zh-CN"/>
        </w:rPr>
        <w:t>其中，统筹前的职工医保个人账户结余基金全额留存于县（市、区），</w:t>
      </w:r>
      <w:r>
        <w:rPr>
          <w:rFonts w:hint="eastAsia" w:ascii="仿宋_GB2312" w:hAnsi="仿宋_GB2312" w:eastAsia="仿宋_GB2312" w:cs="仿宋_GB2312"/>
          <w:sz w:val="32"/>
          <w:szCs w:val="32"/>
          <w:lang w:val="en-US" w:eastAsia="zh-CN"/>
        </w:rPr>
        <w:t>不得用于弥补当地以后年度统筹基金缺口。</w:t>
      </w:r>
      <w:r>
        <w:rPr>
          <w:rFonts w:hint="eastAsia" w:ascii="仿宋_GB2312" w:hAnsi="仿宋_GB2312" w:eastAsia="仿宋_GB2312" w:cs="仿宋_GB2312"/>
          <w:color w:val="FF0000"/>
          <w:sz w:val="32"/>
          <w:szCs w:val="32"/>
          <w:lang w:val="en-US" w:eastAsia="zh-CN"/>
        </w:rPr>
        <w:t>各县（市、区）统筹前基金结余由市级统一管理和调度使用。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1）开展基金审计。</w:t>
      </w:r>
      <w:r>
        <w:rPr>
          <w:rFonts w:hint="eastAsia" w:ascii="仿宋_GB2312" w:hAnsi="仿宋_GB2312" w:eastAsia="仿宋_GB2312" w:cs="仿宋_GB2312"/>
          <w:color w:val="auto"/>
          <w:sz w:val="32"/>
          <w:szCs w:val="32"/>
        </w:rPr>
        <w:t>审计部门对各县（</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、区）统筹前的</w:t>
      </w:r>
      <w:r>
        <w:rPr>
          <w:rFonts w:hint="eastAsia" w:ascii="仿宋_GB2312" w:hAnsi="仿宋_GB2312" w:eastAsia="仿宋_GB2312" w:cs="仿宋_GB2312"/>
          <w:color w:val="auto"/>
          <w:sz w:val="32"/>
          <w:szCs w:val="32"/>
          <w:lang w:val="en-US" w:eastAsia="zh-CN"/>
        </w:rPr>
        <w:t>基本医疗保险</w:t>
      </w:r>
      <w:r>
        <w:rPr>
          <w:rFonts w:hint="eastAsia" w:ascii="仿宋_GB2312" w:hAnsi="仿宋_GB2312" w:eastAsia="仿宋_GB2312" w:cs="仿宋_GB2312"/>
          <w:color w:val="auto"/>
          <w:sz w:val="32"/>
          <w:szCs w:val="32"/>
        </w:rPr>
        <w:t>基金开展全面审计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地经办机构、财政部门</w:t>
      </w:r>
      <w:r>
        <w:rPr>
          <w:rFonts w:hint="eastAsia" w:ascii="仿宋_GB2312" w:hAnsi="仿宋_GB2312" w:eastAsia="仿宋_GB2312" w:cs="仿宋_GB2312"/>
          <w:color w:val="auto"/>
          <w:sz w:val="32"/>
          <w:szCs w:val="32"/>
          <w:highlight w:val="none"/>
          <w:lang w:val="en-US" w:eastAsia="zh-CN"/>
        </w:rPr>
        <w:t>做好</w:t>
      </w:r>
      <w:r>
        <w:rPr>
          <w:rFonts w:hint="eastAsia" w:ascii="仿宋_GB2312" w:hAnsi="仿宋_GB2312" w:eastAsia="仿宋_GB2312" w:cs="仿宋_GB2312"/>
          <w:color w:val="auto"/>
          <w:sz w:val="32"/>
          <w:szCs w:val="32"/>
          <w:highlight w:val="none"/>
        </w:rPr>
        <w:t>历年</w:t>
      </w:r>
      <w:r>
        <w:rPr>
          <w:rFonts w:hint="eastAsia" w:ascii="仿宋_GB2312" w:hAnsi="仿宋_GB2312" w:eastAsia="仿宋_GB2312" w:cs="仿宋_GB2312"/>
          <w:color w:val="auto"/>
          <w:sz w:val="32"/>
          <w:szCs w:val="32"/>
          <w:highlight w:val="none"/>
          <w:lang w:eastAsia="zh-CN"/>
        </w:rPr>
        <w:t>债权</w:t>
      </w:r>
      <w:r>
        <w:rPr>
          <w:rFonts w:hint="eastAsia" w:ascii="仿宋_GB2312" w:hAnsi="仿宋_GB2312" w:eastAsia="仿宋_GB2312" w:cs="仿宋_GB2312"/>
          <w:color w:val="auto"/>
          <w:sz w:val="32"/>
          <w:szCs w:val="32"/>
          <w:highlight w:val="none"/>
        </w:rPr>
        <w:t>债务</w:t>
      </w:r>
      <w:r>
        <w:rPr>
          <w:rFonts w:hint="eastAsia" w:ascii="仿宋_GB2312" w:hAnsi="仿宋_GB2312" w:eastAsia="仿宋_GB2312" w:cs="仿宋_GB2312"/>
          <w:color w:val="auto"/>
          <w:sz w:val="32"/>
          <w:szCs w:val="32"/>
          <w:highlight w:val="none"/>
          <w:lang w:val="en-US" w:eastAsia="zh-CN"/>
        </w:rPr>
        <w:t>清理</w:t>
      </w:r>
      <w:r>
        <w:rPr>
          <w:rFonts w:hint="eastAsia" w:ascii="仿宋_GB2312" w:hAnsi="仿宋_GB2312" w:eastAsia="仿宋_GB2312" w:cs="仿宋_GB2312"/>
          <w:color w:val="auto"/>
          <w:sz w:val="32"/>
          <w:szCs w:val="32"/>
          <w:highlight w:val="none"/>
        </w:rPr>
        <w:t>和基金结余</w:t>
      </w:r>
      <w:r>
        <w:rPr>
          <w:rFonts w:hint="eastAsia" w:ascii="仿宋_GB2312" w:hAnsi="仿宋_GB2312" w:eastAsia="仿宋_GB2312" w:cs="仿宋_GB2312"/>
          <w:color w:val="auto"/>
          <w:sz w:val="32"/>
          <w:szCs w:val="32"/>
          <w:highlight w:val="none"/>
          <w:lang w:val="en-US" w:eastAsia="zh-CN"/>
        </w:rPr>
        <w:t>核实等工作</w:t>
      </w:r>
      <w:r>
        <w:rPr>
          <w:rFonts w:hint="eastAsia" w:ascii="仿宋_GB2312" w:hAnsi="仿宋_GB2312" w:eastAsia="仿宋_GB2312" w:cs="仿宋_GB2312"/>
          <w:color w:val="auto"/>
          <w:sz w:val="32"/>
          <w:szCs w:val="32"/>
          <w:highlight w:val="none"/>
        </w:rPr>
        <w:t>，对统收统支前审计确认的医疗保险基金收</w:t>
      </w:r>
      <w:r>
        <w:rPr>
          <w:rFonts w:hint="eastAsia" w:ascii="仿宋_GB2312" w:hAnsi="仿宋_GB2312" w:eastAsia="仿宋_GB2312" w:cs="仿宋_GB2312"/>
          <w:color w:val="auto"/>
          <w:sz w:val="32"/>
          <w:szCs w:val="32"/>
          <w:highlight w:val="none"/>
          <w:lang w:eastAsia="zh-CN"/>
        </w:rPr>
        <w:t>入</w:t>
      </w:r>
      <w:r>
        <w:rPr>
          <w:rFonts w:hint="eastAsia" w:ascii="仿宋_GB2312" w:hAnsi="仿宋_GB2312" w:eastAsia="仿宋_GB2312" w:cs="仿宋_GB2312"/>
          <w:color w:val="auto"/>
          <w:sz w:val="32"/>
          <w:szCs w:val="32"/>
          <w:highlight w:val="none"/>
        </w:rPr>
        <w:t>、支</w:t>
      </w:r>
      <w:r>
        <w:rPr>
          <w:rFonts w:hint="eastAsia" w:ascii="仿宋_GB2312" w:hAnsi="仿宋_GB2312" w:eastAsia="仿宋_GB2312" w:cs="仿宋_GB2312"/>
          <w:color w:val="auto"/>
          <w:sz w:val="32"/>
          <w:szCs w:val="32"/>
          <w:highlight w:val="none"/>
          <w:lang w:eastAsia="zh-CN"/>
        </w:rPr>
        <w:t>出</w:t>
      </w:r>
      <w:r>
        <w:rPr>
          <w:rFonts w:hint="eastAsia" w:ascii="仿宋_GB2312" w:hAnsi="仿宋_GB2312" w:eastAsia="仿宋_GB2312" w:cs="仿宋_GB2312"/>
          <w:color w:val="auto"/>
          <w:sz w:val="32"/>
          <w:szCs w:val="32"/>
          <w:highlight w:val="none"/>
        </w:rPr>
        <w:t>、结余及债权、债务等情况进行清算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妥善解决</w:t>
      </w:r>
      <w:r>
        <w:rPr>
          <w:rFonts w:hint="eastAsia" w:ascii="仿宋_GB2312" w:hAnsi="仿宋_GB2312" w:eastAsia="仿宋_GB2312" w:cs="仿宋_GB2312"/>
          <w:color w:val="auto"/>
          <w:sz w:val="32"/>
          <w:szCs w:val="32"/>
          <w:highlight w:val="none"/>
        </w:rPr>
        <w:t>历年欠费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债务</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问题</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统收统支前多支少收问题形成的基金缺口和以权责发生制为原则形成的基金收支缺口，由各县（市、区）自行承担,清算工作原则上应在2022年3月底前完成并上报市医保</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财政部门</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lang w:val="en-US" w:eastAsia="zh-CN"/>
        </w:rPr>
        <w:t>(2)职工医保基金上划。</w:t>
      </w:r>
      <w:r>
        <w:rPr>
          <w:rFonts w:hint="eastAsia" w:ascii="仿宋_GB2312" w:hAnsi="仿宋_GB2312" w:eastAsia="仿宋_GB2312" w:cs="仿宋_GB2312"/>
          <w:color w:val="auto"/>
          <w:sz w:val="32"/>
          <w:szCs w:val="32"/>
          <w:lang w:val="en-US" w:eastAsia="zh-CN"/>
        </w:rPr>
        <w:t>2022年1月底前，按照权责发生制的原则，各县（市、区）职工医保基金累计结余按规定额度上划至市财政专户，作为职工医保归集基金，各地累计结余不足上划的部分由当地财政安排专项资金补足，不得用留存的</w:t>
      </w:r>
      <w:r>
        <w:rPr>
          <w:rFonts w:hint="eastAsia" w:ascii="仿宋_GB2312" w:hAnsi="仿宋_GB2312" w:eastAsia="仿宋_GB2312" w:cs="仿宋_GB2312"/>
          <w:color w:val="auto"/>
          <w:sz w:val="32"/>
          <w:szCs w:val="32"/>
          <w:u w:val="none"/>
          <w:lang w:val="en-US" w:eastAsia="zh-CN"/>
        </w:rPr>
        <w:t>统筹前职工医保个人账户资金抵付上划资金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原市级职工医保调剂金结余并入职工医保归集基金。</w:t>
      </w:r>
      <w:r>
        <w:rPr>
          <w:rFonts w:hint="eastAsia" w:ascii="仿宋_GB2312" w:hAnsi="仿宋_GB2312" w:eastAsia="仿宋_GB2312" w:cs="仿宋_GB2312"/>
          <w:color w:val="auto"/>
          <w:sz w:val="32"/>
          <w:szCs w:val="32"/>
          <w:u w:val="none"/>
          <w:lang w:val="en-US" w:eastAsia="zh-CN"/>
        </w:rPr>
        <w:t>其中，统筹后的职工基本医保个人账户资金（含统筹后的结余部分）归集至市级统一收支管理。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color="auto" w:fill="FFFFFF"/>
          <w:lang w:val="en-US" w:eastAsia="zh-CN" w:bidi="ar-SA"/>
        </w:rPr>
        <w:t>上划基金以各县（市）上年度实际支出计算3个月支付能力为额度。</w:t>
      </w:r>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各地从累计结余上划基金，累计</w:t>
      </w:r>
      <w:bookmarkStart w:id="0" w:name="_GoBack"/>
      <w:bookmarkEnd w:id="0"/>
      <w:r>
        <w:rPr>
          <w:rFonts w:hint="eastAsia" w:ascii="仿宋_GB2312" w:hAnsi="仿宋_GB2312" w:eastAsia="仿宋_GB2312" w:cs="仿宋_GB2312"/>
          <w:b w:val="0"/>
          <w:bCs w:val="0"/>
          <w:i w:val="0"/>
          <w:caps w:val="0"/>
          <w:color w:val="auto"/>
          <w:spacing w:val="0"/>
          <w:kern w:val="2"/>
          <w:sz w:val="32"/>
          <w:szCs w:val="32"/>
          <w:highlight w:val="none"/>
          <w:shd w:val="clear" w:color="auto" w:fill="FFFFFF"/>
          <w:lang w:val="en-US" w:eastAsia="zh-CN" w:bidi="ar-SA"/>
        </w:rPr>
        <w:t>结余不足上划的部分由当地财政安排专项资金补足。</w:t>
      </w:r>
      <w:r>
        <w:rPr>
          <w:rFonts w:hint="eastAsia" w:ascii="仿宋_GB2312" w:hAnsi="仿宋_GB2312" w:eastAsia="仿宋_GB2312" w:cs="仿宋_GB2312"/>
          <w:b w:val="0"/>
          <w:bCs w:val="0"/>
          <w:i w:val="0"/>
          <w:caps w:val="0"/>
          <w:color w:val="auto"/>
          <w:spacing w:val="0"/>
          <w:kern w:val="2"/>
          <w:sz w:val="32"/>
          <w:szCs w:val="32"/>
          <w:shd w:val="clear" w:color="auto" w:fill="FFFFFF"/>
          <w:lang w:val="en-US" w:eastAsia="zh-CN" w:bidi="ar-SA"/>
        </w:rPr>
        <w:t>2023年起，每年年初全市职工医保归集基金支付能力不足3个月时，不足部分按照上年各地职工参保人数占全市职工参保人数比例从各地上划。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（3）居民医保基金上划。</w:t>
      </w:r>
      <w:r>
        <w:rPr>
          <w:rFonts w:hint="eastAsia" w:ascii="仿宋_GB2312" w:hAnsi="仿宋_GB2312" w:eastAsia="仿宋_GB2312" w:cs="仿宋_GB2312"/>
          <w:color w:val="auto"/>
          <w:sz w:val="32"/>
          <w:szCs w:val="32"/>
          <w:lang w:val="en-US" w:eastAsia="zh-CN"/>
        </w:rPr>
        <w:t>2022年1月底前，按照权责发生制的原则，各县（市、区）居民医保基金累计结余按规定额度上划至市财政专户，作为居民医保归集基金。各地累计结余不足上划的部分由当地财政安排专项资金补足。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上划基金以各县（市、区）按上年度实际支出计算1个月支付能力为额度。2023年起，每年年初全市居民医保归集基金支付能力不足1个月时，不足部分按照上年各地居民参保人数占全市居民参保人数比例从各地上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(4)基金存放。</w:t>
      </w:r>
      <w:r>
        <w:rPr>
          <w:rFonts w:hint="eastAsia" w:ascii="仿宋_GB2312" w:hAnsi="仿宋_GB2312" w:eastAsia="仿宋_GB2312" w:cs="仿宋_GB2312"/>
          <w:color w:val="auto"/>
          <w:sz w:val="32"/>
          <w:szCs w:val="32"/>
        </w:rPr>
        <w:t>统收统支前各县（市、区）基本医疗保险基金结余，</w:t>
      </w:r>
      <w:r>
        <w:rPr>
          <w:rFonts w:hint="eastAsia" w:ascii="仿宋_GB2312" w:hAnsi="仿宋_GB2312" w:eastAsia="仿宋_GB2312" w:cs="仿宋_GB2312"/>
          <w:color w:val="auto"/>
          <w:sz w:val="32"/>
          <w:szCs w:val="32"/>
          <w:lang w:val="en-US" w:eastAsia="zh-CN"/>
        </w:rPr>
        <w:t>按规定额度</w:t>
      </w:r>
      <w:r>
        <w:rPr>
          <w:rFonts w:hint="eastAsia" w:ascii="仿宋_GB2312" w:hAnsi="仿宋_GB2312" w:eastAsia="仿宋_GB2312" w:cs="仿宋_GB2312"/>
          <w:color w:val="auto"/>
          <w:sz w:val="32"/>
          <w:szCs w:val="32"/>
        </w:rPr>
        <w:t>归</w:t>
      </w:r>
      <w:r>
        <w:rPr>
          <w:rFonts w:hint="eastAsia" w:ascii="仿宋_GB2312" w:hAnsi="仿宋_GB2312" w:eastAsia="仿宋_GB2312" w:cs="仿宋_GB2312"/>
          <w:color w:val="auto"/>
          <w:sz w:val="32"/>
          <w:szCs w:val="32"/>
          <w:lang w:val="en-US" w:eastAsia="zh-CN"/>
        </w:rPr>
        <w:t>集</w:t>
      </w:r>
      <w:r>
        <w:rPr>
          <w:rFonts w:hint="eastAsia" w:ascii="仿宋_GB2312" w:hAnsi="仿宋_GB2312" w:eastAsia="仿宋_GB2312" w:cs="仿宋_GB2312"/>
          <w:color w:val="auto"/>
          <w:sz w:val="32"/>
          <w:szCs w:val="32"/>
        </w:rPr>
        <w:t>市财政专户</w:t>
      </w:r>
      <w:r>
        <w:rPr>
          <w:rFonts w:hint="eastAsia" w:ascii="仿宋_GB2312" w:hAnsi="仿宋_GB2312" w:eastAsia="仿宋_GB2312" w:cs="仿宋_GB2312"/>
          <w:color w:val="auto"/>
          <w:sz w:val="32"/>
          <w:szCs w:val="32"/>
          <w:lang w:val="en-US" w:eastAsia="zh-CN"/>
        </w:rPr>
        <w:t>后的剩余部分，由各地按竞争性存放要求开展保值增值，竞争性存放结果报市财政局备案</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8.实行统一的责任分担机制。</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“基金统一收支、责任分级负责、缺口合理分担”</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科学划分</w:t>
      </w:r>
      <w:r>
        <w:rPr>
          <w:rFonts w:hint="eastAsia" w:ascii="仿宋_GB2312" w:hAnsi="仿宋_GB2312" w:eastAsia="仿宋_GB2312" w:cs="仿宋_GB2312"/>
          <w:color w:val="auto"/>
          <w:sz w:val="32"/>
          <w:szCs w:val="32"/>
        </w:rPr>
        <w:t>市与县（市、区）</w:t>
      </w:r>
      <w:r>
        <w:rPr>
          <w:rFonts w:hint="eastAsia" w:ascii="仿宋_GB2312" w:hAnsi="仿宋_GB2312" w:eastAsia="仿宋_GB2312" w:cs="仿宋_GB2312"/>
          <w:color w:val="auto"/>
          <w:sz w:val="32"/>
          <w:szCs w:val="32"/>
          <w:lang w:val="en-US" w:eastAsia="zh-CN"/>
        </w:rPr>
        <w:t>基金管理责任</w:t>
      </w:r>
      <w:r>
        <w:rPr>
          <w:rFonts w:hint="eastAsia" w:ascii="仿宋_GB2312" w:hAnsi="仿宋_GB2312" w:eastAsia="仿宋_GB2312" w:cs="仿宋_GB2312"/>
          <w:color w:val="auto"/>
          <w:sz w:val="32"/>
          <w:szCs w:val="32"/>
        </w:rPr>
        <w:t>，做到权利与义务相对等、事权与财权相匹配、激励与约束相结合。</w:t>
      </w:r>
      <w:r>
        <w:rPr>
          <w:rFonts w:hint="eastAsia" w:ascii="仿宋_GB2312" w:hAnsi="仿宋_GB2312" w:eastAsia="仿宋_GB2312" w:cs="仿宋_GB2312"/>
          <w:color w:val="auto"/>
          <w:sz w:val="32"/>
          <w:szCs w:val="32"/>
          <w:lang w:val="en-US" w:eastAsia="zh-CN"/>
        </w:rPr>
        <w:t>分险种建立市级归集基金，</w:t>
      </w:r>
      <w:r>
        <w:rPr>
          <w:rFonts w:hint="eastAsia" w:ascii="仿宋_GB2312" w:hAnsi="仿宋_GB2312" w:eastAsia="仿宋_GB2312" w:cs="仿宋_GB2312"/>
          <w:color w:val="FF0000"/>
          <w:sz w:val="32"/>
          <w:szCs w:val="32"/>
          <w:lang w:val="en-US" w:eastAsia="zh-CN"/>
        </w:rPr>
        <w:t>归集基金由各地按规定额度上缴的基金、以前年度市级医疗风险调剂金结余、统筹后基金利息收入、分县核算当期盈余按比例补充归集基金等组成。</w:t>
      </w:r>
      <w:r>
        <w:rPr>
          <w:rFonts w:hint="eastAsia" w:ascii="仿宋_GB2312" w:hAnsi="仿宋_GB2312" w:eastAsia="仿宋_GB2312" w:cs="仿宋_GB2312"/>
          <w:color w:val="auto"/>
          <w:sz w:val="32"/>
          <w:szCs w:val="32"/>
          <w:lang w:val="en-US" w:eastAsia="zh-CN"/>
        </w:rPr>
        <w:t>统筹后出现当期基金收支缺口时，由归集基金与各县（市、区）按规定比例额度分担。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(1)统一责任分担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市本级及</w:t>
      </w:r>
      <w:r>
        <w:rPr>
          <w:rFonts w:hint="eastAsia" w:ascii="仿宋_GB2312" w:hAnsi="仿宋_GB2312" w:eastAsia="仿宋_GB2312" w:cs="仿宋_GB2312"/>
          <w:color w:val="auto"/>
          <w:sz w:val="32"/>
          <w:szCs w:val="32"/>
        </w:rPr>
        <w:t>各县（市、区）职工医保或居民医保出现当期基金收支缺口时，由</w:t>
      </w:r>
      <w:r>
        <w:rPr>
          <w:rFonts w:hint="eastAsia" w:ascii="仿宋_GB2312" w:hAnsi="仿宋_GB2312" w:eastAsia="仿宋_GB2312" w:cs="仿宋_GB2312"/>
          <w:color w:val="auto"/>
          <w:sz w:val="32"/>
          <w:szCs w:val="32"/>
          <w:lang w:val="en-US" w:eastAsia="zh-CN"/>
        </w:rPr>
        <w:t>市级</w:t>
      </w:r>
      <w:r>
        <w:rPr>
          <w:rFonts w:hint="eastAsia" w:ascii="仿宋_GB2312" w:hAnsi="仿宋_GB2312" w:eastAsia="仿宋_GB2312" w:cs="仿宋_GB2312"/>
          <w:color w:val="auto"/>
          <w:sz w:val="32"/>
          <w:szCs w:val="32"/>
        </w:rPr>
        <w:t>归集基金</w:t>
      </w:r>
      <w:r>
        <w:rPr>
          <w:rFonts w:hint="eastAsia" w:ascii="仿宋_GB2312" w:hAnsi="仿宋_GB2312" w:eastAsia="仿宋_GB2312" w:cs="仿宋_GB2312"/>
          <w:color w:val="auto"/>
          <w:sz w:val="32"/>
          <w:szCs w:val="32"/>
          <w:lang w:val="en-US" w:eastAsia="zh-CN"/>
        </w:rPr>
        <w:t>承担30%，缺口地从累计结余当中或通过财政专项补助承担70%</w:t>
      </w:r>
      <w:r>
        <w:rPr>
          <w:rFonts w:hint="eastAsia" w:ascii="仿宋_GB2312" w:hAnsi="仿宋_GB2312" w:eastAsia="仿宋_GB2312" w:cs="仿宋_GB2312"/>
          <w:color w:val="auto"/>
          <w:sz w:val="32"/>
          <w:szCs w:val="32"/>
        </w:rPr>
        <w:t>；归集基金不足支付时，</w:t>
      </w:r>
      <w:r>
        <w:rPr>
          <w:rFonts w:hint="eastAsia" w:ascii="仿宋_GB2312" w:hAnsi="仿宋_GB2312" w:eastAsia="仿宋_GB2312" w:cs="仿宋_GB2312"/>
          <w:color w:val="auto"/>
          <w:sz w:val="32"/>
          <w:szCs w:val="32"/>
          <w:lang w:val="en-US" w:eastAsia="zh-CN"/>
        </w:rPr>
        <w:t>不足的部分</w:t>
      </w:r>
      <w:r>
        <w:rPr>
          <w:rFonts w:hint="eastAsia" w:ascii="仿宋_GB2312" w:hAnsi="仿宋_GB2312" w:eastAsia="仿宋_GB2312" w:cs="仿宋_GB2312"/>
          <w:color w:val="auto"/>
          <w:sz w:val="32"/>
          <w:szCs w:val="32"/>
        </w:rPr>
        <w:t>由市财政、缺口地财政分别按 20 %、80%比例补足。其中市财政最高分担金额为当年县（市、区）</w:t>
      </w:r>
      <w:r>
        <w:rPr>
          <w:rFonts w:hint="eastAsia" w:ascii="仿宋_GB2312" w:hAnsi="仿宋_GB2312" w:eastAsia="仿宋_GB2312" w:cs="仿宋_GB2312"/>
          <w:color w:val="FF0000"/>
          <w:sz w:val="32"/>
          <w:szCs w:val="32"/>
          <w:lang w:val="en-US" w:eastAsia="zh-CN"/>
        </w:rPr>
        <w:t>统筹基金</w:t>
      </w:r>
      <w:r>
        <w:rPr>
          <w:rFonts w:hint="eastAsia" w:ascii="仿宋_GB2312" w:hAnsi="仿宋_GB2312" w:eastAsia="仿宋_GB2312" w:cs="仿宋_GB2312"/>
          <w:color w:val="auto"/>
          <w:sz w:val="32"/>
          <w:szCs w:val="32"/>
        </w:rPr>
        <w:t>筹资总额的1%。</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统一过渡机制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对居民医保统一财政补助标准设置三年过渡期。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在过渡期内出现当期缺口实行市、县分担时，如县（市、区）2021年的</w:t>
      </w:r>
      <w:r>
        <w:rPr>
          <w:rFonts w:hint="eastAsia" w:ascii="仿宋_GB2312" w:hAnsi="仿宋_GB2312" w:eastAsia="仿宋_GB2312" w:cs="仿宋_GB2312"/>
          <w:b/>
          <w:bCs/>
          <w:color w:val="FF0000"/>
          <w:sz w:val="32"/>
          <w:szCs w:val="32"/>
          <w:lang w:val="en-US" w:eastAsia="zh-CN"/>
        </w:rPr>
        <w:t>财政</w:t>
      </w:r>
      <w:r>
        <w:rPr>
          <w:rFonts w:hint="eastAsia" w:ascii="仿宋_GB2312" w:hAnsi="仿宋_GB2312" w:eastAsia="仿宋_GB2312" w:cs="仿宋_GB2312"/>
          <w:color w:val="FF0000"/>
          <w:sz w:val="32"/>
          <w:szCs w:val="32"/>
          <w:lang w:val="en-US" w:eastAsia="zh-CN"/>
        </w:rPr>
        <w:t>标准高于全市统筹后标准的，先由缺口地按该部分差额弥补缺口，仍有不足时，再由缺口地与市级归集基金按比例分担。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在过渡期内出现当期收支结余的县（市、区），结余部分的30%</w:t>
      </w:r>
      <w:r>
        <w:rPr>
          <w:rFonts w:hint="eastAsia" w:ascii="仿宋_GB2312" w:hAnsi="仿宋_GB2312" w:eastAsia="仿宋_GB2312" w:cs="仿宋_GB2312"/>
          <w:color w:val="auto"/>
          <w:sz w:val="32"/>
          <w:szCs w:val="32"/>
          <w:highlight w:val="none"/>
          <w:lang w:val="en-US" w:eastAsia="zh-CN"/>
        </w:rPr>
        <w:t>增加分县核算的基金累计结余</w:t>
      </w:r>
      <w:r>
        <w:rPr>
          <w:rFonts w:hint="eastAsia" w:ascii="仿宋_GB2312" w:hAnsi="仿宋_GB2312" w:eastAsia="仿宋_GB2312" w:cs="仿宋_GB2312"/>
          <w:color w:val="FF0000"/>
          <w:sz w:val="32"/>
          <w:szCs w:val="32"/>
          <w:highlight w:val="none"/>
          <w:lang w:val="en-US" w:eastAsia="zh-CN"/>
        </w:rPr>
        <w:t>，</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lang w:val="en-US" w:eastAsia="zh-CN"/>
        </w:rPr>
        <w:t>0%纳入市级归集基金统筹使用。</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统一</w:t>
      </w:r>
      <w:r>
        <w:rPr>
          <w:rFonts w:hint="eastAsia" w:ascii="仿宋_GB2312" w:hAnsi="仿宋_GB2312" w:eastAsia="仿宋_GB2312" w:cs="仿宋_GB2312"/>
          <w:b/>
          <w:bCs/>
          <w:color w:val="auto"/>
          <w:sz w:val="32"/>
          <w:szCs w:val="32"/>
        </w:rPr>
        <w:t>考核机制</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自2022年起，将各项</w:t>
      </w:r>
      <w:r>
        <w:rPr>
          <w:rFonts w:hint="eastAsia" w:ascii="仿宋_GB2312" w:hAnsi="仿宋_GB2312" w:eastAsia="仿宋_GB2312" w:cs="仿宋_GB2312"/>
          <w:color w:val="auto"/>
          <w:sz w:val="32"/>
          <w:szCs w:val="32"/>
          <w:lang w:val="en-US" w:eastAsia="zh-CN"/>
        </w:rPr>
        <w:t>医保</w:t>
      </w:r>
      <w:r>
        <w:rPr>
          <w:rFonts w:hint="eastAsia" w:ascii="仿宋_GB2312" w:hAnsi="仿宋_GB2312" w:eastAsia="仿宋_GB2312" w:cs="仿宋_GB2312"/>
          <w:color w:val="auto"/>
          <w:sz w:val="32"/>
          <w:szCs w:val="32"/>
        </w:rPr>
        <w:t>工作执行情况纳入</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各县（市、区）人民政府工作目标责任制考核，建立与考核结果挂钩的奖惩机制。目标考核内容主要包括</w:t>
      </w:r>
      <w:r>
        <w:rPr>
          <w:rFonts w:hint="eastAsia" w:ascii="仿宋_GB2312" w:hAnsi="仿宋_GB2312" w:eastAsia="仿宋_GB2312" w:cs="仿宋_GB2312"/>
          <w:color w:val="FF0000"/>
          <w:sz w:val="32"/>
          <w:szCs w:val="32"/>
          <w:lang w:val="en-US" w:eastAsia="zh-CN"/>
        </w:rPr>
        <w:t>基金上划归集、补助资金到位、</w:t>
      </w:r>
      <w:r>
        <w:rPr>
          <w:rFonts w:hint="eastAsia" w:ascii="仿宋_GB2312" w:hAnsi="仿宋_GB2312" w:eastAsia="仿宋_GB2312" w:cs="仿宋_GB2312"/>
          <w:color w:val="auto"/>
          <w:sz w:val="32"/>
          <w:szCs w:val="32"/>
        </w:rPr>
        <w:t>年度参保人数、征缴率、缴费基数、基金监管、药品耗材带量采购等各项责任落实情况。</w:t>
      </w:r>
      <w:r>
        <w:rPr>
          <w:rFonts w:hint="eastAsia" w:ascii="仿宋_GB2312" w:hAnsi="仿宋_GB2312" w:eastAsia="仿宋_GB2312" w:cs="仿宋_GB2312"/>
          <w:color w:val="auto"/>
          <w:sz w:val="32"/>
          <w:szCs w:val="32"/>
          <w:lang w:val="en-US" w:eastAsia="zh-CN"/>
        </w:rPr>
        <w:t>市本级及各县（市、区）</w:t>
      </w:r>
      <w:r>
        <w:rPr>
          <w:rFonts w:hint="eastAsia" w:ascii="仿宋_GB2312" w:hAnsi="仿宋_GB2312" w:eastAsia="仿宋_GB2312" w:cs="仿宋_GB2312"/>
          <w:color w:val="auto"/>
          <w:sz w:val="32"/>
          <w:szCs w:val="32"/>
        </w:rPr>
        <w:t>未达到考核目标造成的少收或多支情形，由市医保部门会同市财政、税务等部门根据各自职责确定，少收多支部分由</w:t>
      </w:r>
      <w:r>
        <w:rPr>
          <w:rFonts w:hint="eastAsia" w:ascii="仿宋_GB2312" w:hAnsi="仿宋_GB2312" w:eastAsia="仿宋_GB2312" w:cs="仿宋_GB2312"/>
          <w:color w:val="auto"/>
          <w:sz w:val="32"/>
          <w:szCs w:val="32"/>
          <w:lang w:val="en-US" w:eastAsia="zh-CN"/>
        </w:rPr>
        <w:t>属地</w:t>
      </w:r>
      <w:r>
        <w:rPr>
          <w:rFonts w:hint="eastAsia" w:ascii="仿宋_GB2312" w:hAnsi="仿宋_GB2312" w:eastAsia="仿宋_GB2312" w:cs="仿宋_GB2312"/>
          <w:color w:val="auto"/>
          <w:sz w:val="32"/>
          <w:szCs w:val="32"/>
        </w:rPr>
        <w:t>政府补足。对于</w:t>
      </w:r>
      <w:r>
        <w:rPr>
          <w:rFonts w:hint="eastAsia" w:ascii="仿宋_GB2312" w:hAnsi="仿宋_GB2312" w:eastAsia="仿宋_GB2312" w:cs="仿宋_GB2312"/>
          <w:color w:val="auto"/>
          <w:sz w:val="32"/>
          <w:szCs w:val="32"/>
          <w:lang w:val="en-US" w:eastAsia="zh-CN"/>
        </w:rPr>
        <w:t>上一年度已经</w:t>
      </w:r>
      <w:r>
        <w:rPr>
          <w:rFonts w:hint="eastAsia" w:ascii="仿宋_GB2312" w:hAnsi="仿宋_GB2312" w:eastAsia="仿宋_GB2312" w:cs="仿宋_GB2312"/>
          <w:color w:val="auto"/>
          <w:sz w:val="32"/>
          <w:szCs w:val="32"/>
        </w:rPr>
        <w:t>出现当期收支缺口的县（市、区），</w:t>
      </w:r>
      <w:r>
        <w:rPr>
          <w:rFonts w:hint="eastAsia" w:ascii="仿宋_GB2312" w:hAnsi="仿宋_GB2312" w:eastAsia="仿宋_GB2312" w:cs="仿宋_GB2312"/>
          <w:color w:val="auto"/>
          <w:sz w:val="32"/>
          <w:szCs w:val="32"/>
          <w:lang w:val="en-US" w:eastAsia="zh-CN"/>
        </w:rPr>
        <w:t>市级</w:t>
      </w:r>
      <w:r>
        <w:rPr>
          <w:rFonts w:hint="eastAsia" w:ascii="仿宋_GB2312" w:hAnsi="仿宋_GB2312" w:eastAsia="仿宋_GB2312" w:cs="仿宋_GB2312"/>
          <w:color w:val="auto"/>
          <w:sz w:val="32"/>
          <w:szCs w:val="32"/>
        </w:rPr>
        <w:t>归集基金</w:t>
      </w:r>
      <w:r>
        <w:rPr>
          <w:rFonts w:hint="eastAsia" w:ascii="仿宋_GB2312" w:hAnsi="仿宋_GB2312" w:eastAsia="仿宋_GB2312" w:cs="仿宋_GB2312"/>
          <w:color w:val="auto"/>
          <w:sz w:val="32"/>
          <w:szCs w:val="32"/>
          <w:lang w:val="en-US" w:eastAsia="zh-CN"/>
        </w:rPr>
        <w:t>分担比例在原基础上减少5%，归集基金不足支付时，市财政分担比例减半</w:t>
      </w:r>
      <w:r>
        <w:rPr>
          <w:rFonts w:hint="eastAsia" w:ascii="仿宋_GB2312" w:hAnsi="仿宋_GB2312" w:eastAsia="仿宋_GB2312" w:cs="仿宋_GB2312"/>
          <w:color w:val="auto"/>
          <w:sz w:val="32"/>
          <w:szCs w:val="32"/>
        </w:rPr>
        <w:t>。县（市、区）政府考核未达到优良的，</w:t>
      </w:r>
      <w:r>
        <w:rPr>
          <w:rFonts w:hint="eastAsia" w:ascii="仿宋_GB2312" w:hAnsi="仿宋_GB2312" w:eastAsia="仿宋_GB2312" w:cs="仿宋_GB2312"/>
          <w:color w:val="FF0000"/>
          <w:sz w:val="32"/>
          <w:szCs w:val="32"/>
          <w:lang w:val="en-US" w:eastAsia="zh-CN"/>
        </w:rPr>
        <w:t>市</w:t>
      </w:r>
      <w:r>
        <w:rPr>
          <w:rFonts w:hint="eastAsia" w:ascii="仿宋_GB2312" w:hAnsi="仿宋_GB2312" w:eastAsia="仿宋_GB2312" w:cs="仿宋_GB2312"/>
          <w:color w:val="FF0000"/>
          <w:sz w:val="32"/>
          <w:szCs w:val="32"/>
        </w:rPr>
        <w:t>级</w:t>
      </w:r>
      <w:r>
        <w:rPr>
          <w:rFonts w:hint="eastAsia" w:ascii="仿宋_GB2312" w:hAnsi="仿宋_GB2312" w:eastAsia="仿宋_GB2312" w:cs="仿宋_GB2312"/>
          <w:color w:val="auto"/>
          <w:sz w:val="32"/>
          <w:szCs w:val="32"/>
        </w:rPr>
        <w:t>对年度基金缺口分担比例在</w:t>
      </w:r>
      <w:r>
        <w:rPr>
          <w:rFonts w:hint="eastAsia" w:ascii="仿宋_GB2312" w:hAnsi="仿宋_GB2312" w:eastAsia="仿宋_GB2312" w:cs="仿宋_GB2312"/>
          <w:color w:val="auto"/>
          <w:sz w:val="32"/>
          <w:szCs w:val="32"/>
          <w:lang w:val="en-US" w:eastAsia="zh-CN"/>
        </w:rPr>
        <w:t>原</w:t>
      </w:r>
      <w:r>
        <w:rPr>
          <w:rFonts w:hint="eastAsia" w:ascii="仿宋_GB2312" w:hAnsi="仿宋_GB2312" w:eastAsia="仿宋_GB2312" w:cs="仿宋_GB2312"/>
          <w:color w:val="auto"/>
          <w:sz w:val="32"/>
          <w:szCs w:val="32"/>
        </w:rPr>
        <w:t>基础上</w:t>
      </w:r>
      <w:r>
        <w:rPr>
          <w:rFonts w:hint="eastAsia" w:ascii="仿宋_GB2312" w:hAnsi="仿宋_GB2312" w:eastAsia="仿宋_GB2312" w:cs="仿宋_GB2312"/>
          <w:color w:val="FF0000"/>
          <w:sz w:val="32"/>
          <w:szCs w:val="32"/>
          <w:lang w:val="en-US" w:eastAsia="zh-CN"/>
        </w:rPr>
        <w:t>降低</w:t>
      </w:r>
      <w:r>
        <w:rPr>
          <w:rFonts w:hint="eastAsia" w:ascii="仿宋_GB2312" w:hAnsi="仿宋_GB2312" w:eastAsia="仿宋_GB2312" w:cs="仿宋_GB2312"/>
          <w:color w:val="auto"/>
          <w:sz w:val="32"/>
          <w:szCs w:val="32"/>
        </w:rPr>
        <w:t>5个百分点。</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80" w:lineRule="exact"/>
        <w:ind w:left="319" w:leftChars="152" w:firstLine="320" w:firstLineChars="100"/>
        <w:textAlignment w:val="auto"/>
        <w:rPr>
          <w:rFonts w:hint="eastAsia" w:cs="仿宋_GB2312"/>
          <w:color w:val="auto"/>
          <w:sz w:val="32"/>
          <w:szCs w:val="32"/>
          <w:lang w:val="en-US" w:eastAsia="zh-CN"/>
        </w:rPr>
      </w:pPr>
      <w:r>
        <w:rPr>
          <w:rFonts w:hint="eastAsia" w:ascii="华文楷体" w:hAnsi="华文楷体" w:eastAsia="华文楷体" w:cs="华文楷体"/>
          <w:b/>
          <w:bCs/>
          <w:color w:val="auto"/>
          <w:sz w:val="32"/>
          <w:szCs w:val="32"/>
        </w:rPr>
        <w:t>管理服务一体。</w:t>
      </w:r>
      <w:r>
        <w:rPr>
          <w:rFonts w:hint="eastAsia" w:ascii="仿宋_GB2312" w:hAnsi="仿宋_GB2312" w:eastAsia="仿宋_GB2312" w:cs="仿宋_GB2312"/>
          <w:color w:val="auto"/>
          <w:sz w:val="32"/>
          <w:szCs w:val="32"/>
          <w:lang w:val="en-US" w:eastAsia="zh-CN"/>
        </w:rPr>
        <w:t>加快医疗保障</w:t>
      </w:r>
      <w:r>
        <w:rPr>
          <w:rFonts w:hint="eastAsia" w:cs="仿宋_GB2312"/>
          <w:color w:val="auto"/>
          <w:sz w:val="32"/>
          <w:szCs w:val="32"/>
          <w:lang w:val="en-US" w:eastAsia="zh-CN"/>
        </w:rPr>
        <w:t>数字化改革，依托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cs="仿宋_GB2312"/>
          <w:color w:val="auto"/>
          <w:sz w:val="32"/>
          <w:szCs w:val="32"/>
          <w:lang w:val="en-US" w:eastAsia="zh-CN"/>
        </w:rPr>
      </w:pPr>
      <w:r>
        <w:rPr>
          <w:rFonts w:hint="eastAsia" w:cs="仿宋_GB2312"/>
          <w:color w:val="auto"/>
          <w:sz w:val="32"/>
          <w:szCs w:val="32"/>
          <w:lang w:val="en-US" w:eastAsia="zh-CN"/>
        </w:rPr>
        <w:t>市-县-乡-村“四位一体”经办服务（监管）体系，推动市域医保服务精细化、均等化，实行医保监管全覆盖。</w:t>
      </w:r>
    </w:p>
    <w:p>
      <w:pPr>
        <w:pStyle w:val="2"/>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0"/>
          <w:sz w:val="32"/>
          <w:szCs w:val="32"/>
          <w:lang w:val="en-US" w:eastAsia="zh-CN"/>
        </w:rPr>
        <w:t>9.</w:t>
      </w:r>
      <w:r>
        <w:rPr>
          <w:rFonts w:hint="eastAsia" w:cs="仿宋_GB2312"/>
          <w:b/>
          <w:bCs/>
          <w:color w:val="auto"/>
          <w:spacing w:val="0"/>
          <w:sz w:val="32"/>
          <w:szCs w:val="32"/>
          <w:lang w:val="en-US" w:eastAsia="zh-CN"/>
        </w:rPr>
        <w:t>实行</w:t>
      </w:r>
      <w:r>
        <w:rPr>
          <w:rFonts w:hint="eastAsia" w:ascii="仿宋_GB2312" w:hAnsi="仿宋_GB2312" w:eastAsia="仿宋_GB2312" w:cs="仿宋_GB2312"/>
          <w:b/>
          <w:bCs/>
          <w:color w:val="auto"/>
          <w:spacing w:val="0"/>
          <w:sz w:val="32"/>
          <w:szCs w:val="32"/>
        </w:rPr>
        <w:t>统一</w:t>
      </w:r>
      <w:r>
        <w:rPr>
          <w:rFonts w:hint="eastAsia" w:cs="仿宋_GB2312"/>
          <w:b/>
          <w:bCs/>
          <w:color w:val="auto"/>
          <w:spacing w:val="0"/>
          <w:sz w:val="32"/>
          <w:szCs w:val="32"/>
          <w:lang w:val="en-US" w:eastAsia="zh-CN"/>
        </w:rPr>
        <w:t>的</w:t>
      </w:r>
      <w:r>
        <w:rPr>
          <w:rFonts w:hint="eastAsia" w:ascii="仿宋_GB2312" w:hAnsi="仿宋_GB2312" w:eastAsia="仿宋_GB2312" w:cs="仿宋_GB2312"/>
          <w:b/>
          <w:bCs/>
          <w:color w:val="auto"/>
          <w:spacing w:val="0"/>
          <w:sz w:val="32"/>
          <w:szCs w:val="32"/>
        </w:rPr>
        <w:t>协议管理。</w:t>
      </w:r>
      <w:r>
        <w:rPr>
          <w:rFonts w:hint="eastAsia" w:ascii="仿宋_GB2312" w:hAnsi="仿宋_GB2312" w:eastAsia="仿宋_GB2312" w:cs="仿宋_GB2312"/>
          <w:color w:val="auto"/>
          <w:spacing w:val="0"/>
          <w:sz w:val="32"/>
          <w:szCs w:val="32"/>
          <w:lang w:val="en-US" w:eastAsia="zh-CN"/>
        </w:rPr>
        <w:t>全市</w:t>
      </w:r>
      <w:r>
        <w:rPr>
          <w:rFonts w:hint="eastAsia" w:cs="仿宋_GB2312"/>
          <w:color w:val="auto"/>
          <w:spacing w:val="0"/>
          <w:sz w:val="32"/>
          <w:szCs w:val="32"/>
          <w:lang w:val="en-US" w:eastAsia="zh-CN"/>
        </w:rPr>
        <w:t>实</w:t>
      </w:r>
      <w:r>
        <w:rPr>
          <w:rFonts w:hint="eastAsia" w:ascii="仿宋_GB2312" w:hAnsi="仿宋_GB2312" w:eastAsia="仿宋_GB2312" w:cs="仿宋_GB2312"/>
          <w:i w:val="0"/>
          <w:iCs w:val="0"/>
          <w:caps w:val="0"/>
          <w:color w:val="auto"/>
          <w:spacing w:val="0"/>
          <w:sz w:val="32"/>
          <w:szCs w:val="32"/>
          <w:shd w:val="clear" w:fill="FFFFFF"/>
        </w:rPr>
        <w:t>行统一的定点医药机构协议管理办法</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cs="仿宋_GB2312"/>
          <w:i w:val="0"/>
          <w:iCs w:val="0"/>
          <w:caps w:val="0"/>
          <w:color w:val="auto"/>
          <w:spacing w:val="0"/>
          <w:sz w:val="32"/>
          <w:szCs w:val="32"/>
          <w:shd w:val="clear" w:fill="FFFFFF"/>
          <w:lang w:val="en-US" w:eastAsia="zh-CN"/>
        </w:rPr>
        <w:t>实行</w:t>
      </w:r>
      <w:r>
        <w:rPr>
          <w:rFonts w:hint="eastAsia" w:ascii="仿宋_GB2312" w:hAnsi="仿宋_GB2312" w:eastAsia="仿宋_GB2312" w:cs="仿宋_GB2312"/>
          <w:i w:val="0"/>
          <w:iCs w:val="0"/>
          <w:caps w:val="0"/>
          <w:color w:val="auto"/>
          <w:spacing w:val="0"/>
          <w:sz w:val="32"/>
          <w:szCs w:val="32"/>
          <w:shd w:val="clear" w:fill="FFFFFF"/>
        </w:rPr>
        <w:t>统一的准入条件、</w:t>
      </w:r>
      <w:r>
        <w:rPr>
          <w:rFonts w:hint="eastAsia" w:cs="仿宋_GB2312"/>
          <w:i w:val="0"/>
          <w:iCs w:val="0"/>
          <w:caps w:val="0"/>
          <w:color w:val="auto"/>
          <w:spacing w:val="0"/>
          <w:sz w:val="32"/>
          <w:szCs w:val="32"/>
          <w:shd w:val="clear" w:fill="FFFFFF"/>
          <w:lang w:val="en-US" w:eastAsia="zh-CN"/>
        </w:rPr>
        <w:t>统一的</w:t>
      </w:r>
      <w:r>
        <w:rPr>
          <w:rFonts w:hint="eastAsia" w:ascii="仿宋_GB2312" w:hAnsi="仿宋_GB2312" w:eastAsia="仿宋_GB2312" w:cs="仿宋_GB2312"/>
          <w:i w:val="0"/>
          <w:iCs w:val="0"/>
          <w:caps w:val="0"/>
          <w:color w:val="auto"/>
          <w:spacing w:val="0"/>
          <w:sz w:val="32"/>
          <w:szCs w:val="32"/>
          <w:shd w:val="clear" w:fill="FFFFFF"/>
        </w:rPr>
        <w:t>评估规则和</w:t>
      </w:r>
      <w:r>
        <w:rPr>
          <w:rFonts w:hint="eastAsia" w:cs="仿宋_GB2312"/>
          <w:i w:val="0"/>
          <w:iCs w:val="0"/>
          <w:caps w:val="0"/>
          <w:color w:val="auto"/>
          <w:spacing w:val="0"/>
          <w:sz w:val="32"/>
          <w:szCs w:val="32"/>
          <w:shd w:val="clear" w:fill="FFFFFF"/>
          <w:lang w:val="en-US" w:eastAsia="zh-CN"/>
        </w:rPr>
        <w:t>统一</w:t>
      </w:r>
      <w:r>
        <w:rPr>
          <w:rFonts w:hint="eastAsia" w:ascii="仿宋_GB2312" w:hAnsi="仿宋_GB2312" w:eastAsia="仿宋_GB2312" w:cs="仿宋_GB2312"/>
          <w:i w:val="0"/>
          <w:iCs w:val="0"/>
          <w:caps w:val="0"/>
          <w:color w:val="auto"/>
          <w:spacing w:val="0"/>
          <w:sz w:val="32"/>
          <w:szCs w:val="32"/>
          <w:shd w:val="clear" w:fill="FFFFFF"/>
        </w:rPr>
        <w:t>工作流程</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cs="仿宋_GB2312"/>
          <w:i w:val="0"/>
          <w:iCs w:val="0"/>
          <w:caps w:val="0"/>
          <w:color w:val="auto"/>
          <w:spacing w:val="0"/>
          <w:sz w:val="32"/>
          <w:szCs w:val="32"/>
          <w:shd w:val="clear" w:fill="FFFFFF"/>
          <w:lang w:val="en-US" w:eastAsia="zh-CN"/>
        </w:rPr>
        <w:t>对</w:t>
      </w:r>
      <w:r>
        <w:rPr>
          <w:rFonts w:hint="eastAsia" w:ascii="仿宋_GB2312" w:hAnsi="仿宋_GB2312" w:eastAsia="仿宋_GB2312" w:cs="仿宋_GB2312"/>
          <w:i w:val="0"/>
          <w:iCs w:val="0"/>
          <w:caps w:val="0"/>
          <w:color w:val="auto"/>
          <w:spacing w:val="0"/>
          <w:sz w:val="32"/>
          <w:szCs w:val="32"/>
          <w:shd w:val="clear" w:fill="FFFFFF"/>
        </w:rPr>
        <w:t>各类各级定点医药机构</w:t>
      </w:r>
      <w:r>
        <w:rPr>
          <w:rFonts w:hint="eastAsia" w:cs="仿宋_GB2312"/>
          <w:i w:val="0"/>
          <w:iCs w:val="0"/>
          <w:caps w:val="0"/>
          <w:color w:val="auto"/>
          <w:spacing w:val="0"/>
          <w:sz w:val="32"/>
          <w:szCs w:val="32"/>
          <w:shd w:val="clear" w:fill="FFFFFF"/>
          <w:lang w:val="en-US" w:eastAsia="zh-CN"/>
        </w:rPr>
        <w:t>实行</w:t>
      </w:r>
      <w:r>
        <w:rPr>
          <w:rFonts w:hint="eastAsia" w:ascii="仿宋_GB2312" w:hAnsi="仿宋_GB2312" w:eastAsia="仿宋_GB2312" w:cs="仿宋_GB2312"/>
          <w:i w:val="0"/>
          <w:iCs w:val="0"/>
          <w:caps w:val="0"/>
          <w:color w:val="auto"/>
          <w:spacing w:val="0"/>
          <w:sz w:val="32"/>
          <w:szCs w:val="32"/>
          <w:shd w:val="clear" w:fill="FFFFFF"/>
        </w:rPr>
        <w:t>统一</w:t>
      </w:r>
      <w:r>
        <w:rPr>
          <w:rFonts w:hint="eastAsia" w:ascii="仿宋_GB2312" w:hAnsi="仿宋_GB2312" w:eastAsia="仿宋_GB2312" w:cs="仿宋_GB2312"/>
          <w:i w:val="0"/>
          <w:iCs w:val="0"/>
          <w:caps w:val="0"/>
          <w:color w:val="auto"/>
          <w:spacing w:val="0"/>
          <w:sz w:val="32"/>
          <w:szCs w:val="32"/>
          <w:shd w:val="clear" w:fill="FFFFFF"/>
          <w:lang w:val="en-US" w:eastAsia="zh-CN"/>
        </w:rPr>
        <w:t>服务</w:t>
      </w:r>
      <w:r>
        <w:rPr>
          <w:rFonts w:hint="eastAsia" w:ascii="仿宋_GB2312" w:hAnsi="仿宋_GB2312" w:eastAsia="仿宋_GB2312" w:cs="仿宋_GB2312"/>
          <w:i w:val="0"/>
          <w:iCs w:val="0"/>
          <w:caps w:val="0"/>
          <w:color w:val="auto"/>
          <w:spacing w:val="0"/>
          <w:sz w:val="32"/>
          <w:szCs w:val="32"/>
          <w:shd w:val="clear" w:fill="FFFFFF"/>
        </w:rPr>
        <w:t>协议文本和考核办法。</w:t>
      </w:r>
      <w:r>
        <w:rPr>
          <w:rFonts w:hint="eastAsia" w:cs="仿宋_GB2312"/>
          <w:i w:val="0"/>
          <w:iCs w:val="0"/>
          <w:caps w:val="0"/>
          <w:color w:val="auto"/>
          <w:spacing w:val="0"/>
          <w:sz w:val="32"/>
          <w:szCs w:val="32"/>
          <w:shd w:val="clear" w:fill="FFFFFF"/>
          <w:lang w:val="en-US" w:eastAsia="zh-CN"/>
        </w:rPr>
        <w:t>县（市、区）</w:t>
      </w:r>
      <w:r>
        <w:rPr>
          <w:rFonts w:hint="eastAsia" w:ascii="仿宋_GB2312" w:hAnsi="仿宋_GB2312" w:eastAsia="仿宋_GB2312" w:cs="仿宋_GB2312"/>
          <w:i w:val="0"/>
          <w:iCs w:val="0"/>
          <w:caps w:val="0"/>
          <w:color w:val="auto"/>
          <w:spacing w:val="0"/>
          <w:sz w:val="32"/>
          <w:szCs w:val="32"/>
          <w:shd w:val="clear" w:fill="FFFFFF"/>
          <w:lang w:val="en-US" w:eastAsia="zh-CN"/>
        </w:rPr>
        <w:t>医保部门按照市级统一部署，</w:t>
      </w:r>
      <w:r>
        <w:rPr>
          <w:rFonts w:hint="eastAsia" w:ascii="仿宋_GB2312" w:hAnsi="仿宋_GB2312" w:eastAsia="仿宋_GB2312" w:cs="仿宋_GB2312"/>
          <w:i w:val="0"/>
          <w:iCs w:val="0"/>
          <w:caps w:val="0"/>
          <w:color w:val="auto"/>
          <w:spacing w:val="0"/>
          <w:sz w:val="32"/>
          <w:szCs w:val="32"/>
          <w:shd w:val="clear" w:fill="FFFFFF"/>
        </w:rPr>
        <w:t>组织开展</w:t>
      </w:r>
      <w:r>
        <w:rPr>
          <w:rFonts w:hint="eastAsia" w:ascii="仿宋_GB2312" w:hAnsi="仿宋_GB2312" w:eastAsia="仿宋_GB2312" w:cs="仿宋_GB2312"/>
          <w:i w:val="0"/>
          <w:iCs w:val="0"/>
          <w:caps w:val="0"/>
          <w:color w:val="auto"/>
          <w:spacing w:val="0"/>
          <w:sz w:val="32"/>
          <w:szCs w:val="32"/>
          <w:shd w:val="clear" w:fill="FFFFFF"/>
          <w:lang w:val="en-US" w:eastAsia="zh-CN"/>
        </w:rPr>
        <w:t>定点医药机构</w:t>
      </w:r>
      <w:r>
        <w:rPr>
          <w:rFonts w:hint="eastAsia" w:ascii="仿宋_GB2312" w:hAnsi="仿宋_GB2312" w:eastAsia="仿宋_GB2312" w:cs="仿宋_GB2312"/>
          <w:i w:val="0"/>
          <w:iCs w:val="0"/>
          <w:caps w:val="0"/>
          <w:color w:val="auto"/>
          <w:spacing w:val="0"/>
          <w:sz w:val="32"/>
          <w:szCs w:val="32"/>
          <w:shd w:val="clear" w:fill="FFFFFF"/>
        </w:rPr>
        <w:t>协议履行情况监督检查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加强对定点医药机构</w:t>
      </w:r>
      <w:r>
        <w:rPr>
          <w:rFonts w:hint="eastAsia" w:ascii="仿宋_GB2312" w:hAnsi="仿宋_GB2312" w:eastAsia="仿宋_GB2312" w:cs="仿宋_GB2312"/>
          <w:i w:val="0"/>
          <w:iCs w:val="0"/>
          <w:caps w:val="0"/>
          <w:color w:val="auto"/>
          <w:spacing w:val="0"/>
          <w:sz w:val="32"/>
          <w:szCs w:val="32"/>
          <w:shd w:val="clear" w:fill="FFFFFF"/>
          <w:lang w:val="en-US" w:eastAsia="zh-CN"/>
        </w:rPr>
        <w:t>服务行为的</w:t>
      </w:r>
      <w:r>
        <w:rPr>
          <w:rFonts w:hint="eastAsia" w:ascii="仿宋_GB2312" w:hAnsi="仿宋_GB2312" w:eastAsia="仿宋_GB2312" w:cs="仿宋_GB2312"/>
          <w:i w:val="0"/>
          <w:iCs w:val="0"/>
          <w:caps w:val="0"/>
          <w:color w:val="auto"/>
          <w:spacing w:val="0"/>
          <w:sz w:val="32"/>
          <w:szCs w:val="32"/>
          <w:shd w:val="clear" w:fill="FFFFFF"/>
        </w:rPr>
        <w:t>监管。</w:t>
      </w:r>
    </w:p>
    <w:p>
      <w:pPr>
        <w:pStyle w:val="12"/>
        <w:keepNext w:val="0"/>
        <w:keepLines w:val="0"/>
        <w:pageBreakBefore w:val="0"/>
        <w:widowControl w:val="0"/>
        <w:numPr>
          <w:ilvl w:val="-1"/>
          <w:numId w:val="0"/>
        </w:numPr>
        <w:tabs>
          <w:tab w:val="left" w:pos="1003"/>
        </w:tabs>
        <w:kinsoku/>
        <w:wordWrap/>
        <w:overflowPunct/>
        <w:topLinePunct w:val="0"/>
        <w:autoSpaceDE/>
        <w:autoSpaceDN/>
        <w:bidi w:val="0"/>
        <w:adjustRightInd/>
        <w:snapToGrid/>
        <w:spacing w:before="11" w:after="0" w:line="580" w:lineRule="exact"/>
        <w:ind w:left="0" w:leftChars="0" w:right="274" w:firstLine="640"/>
        <w:jc w:val="both"/>
        <w:textAlignment w:val="auto"/>
        <w:rPr>
          <w:rFonts w:hint="default" w:ascii="仿宋_GB2312" w:hAnsi="仿宋_GB2312" w:eastAsia="仿宋_GB2312" w:cs="仿宋_GB2312"/>
          <w:b w:val="0"/>
          <w:bCs w:val="0"/>
          <w:color w:val="auto"/>
          <w:sz w:val="32"/>
          <w:szCs w:val="32"/>
          <w:shd w:val="clear" w:fill="FFFFFF"/>
          <w:lang w:val="en-US" w:eastAsia="zh-CN"/>
        </w:rPr>
      </w:pPr>
      <w:r>
        <w:rPr>
          <w:rFonts w:hint="eastAsia" w:ascii="仿宋_GB2312" w:hAnsi="仿宋_GB2312" w:eastAsia="仿宋_GB2312" w:cs="仿宋_GB2312"/>
          <w:b/>
          <w:bCs/>
          <w:color w:val="auto"/>
          <w:sz w:val="32"/>
          <w:szCs w:val="32"/>
          <w:lang w:val="en-US" w:eastAsia="zh-CN"/>
        </w:rPr>
        <w:t>10.实行</w:t>
      </w:r>
      <w:r>
        <w:rPr>
          <w:rFonts w:hint="eastAsia" w:ascii="仿宋_GB2312" w:hAnsi="仿宋_GB2312" w:eastAsia="仿宋_GB2312" w:cs="仿宋_GB2312"/>
          <w:b/>
          <w:bCs/>
          <w:color w:val="auto"/>
          <w:sz w:val="32"/>
          <w:szCs w:val="32"/>
        </w:rPr>
        <w:t>统一</w:t>
      </w:r>
      <w:r>
        <w:rPr>
          <w:rFonts w:hint="eastAsia" w:ascii="仿宋_GB2312" w:hAnsi="仿宋_GB2312" w:eastAsia="仿宋_GB2312" w:cs="仿宋_GB2312"/>
          <w:b/>
          <w:bCs/>
          <w:color w:val="auto"/>
          <w:sz w:val="32"/>
          <w:szCs w:val="32"/>
          <w:lang w:val="en-US" w:eastAsia="zh-CN"/>
        </w:rPr>
        <w:t>的</w:t>
      </w:r>
      <w:r>
        <w:rPr>
          <w:rFonts w:hint="eastAsia" w:ascii="仿宋_GB2312" w:hAnsi="仿宋_GB2312" w:eastAsia="仿宋_GB2312" w:cs="仿宋_GB2312"/>
          <w:b/>
          <w:bCs/>
          <w:color w:val="auto"/>
          <w:sz w:val="32"/>
          <w:szCs w:val="32"/>
        </w:rPr>
        <w:t>经办服务。</w:t>
      </w:r>
      <w:r>
        <w:rPr>
          <w:rFonts w:hint="eastAsia" w:ascii="仿宋_GB2312" w:hAnsi="仿宋_GB2312" w:eastAsia="仿宋_GB2312" w:cs="仿宋_GB2312"/>
          <w:color w:val="auto"/>
          <w:sz w:val="32"/>
          <w:szCs w:val="32"/>
        </w:rPr>
        <w:t>全市实行统一的医保业务经办规程和管理</w:t>
      </w:r>
      <w:r>
        <w:rPr>
          <w:rFonts w:hint="eastAsia" w:ascii="仿宋_GB2312" w:hAnsi="仿宋_GB2312" w:eastAsia="仿宋_GB2312" w:cs="仿宋_GB2312"/>
          <w:color w:val="auto"/>
          <w:spacing w:val="0"/>
          <w:sz w:val="32"/>
          <w:szCs w:val="32"/>
        </w:rPr>
        <w:t>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rPr>
        <w:t>按照“</w:t>
      </w:r>
      <w:r>
        <w:rPr>
          <w:rFonts w:hint="eastAsia" w:ascii="仿宋_GB2312" w:hAnsi="仿宋_GB2312" w:eastAsia="仿宋_GB2312" w:cs="仿宋_GB2312"/>
          <w:i w:val="0"/>
          <w:iCs w:val="0"/>
          <w:caps w:val="0"/>
          <w:color w:val="auto"/>
          <w:spacing w:val="0"/>
          <w:sz w:val="32"/>
          <w:szCs w:val="32"/>
          <w:shd w:val="clear" w:fill="FFFFFF"/>
          <w:lang w:val="en-US" w:eastAsia="zh-CN"/>
        </w:rPr>
        <w:t>数据市级集中、</w:t>
      </w:r>
      <w:r>
        <w:rPr>
          <w:rFonts w:hint="eastAsia" w:ascii="仿宋_GB2312" w:hAnsi="仿宋_GB2312" w:eastAsia="仿宋_GB2312" w:cs="仿宋_GB2312"/>
          <w:i w:val="0"/>
          <w:iCs w:val="0"/>
          <w:caps w:val="0"/>
          <w:color w:val="auto"/>
          <w:spacing w:val="0"/>
          <w:sz w:val="32"/>
          <w:szCs w:val="32"/>
          <w:shd w:val="clear" w:fill="FFFFFF"/>
        </w:rPr>
        <w:t>服务向下延伸”的要求，合理划分市、</w:t>
      </w:r>
      <w:r>
        <w:rPr>
          <w:rFonts w:hint="eastAsia" w:ascii="仿宋_GB2312" w:hAnsi="仿宋_GB2312" w:eastAsia="仿宋_GB2312" w:cs="仿宋_GB2312"/>
          <w:color w:val="auto"/>
          <w:spacing w:val="0"/>
          <w:sz w:val="32"/>
          <w:szCs w:val="32"/>
        </w:rPr>
        <w:t>县</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i w:val="0"/>
          <w:iCs w:val="0"/>
          <w:caps w:val="0"/>
          <w:color w:val="auto"/>
          <w:spacing w:val="0"/>
          <w:sz w:val="32"/>
          <w:szCs w:val="32"/>
          <w:shd w:val="clear" w:fill="FFFFFF"/>
        </w:rPr>
        <w:t>两级医保经办机构职责，</w:t>
      </w:r>
      <w:r>
        <w:rPr>
          <w:rFonts w:hint="eastAsia" w:ascii="仿宋_GB2312" w:hAnsi="仿宋_GB2312" w:eastAsia="仿宋_GB2312" w:cs="仿宋_GB2312"/>
          <w:i w:val="0"/>
          <w:iCs w:val="0"/>
          <w:caps w:val="0"/>
          <w:color w:val="auto"/>
          <w:spacing w:val="0"/>
          <w:sz w:val="32"/>
          <w:szCs w:val="32"/>
          <w:shd w:val="clear" w:fill="FFFFFF"/>
          <w:lang w:val="en-US" w:eastAsia="zh-CN"/>
        </w:rPr>
        <w:t>推动</w:t>
      </w:r>
      <w:r>
        <w:rPr>
          <w:rFonts w:hint="eastAsia" w:ascii="仿宋_GB2312" w:hAnsi="仿宋_GB2312" w:eastAsia="仿宋_GB2312" w:cs="仿宋_GB2312"/>
          <w:i w:val="0"/>
          <w:iCs w:val="0"/>
          <w:caps w:val="0"/>
          <w:color w:val="auto"/>
          <w:spacing w:val="0"/>
          <w:sz w:val="32"/>
          <w:szCs w:val="32"/>
          <w:shd w:val="clear" w:fill="FFFFFF"/>
        </w:rPr>
        <w:t>医疗保障服务向乡镇（街道）、村（社区）</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定点医药机构</w:t>
      </w:r>
      <w:r>
        <w:rPr>
          <w:rFonts w:hint="eastAsia" w:ascii="仿宋_GB2312" w:hAnsi="仿宋_GB2312" w:eastAsia="仿宋_GB2312" w:cs="仿宋_GB2312"/>
          <w:i w:val="0"/>
          <w:iCs w:val="0"/>
          <w:caps w:val="0"/>
          <w:color w:val="auto"/>
          <w:spacing w:val="0"/>
          <w:sz w:val="32"/>
          <w:szCs w:val="32"/>
          <w:shd w:val="clear" w:fill="FFFFFF"/>
        </w:rPr>
        <w:t>延伸。医保经办服务</w:t>
      </w:r>
      <w:r>
        <w:rPr>
          <w:rFonts w:hint="eastAsia" w:ascii="仿宋_GB2312" w:hAnsi="仿宋_GB2312" w:eastAsia="仿宋_GB2312" w:cs="仿宋_GB2312"/>
          <w:i w:val="0"/>
          <w:iCs w:val="0"/>
          <w:caps w:val="0"/>
          <w:color w:val="auto"/>
          <w:spacing w:val="0"/>
          <w:sz w:val="32"/>
          <w:szCs w:val="32"/>
          <w:shd w:val="clear" w:fill="FFFFFF"/>
          <w:lang w:val="en-US" w:eastAsia="zh-CN"/>
        </w:rPr>
        <w:t>实行市域通办，全面推进“掌上办”“网上办”“即时办”“流动办”“上门办”“聚合力”。强化经办流程分段设置、经办权限分类管理，完善经办风险防控机制</w:t>
      </w:r>
      <w:r>
        <w:rPr>
          <w:rFonts w:hint="eastAsia" w:ascii="仿宋_GB2312" w:hAnsi="仿宋_GB2312" w:eastAsia="仿宋_GB2312" w:cs="仿宋_GB2312"/>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0"/>
          <w:sz w:val="32"/>
          <w:szCs w:val="32"/>
          <w:lang w:val="en-US" w:eastAsia="zh-CN"/>
        </w:rPr>
        <w:t>11.实行</w:t>
      </w:r>
      <w:r>
        <w:rPr>
          <w:rFonts w:hint="eastAsia" w:ascii="仿宋_GB2312" w:hAnsi="仿宋_GB2312" w:eastAsia="仿宋_GB2312" w:cs="仿宋_GB2312"/>
          <w:b/>
          <w:bCs/>
          <w:color w:val="auto"/>
          <w:spacing w:val="0"/>
          <w:sz w:val="32"/>
          <w:szCs w:val="32"/>
        </w:rPr>
        <w:t>统一</w:t>
      </w:r>
      <w:r>
        <w:rPr>
          <w:rFonts w:hint="eastAsia" w:ascii="仿宋_GB2312" w:hAnsi="仿宋_GB2312" w:eastAsia="仿宋_GB2312" w:cs="仿宋_GB2312"/>
          <w:b/>
          <w:bCs/>
          <w:color w:val="auto"/>
          <w:spacing w:val="0"/>
          <w:sz w:val="32"/>
          <w:szCs w:val="32"/>
          <w:lang w:val="en-US" w:eastAsia="zh-CN"/>
        </w:rPr>
        <w:t>的</w:t>
      </w:r>
      <w:r>
        <w:rPr>
          <w:rFonts w:hint="eastAsia" w:ascii="仿宋_GB2312" w:hAnsi="仿宋_GB2312" w:eastAsia="仿宋_GB2312" w:cs="仿宋_GB2312"/>
          <w:b/>
          <w:bCs/>
          <w:color w:val="auto"/>
          <w:spacing w:val="0"/>
          <w:sz w:val="32"/>
          <w:szCs w:val="32"/>
        </w:rPr>
        <w:t>信息管理。</w:t>
      </w:r>
      <w:r>
        <w:rPr>
          <w:rFonts w:hint="eastAsia" w:ascii="仿宋_GB2312" w:hAnsi="仿宋_GB2312" w:eastAsia="仿宋_GB2312" w:cs="仿宋_GB2312"/>
          <w:color w:val="auto"/>
          <w:spacing w:val="0"/>
          <w:sz w:val="32"/>
          <w:szCs w:val="32"/>
          <w:lang w:val="en-US" w:eastAsia="zh-CN"/>
        </w:rPr>
        <w:t>围绕数字化改革目标，</w:t>
      </w:r>
      <w:r>
        <w:rPr>
          <w:rFonts w:hint="eastAsia" w:ascii="仿宋_GB2312" w:hAnsi="仿宋_GB2312" w:eastAsia="仿宋_GB2312" w:cs="仿宋_GB2312"/>
          <w:i w:val="0"/>
          <w:iCs w:val="0"/>
          <w:caps w:val="0"/>
          <w:color w:val="auto"/>
          <w:spacing w:val="0"/>
          <w:sz w:val="32"/>
          <w:szCs w:val="32"/>
          <w:shd w:val="clear" w:fill="FFFFFF"/>
        </w:rPr>
        <w:t>依托现有信息系统</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i w:val="0"/>
          <w:iCs w:val="0"/>
          <w:caps w:val="0"/>
          <w:color w:val="auto"/>
          <w:spacing w:val="0"/>
          <w:sz w:val="32"/>
          <w:szCs w:val="32"/>
          <w:shd w:val="clear" w:fill="FFFFFF"/>
        </w:rPr>
        <w:t>加强部门信息共享</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推进医保业务、医保数字、医保基金同向流动</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一体管理</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color w:val="auto"/>
          <w:sz w:val="32"/>
          <w:szCs w:val="32"/>
          <w:lang w:val="en-US" w:eastAsia="zh-CN"/>
        </w:rPr>
        <w:t>提升</w:t>
      </w:r>
      <w:r>
        <w:rPr>
          <w:rFonts w:hint="eastAsia" w:ascii="仿宋_GB2312" w:hAnsi="仿宋_GB2312" w:eastAsia="仿宋_GB2312" w:cs="仿宋_GB2312"/>
          <w:color w:val="auto"/>
          <w:sz w:val="32"/>
          <w:szCs w:val="32"/>
        </w:rPr>
        <w:t>全市统一</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智慧医保业务信息平台，</w:t>
      </w:r>
      <w:r>
        <w:rPr>
          <w:rFonts w:hint="eastAsia" w:ascii="仿宋_GB2312" w:hAnsi="仿宋_GB2312" w:eastAsia="仿宋_GB2312" w:cs="仿宋_GB2312"/>
          <w:color w:val="auto"/>
          <w:sz w:val="32"/>
          <w:szCs w:val="32"/>
          <w:lang w:val="en-US" w:eastAsia="zh-CN"/>
        </w:rPr>
        <w:t>加强</w:t>
      </w:r>
      <w:r>
        <w:rPr>
          <w:rFonts w:hint="eastAsia" w:ascii="仿宋_GB2312" w:hAnsi="仿宋_GB2312" w:eastAsia="仿宋_GB2312" w:cs="仿宋_GB2312"/>
          <w:color w:val="auto"/>
          <w:sz w:val="32"/>
          <w:szCs w:val="32"/>
        </w:rPr>
        <w:t>医保信息网络安全管理，确保市级统筹各项经办服务运行顺畅。</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right="0" w:firstLine="642" w:firstLineChars="200"/>
        <w:textAlignment w:val="auto"/>
        <w:rPr>
          <w:color w:val="auto"/>
          <w:sz w:val="32"/>
          <w:szCs w:val="32"/>
        </w:rPr>
      </w:pPr>
      <w:r>
        <w:rPr>
          <w:rFonts w:hint="eastAsia"/>
          <w:b/>
          <w:bCs/>
          <w:color w:val="auto"/>
          <w:sz w:val="32"/>
          <w:szCs w:val="32"/>
          <w:lang w:val="en-US" w:eastAsia="zh-CN"/>
        </w:rPr>
        <w:t>12.实行</w:t>
      </w:r>
      <w:r>
        <w:rPr>
          <w:b/>
          <w:bCs/>
          <w:color w:val="auto"/>
          <w:sz w:val="32"/>
          <w:szCs w:val="32"/>
        </w:rPr>
        <w:t>统一</w:t>
      </w:r>
      <w:r>
        <w:rPr>
          <w:rFonts w:hint="eastAsia"/>
          <w:b/>
          <w:bCs/>
          <w:color w:val="auto"/>
          <w:sz w:val="32"/>
          <w:szCs w:val="32"/>
          <w:lang w:val="en-US" w:eastAsia="zh-CN"/>
        </w:rPr>
        <w:t>的</w:t>
      </w:r>
      <w:r>
        <w:rPr>
          <w:b/>
          <w:bCs/>
          <w:color w:val="auto"/>
          <w:sz w:val="32"/>
          <w:szCs w:val="32"/>
        </w:rPr>
        <w:t>监督管理。</w:t>
      </w:r>
      <w:r>
        <w:rPr>
          <w:color w:val="auto"/>
          <w:spacing w:val="0"/>
          <w:sz w:val="32"/>
          <w:szCs w:val="32"/>
        </w:rPr>
        <w:t>落实县</w:t>
      </w:r>
      <w:r>
        <w:rPr>
          <w:color w:val="auto"/>
          <w:sz w:val="32"/>
          <w:szCs w:val="32"/>
        </w:rPr>
        <w:t>（市</w:t>
      </w:r>
      <w:r>
        <w:rPr>
          <w:rFonts w:hint="eastAsia"/>
          <w:color w:val="auto"/>
          <w:sz w:val="32"/>
          <w:szCs w:val="32"/>
          <w:lang w:eastAsia="zh-CN"/>
        </w:rPr>
        <w:t>、区</w:t>
      </w:r>
      <w:r>
        <w:rPr>
          <w:color w:val="auto"/>
          <w:spacing w:val="0"/>
          <w:sz w:val="32"/>
          <w:szCs w:val="32"/>
        </w:rPr>
        <w:t>）</w:t>
      </w:r>
      <w:r>
        <w:rPr>
          <w:color w:val="auto"/>
          <w:sz w:val="32"/>
          <w:szCs w:val="32"/>
        </w:rPr>
        <w:t>基金监管</w:t>
      </w:r>
      <w:r>
        <w:rPr>
          <w:rFonts w:hint="eastAsia"/>
          <w:color w:val="auto"/>
          <w:sz w:val="32"/>
          <w:szCs w:val="32"/>
          <w:lang w:val="en-US" w:eastAsia="zh-CN"/>
        </w:rPr>
        <w:t>主体</w:t>
      </w:r>
      <w:r>
        <w:rPr>
          <w:color w:val="auto"/>
          <w:sz w:val="32"/>
          <w:szCs w:val="32"/>
        </w:rPr>
        <w:t>责任</w:t>
      </w:r>
      <w:r>
        <w:rPr>
          <w:rFonts w:hint="eastAsia"/>
          <w:color w:val="auto"/>
          <w:sz w:val="32"/>
          <w:szCs w:val="32"/>
          <w:lang w:eastAsia="zh-CN"/>
        </w:rPr>
        <w:t>，</w:t>
      </w:r>
      <w:r>
        <w:rPr>
          <w:color w:val="auto"/>
          <w:sz w:val="32"/>
          <w:szCs w:val="32"/>
        </w:rPr>
        <w:t>建立与市级统筹相适应的基金监管体制</w:t>
      </w:r>
      <w:r>
        <w:rPr>
          <w:color w:val="auto"/>
          <w:spacing w:val="0"/>
          <w:sz w:val="32"/>
          <w:szCs w:val="32"/>
        </w:rPr>
        <w:t>，推进全市一体化监管</w:t>
      </w:r>
      <w:r>
        <w:rPr>
          <w:rFonts w:hint="eastAsia"/>
          <w:color w:val="auto"/>
          <w:spacing w:val="0"/>
          <w:sz w:val="32"/>
          <w:szCs w:val="32"/>
          <w:lang w:val="en-US" w:eastAsia="zh-CN"/>
        </w:rPr>
        <w:t>体系</w:t>
      </w:r>
      <w:r>
        <w:rPr>
          <w:color w:val="auto"/>
          <w:spacing w:val="0"/>
          <w:sz w:val="32"/>
          <w:szCs w:val="32"/>
        </w:rPr>
        <w:t>建设，全面提升市和</w:t>
      </w:r>
      <w:r>
        <w:rPr>
          <w:rFonts w:hint="eastAsia"/>
          <w:color w:val="auto"/>
          <w:spacing w:val="0"/>
          <w:sz w:val="32"/>
          <w:szCs w:val="32"/>
          <w:lang w:eastAsia="zh-CN"/>
        </w:rPr>
        <w:t>各</w:t>
      </w:r>
      <w:r>
        <w:rPr>
          <w:color w:val="auto"/>
          <w:spacing w:val="0"/>
          <w:sz w:val="32"/>
          <w:szCs w:val="32"/>
        </w:rPr>
        <w:t>县</w:t>
      </w:r>
      <w:r>
        <w:rPr>
          <w:color w:val="auto"/>
          <w:sz w:val="32"/>
          <w:szCs w:val="32"/>
        </w:rPr>
        <w:t>（市</w:t>
      </w:r>
      <w:r>
        <w:rPr>
          <w:rFonts w:hint="eastAsia"/>
          <w:color w:val="auto"/>
          <w:sz w:val="32"/>
          <w:szCs w:val="32"/>
          <w:lang w:eastAsia="zh-CN"/>
        </w:rPr>
        <w:t>、区</w:t>
      </w:r>
      <w:r>
        <w:rPr>
          <w:color w:val="auto"/>
          <w:spacing w:val="0"/>
          <w:sz w:val="32"/>
          <w:szCs w:val="32"/>
        </w:rPr>
        <w:t>）</w:t>
      </w:r>
      <w:r>
        <w:rPr>
          <w:color w:val="auto"/>
          <w:sz w:val="32"/>
          <w:szCs w:val="32"/>
        </w:rPr>
        <w:t>基金</w:t>
      </w:r>
      <w:r>
        <w:rPr>
          <w:color w:val="auto"/>
          <w:spacing w:val="0"/>
          <w:sz w:val="32"/>
          <w:szCs w:val="32"/>
        </w:rPr>
        <w:t>监管能力</w:t>
      </w:r>
      <w:r>
        <w:rPr>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580" w:lineRule="exact"/>
        <w:ind w:right="154" w:firstLine="642" w:firstLineChars="200"/>
        <w:textAlignment w:val="auto"/>
        <w:rPr>
          <w:rFonts w:hint="eastAsia"/>
          <w:color w:val="auto"/>
          <w:sz w:val="32"/>
          <w:szCs w:val="32"/>
          <w:lang w:val="en-US" w:eastAsia="zh-CN"/>
        </w:rPr>
      </w:pPr>
      <w:r>
        <w:rPr>
          <w:rFonts w:hint="eastAsia"/>
          <w:b/>
          <w:bCs/>
          <w:color w:val="auto"/>
          <w:sz w:val="32"/>
          <w:szCs w:val="32"/>
          <w:lang w:val="en-US" w:eastAsia="zh-CN"/>
        </w:rPr>
        <w:t>13.实行统一的市县分工。</w:t>
      </w:r>
      <w:r>
        <w:rPr>
          <w:rFonts w:hint="eastAsia"/>
          <w:color w:val="auto"/>
          <w:sz w:val="32"/>
          <w:szCs w:val="32"/>
          <w:lang w:val="en-US" w:eastAsia="zh-CN"/>
        </w:rPr>
        <w:t>加快建立适应市级统筹工作要求的市域医保管理新机制，市医保部门依据法律法规和政策要求，研究制定全市医疗保障制度政策，强化基金运行监督管理，落实对县（市、区）的考核工作；县（市、区）医保部门贯彻执行全市统一的制度政策，做好基金监管工作，提高经办服务能力和水平。探索适应我市实际的医疗保障管理机制，畅通市与县（市、区）人员流动渠道，开展定期轮岗、挂职学习、派驻办公等工作形式，推动全市医保部门人员统筹使用、能力同步提升、资源统一调度，加快全市医保一体化融合发展。</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right="0" w:firstLine="640" w:firstLineChars="200"/>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val="en-US" w:eastAsia="zh-CN"/>
        </w:rPr>
        <w:t>五</w:t>
      </w:r>
      <w:r>
        <w:rPr>
          <w:rFonts w:hint="eastAsia" w:ascii="黑体" w:hAnsi="黑体" w:eastAsia="黑体" w:cs="黑体"/>
          <w:color w:val="auto"/>
          <w:spacing w:val="0"/>
          <w:sz w:val="32"/>
          <w:szCs w:val="32"/>
          <w:lang w:eastAsia="zh-CN"/>
        </w:rPr>
        <w:t>、保障措施</w:t>
      </w:r>
    </w:p>
    <w:p>
      <w:pPr>
        <w:pStyle w:val="2"/>
        <w:keepNext w:val="0"/>
        <w:keepLines w:val="0"/>
        <w:pageBreakBefore w:val="0"/>
        <w:widowControl w:val="0"/>
        <w:kinsoku/>
        <w:wordWrap/>
        <w:overflowPunct/>
        <w:topLinePunct w:val="0"/>
        <w:autoSpaceDE/>
        <w:autoSpaceDN/>
        <w:bidi w:val="0"/>
        <w:adjustRightInd/>
        <w:snapToGrid/>
        <w:spacing w:before="190" w:line="580" w:lineRule="exact"/>
        <w:ind w:left="0" w:right="152" w:firstLine="642" w:firstLineChars="200"/>
        <w:textAlignment w:val="auto"/>
        <w:rPr>
          <w:color w:val="auto"/>
          <w:sz w:val="32"/>
          <w:szCs w:val="32"/>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pacing w:val="0"/>
          <w:sz w:val="32"/>
          <w:szCs w:val="32"/>
        </w:rPr>
        <w:t>）强化组织领导。</w:t>
      </w:r>
      <w:r>
        <w:rPr>
          <w:color w:val="auto"/>
          <w:spacing w:val="0"/>
          <w:sz w:val="32"/>
          <w:szCs w:val="32"/>
        </w:rPr>
        <w:t>成立由市政府主要领导任组长，</w:t>
      </w:r>
      <w:r>
        <w:rPr>
          <w:rFonts w:hint="eastAsia" w:ascii="仿宋_GB2312" w:hAnsi="仿宋_GB2312" w:eastAsia="仿宋_GB2312"/>
          <w:color w:val="auto"/>
          <w:sz w:val="32"/>
          <w:szCs w:val="32"/>
        </w:rPr>
        <w:t>各相关部门、各县（市、区）政府主要负责人为成员的全面做实基本医疗保险市级统筹工作领导小组</w:t>
      </w:r>
      <w:r>
        <w:rPr>
          <w:color w:val="auto"/>
          <w:spacing w:val="0"/>
          <w:sz w:val="32"/>
          <w:szCs w:val="32"/>
        </w:rPr>
        <w:t>。领导小组办公室设在市医保局，组建工作专班，具体负责领导小组</w:t>
      </w:r>
      <w:r>
        <w:rPr>
          <w:rFonts w:hint="eastAsia"/>
          <w:color w:val="auto"/>
          <w:spacing w:val="0"/>
          <w:sz w:val="32"/>
          <w:szCs w:val="32"/>
          <w:lang w:val="en-US" w:eastAsia="zh-CN"/>
        </w:rPr>
        <w:t>办公室</w:t>
      </w:r>
      <w:r>
        <w:rPr>
          <w:color w:val="auto"/>
          <w:spacing w:val="0"/>
          <w:sz w:val="32"/>
          <w:szCs w:val="32"/>
        </w:rPr>
        <w:t>日常工作。</w:t>
      </w:r>
    </w:p>
    <w:p>
      <w:pPr>
        <w:pStyle w:val="2"/>
        <w:keepNext w:val="0"/>
        <w:keepLines w:val="0"/>
        <w:pageBreakBefore w:val="0"/>
        <w:widowControl w:val="0"/>
        <w:kinsoku/>
        <w:wordWrap/>
        <w:overflowPunct/>
        <w:topLinePunct w:val="0"/>
        <w:autoSpaceDE/>
        <w:autoSpaceDN/>
        <w:bidi w:val="0"/>
        <w:adjustRightInd/>
        <w:snapToGrid/>
        <w:spacing w:before="190" w:line="580" w:lineRule="exact"/>
        <w:ind w:left="0" w:right="152" w:firstLine="642" w:firstLineChars="200"/>
        <w:jc w:val="both"/>
        <w:textAlignment w:val="auto"/>
        <w:rPr>
          <w:color w:val="auto"/>
          <w:sz w:val="32"/>
          <w:szCs w:val="32"/>
        </w:rPr>
      </w:pPr>
      <w:r>
        <w:rPr>
          <w:rFonts w:hint="eastAsia" w:ascii="楷体_GB2312" w:hAnsi="楷体_GB2312" w:eastAsia="楷体_GB2312" w:cs="楷体_GB2312"/>
          <w:b/>
          <w:bCs/>
          <w:color w:val="auto"/>
          <w:sz w:val="32"/>
          <w:szCs w:val="32"/>
        </w:rPr>
        <w:t>（二</w:t>
      </w:r>
      <w:r>
        <w:rPr>
          <w:rFonts w:hint="eastAsia" w:ascii="楷体_GB2312" w:hAnsi="楷体_GB2312" w:eastAsia="楷体_GB2312" w:cs="楷体_GB2312"/>
          <w:b/>
          <w:bCs/>
          <w:color w:val="auto"/>
          <w:spacing w:val="0"/>
          <w:sz w:val="32"/>
          <w:szCs w:val="32"/>
        </w:rPr>
        <w:t>）强化部门责任。</w:t>
      </w:r>
      <w:r>
        <w:rPr>
          <w:color w:val="auto"/>
          <w:spacing w:val="0"/>
          <w:sz w:val="32"/>
          <w:szCs w:val="32"/>
        </w:rPr>
        <w:t>各</w:t>
      </w:r>
      <w:r>
        <w:rPr>
          <w:rFonts w:hint="eastAsia"/>
          <w:color w:val="auto"/>
          <w:spacing w:val="0"/>
          <w:sz w:val="32"/>
          <w:szCs w:val="32"/>
          <w:lang w:val="en-US" w:eastAsia="zh-CN"/>
        </w:rPr>
        <w:t>县（市、区）政府、各</w:t>
      </w:r>
      <w:r>
        <w:rPr>
          <w:color w:val="auto"/>
          <w:spacing w:val="0"/>
          <w:sz w:val="32"/>
          <w:szCs w:val="32"/>
        </w:rPr>
        <w:t>相关部门</w:t>
      </w:r>
      <w:r>
        <w:rPr>
          <w:rFonts w:hint="eastAsia"/>
          <w:color w:val="auto"/>
          <w:spacing w:val="0"/>
          <w:sz w:val="32"/>
          <w:szCs w:val="32"/>
          <w:lang w:val="en-US" w:eastAsia="zh-CN"/>
        </w:rPr>
        <w:t>要</w:t>
      </w:r>
      <w:r>
        <w:rPr>
          <w:color w:val="auto"/>
          <w:spacing w:val="0"/>
          <w:sz w:val="32"/>
          <w:szCs w:val="32"/>
        </w:rPr>
        <w:t>统一思想，提高认识，各司其职，密切配合，加大工作力度，稳妥推进市级统筹工作。</w:t>
      </w:r>
      <w:r>
        <w:rPr>
          <w:rFonts w:hint="eastAsia"/>
          <w:color w:val="auto"/>
          <w:spacing w:val="0"/>
          <w:sz w:val="32"/>
          <w:szCs w:val="32"/>
        </w:rPr>
        <w:t>医保部门负责组织推进市级统筹工作，</w:t>
      </w:r>
      <w:r>
        <w:rPr>
          <w:rFonts w:hint="eastAsia"/>
          <w:color w:val="auto"/>
          <w:spacing w:val="0"/>
          <w:sz w:val="32"/>
          <w:szCs w:val="32"/>
          <w:lang w:val="en-US" w:eastAsia="zh-CN"/>
        </w:rPr>
        <w:t>会同有关部门</w:t>
      </w:r>
      <w:r>
        <w:rPr>
          <w:rFonts w:hint="eastAsia"/>
          <w:color w:val="auto"/>
          <w:spacing w:val="0"/>
          <w:sz w:val="32"/>
          <w:szCs w:val="32"/>
        </w:rPr>
        <w:t>出台有关配套管理措施，落实相关工作要求；财政部门要会同相关部门做好医保基金收支预算，加强基金财政专户管理，按照规定足额安排相关资金，保障市级统筹工作</w:t>
      </w:r>
      <w:r>
        <w:rPr>
          <w:rFonts w:hint="eastAsia"/>
          <w:color w:val="auto"/>
          <w:spacing w:val="0"/>
          <w:sz w:val="32"/>
          <w:szCs w:val="32"/>
          <w:lang w:val="en-US" w:eastAsia="zh-CN"/>
        </w:rPr>
        <w:t>所需的</w:t>
      </w:r>
      <w:r>
        <w:rPr>
          <w:rFonts w:hint="eastAsia"/>
          <w:color w:val="auto"/>
          <w:spacing w:val="0"/>
          <w:sz w:val="32"/>
          <w:szCs w:val="32"/>
        </w:rPr>
        <w:t>必要工作经费；税务部门要依法履行基本医疗保险费征缴职责，做好征收级次调整及征收工作；卫生健康部门要做好</w:t>
      </w:r>
      <w:r>
        <w:rPr>
          <w:rFonts w:hint="eastAsia"/>
          <w:color w:val="auto"/>
          <w:spacing w:val="0"/>
          <w:sz w:val="32"/>
          <w:szCs w:val="32"/>
          <w:lang w:val="en-US" w:eastAsia="zh-CN"/>
        </w:rPr>
        <w:t>城市</w:t>
      </w:r>
      <w:r>
        <w:rPr>
          <w:rFonts w:hint="eastAsia"/>
          <w:color w:val="auto"/>
          <w:spacing w:val="0"/>
          <w:sz w:val="32"/>
          <w:szCs w:val="32"/>
        </w:rPr>
        <w:t>医联体和县域医共体、家庭医生签约服务</w:t>
      </w:r>
      <w:r>
        <w:rPr>
          <w:rFonts w:hint="eastAsia"/>
          <w:color w:val="auto"/>
          <w:spacing w:val="0"/>
          <w:sz w:val="32"/>
          <w:szCs w:val="32"/>
          <w:lang w:val="en-US" w:eastAsia="zh-CN"/>
        </w:rPr>
        <w:t>等</w:t>
      </w:r>
      <w:r>
        <w:rPr>
          <w:rFonts w:hint="eastAsia"/>
          <w:color w:val="auto"/>
          <w:spacing w:val="0"/>
          <w:sz w:val="32"/>
          <w:szCs w:val="32"/>
        </w:rPr>
        <w:t>与市级统筹改革衔接工作；</w:t>
      </w:r>
      <w:r>
        <w:rPr>
          <w:color w:val="auto"/>
          <w:spacing w:val="0"/>
          <w:sz w:val="32"/>
          <w:szCs w:val="32"/>
        </w:rPr>
        <w:t>审计部门</w:t>
      </w:r>
      <w:r>
        <w:rPr>
          <w:rFonts w:hint="eastAsia"/>
          <w:color w:val="auto"/>
          <w:spacing w:val="0"/>
          <w:sz w:val="32"/>
          <w:szCs w:val="32"/>
          <w:lang w:val="en-US" w:eastAsia="zh-CN"/>
        </w:rPr>
        <w:t>要对</w:t>
      </w:r>
      <w:r>
        <w:rPr>
          <w:color w:val="auto"/>
          <w:spacing w:val="0"/>
          <w:sz w:val="32"/>
          <w:szCs w:val="32"/>
        </w:rPr>
        <w:t>统筹前全市各地医保基金</w:t>
      </w:r>
      <w:r>
        <w:rPr>
          <w:rFonts w:hint="eastAsia"/>
          <w:color w:val="auto"/>
          <w:spacing w:val="0"/>
          <w:sz w:val="32"/>
          <w:szCs w:val="32"/>
          <w:lang w:val="en-US" w:eastAsia="zh-CN"/>
        </w:rPr>
        <w:t>做好</w:t>
      </w:r>
      <w:r>
        <w:rPr>
          <w:color w:val="auto"/>
          <w:spacing w:val="0"/>
          <w:sz w:val="32"/>
          <w:szCs w:val="32"/>
        </w:rPr>
        <w:t>审计确认</w:t>
      </w:r>
      <w:r>
        <w:rPr>
          <w:rFonts w:hint="eastAsia"/>
          <w:color w:val="auto"/>
          <w:spacing w:val="0"/>
          <w:sz w:val="32"/>
          <w:szCs w:val="32"/>
          <w:lang w:val="en-US" w:eastAsia="zh-CN"/>
        </w:rPr>
        <w:t>；</w:t>
      </w:r>
      <w:r>
        <w:rPr>
          <w:rFonts w:hint="eastAsia"/>
          <w:color w:val="auto"/>
          <w:spacing w:val="0"/>
          <w:sz w:val="32"/>
          <w:szCs w:val="32"/>
        </w:rPr>
        <w:t>机构编制、民政、审计、市场监管、大数据管理、残联、</w:t>
      </w:r>
      <w:r>
        <w:rPr>
          <w:rFonts w:hint="eastAsia"/>
          <w:color w:val="FF0000"/>
          <w:spacing w:val="0"/>
          <w:sz w:val="32"/>
          <w:szCs w:val="32"/>
          <w:lang w:val="en-US" w:eastAsia="zh-CN"/>
        </w:rPr>
        <w:t>退役军人事务、</w:t>
      </w:r>
      <w:r>
        <w:rPr>
          <w:rFonts w:hint="eastAsia"/>
          <w:color w:val="auto"/>
          <w:spacing w:val="0"/>
          <w:sz w:val="32"/>
          <w:szCs w:val="32"/>
        </w:rPr>
        <w:t>银保监等部门单位按职责做好相关工作。</w:t>
      </w:r>
    </w:p>
    <w:p>
      <w:pPr>
        <w:pStyle w:val="2"/>
        <w:keepNext w:val="0"/>
        <w:keepLines w:val="0"/>
        <w:pageBreakBefore w:val="0"/>
        <w:widowControl w:val="0"/>
        <w:kinsoku/>
        <w:wordWrap/>
        <w:overflowPunct/>
        <w:topLinePunct w:val="0"/>
        <w:autoSpaceDE/>
        <w:autoSpaceDN/>
        <w:bidi w:val="0"/>
        <w:adjustRightInd/>
        <w:snapToGrid/>
        <w:spacing w:before="0" w:line="580" w:lineRule="exact"/>
        <w:ind w:left="0" w:right="0" w:firstLine="642"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w:t>
      </w:r>
      <w:r>
        <w:rPr>
          <w:rFonts w:hint="eastAsia" w:ascii="楷体_GB2312" w:hAnsi="楷体_GB2312" w:eastAsia="楷体_GB2312" w:cs="楷体_GB2312"/>
          <w:b/>
          <w:bCs/>
          <w:color w:val="auto"/>
          <w:spacing w:val="0"/>
          <w:sz w:val="32"/>
          <w:szCs w:val="32"/>
          <w:lang w:val="zh-CN" w:bidi="zh-CN"/>
        </w:rPr>
        <w:t>强化宣传引导。</w:t>
      </w:r>
      <w:r>
        <w:rPr>
          <w:rFonts w:hint="eastAsia" w:ascii="仿宋_GB2312" w:hAnsi="仿宋_GB2312" w:eastAsia="仿宋_GB2312" w:cs="仿宋_GB2312"/>
          <w:color w:val="auto"/>
          <w:spacing w:val="0"/>
          <w:sz w:val="32"/>
          <w:szCs w:val="32"/>
          <w:lang w:val="en-US"/>
        </w:rPr>
        <w:t>做实基本医疗保险市级统筹</w:t>
      </w:r>
      <w:r>
        <w:rPr>
          <w:rFonts w:hint="eastAsia" w:ascii="仿宋_GB2312" w:hAnsi="仿宋_GB2312" w:eastAsia="仿宋_GB2312" w:cs="仿宋_GB2312"/>
          <w:color w:val="auto"/>
          <w:spacing w:val="0"/>
          <w:sz w:val="32"/>
          <w:szCs w:val="32"/>
          <w:lang w:val="en-US" w:eastAsia="zh-CN"/>
        </w:rPr>
        <w:t>是提升民生保障水平的重要举措，市级相关部门、各</w:t>
      </w:r>
      <w:r>
        <w:rPr>
          <w:rFonts w:hint="eastAsia" w:ascii="仿宋_GB2312" w:hAnsi="仿宋_GB2312" w:eastAsia="仿宋_GB2312"/>
          <w:color w:val="auto"/>
          <w:sz w:val="32"/>
          <w:szCs w:val="32"/>
        </w:rPr>
        <w:t>县（市、区）政府</w:t>
      </w:r>
      <w:r>
        <w:rPr>
          <w:rFonts w:hint="eastAsia" w:ascii="仿宋_GB2312" w:hAnsi="仿宋_GB2312" w:eastAsia="仿宋_GB2312"/>
          <w:color w:val="auto"/>
          <w:sz w:val="32"/>
          <w:szCs w:val="32"/>
          <w:lang w:val="en-US" w:eastAsia="zh-CN"/>
        </w:rPr>
        <w:t>要加强政策宣传解读，做好</w:t>
      </w:r>
      <w:r>
        <w:rPr>
          <w:rFonts w:hint="eastAsia" w:ascii="仿宋_GB2312" w:hAnsi="Times New Roman" w:eastAsia="仿宋_GB2312" w:cs="Times New Roman"/>
          <w:color w:val="auto"/>
          <w:sz w:val="32"/>
          <w:szCs w:val="32"/>
        </w:rPr>
        <w:t>正面宣传和引导，</w:t>
      </w:r>
      <w:r>
        <w:rPr>
          <w:rFonts w:hint="eastAsia" w:ascii="仿宋_GB2312" w:hAnsi="Times New Roman" w:eastAsia="仿宋_GB2312" w:cs="Times New Roman"/>
          <w:color w:val="auto"/>
          <w:sz w:val="32"/>
          <w:szCs w:val="32"/>
          <w:lang w:val="en-US" w:eastAsia="zh-CN"/>
        </w:rPr>
        <w:t>将</w:t>
      </w:r>
      <w:r>
        <w:rPr>
          <w:rFonts w:hint="eastAsia" w:ascii="仿宋_GB2312" w:hAnsi="仿宋_GB2312" w:eastAsia="仿宋_GB2312" w:cs="仿宋_GB2312"/>
          <w:color w:val="auto"/>
          <w:spacing w:val="0"/>
          <w:sz w:val="32"/>
          <w:szCs w:val="32"/>
        </w:rPr>
        <w:t>提高</w:t>
      </w:r>
      <w:r>
        <w:rPr>
          <w:rFonts w:hint="eastAsia" w:ascii="仿宋_GB2312" w:hAnsi="仿宋_GB2312" w:eastAsia="仿宋_GB2312" w:cs="仿宋_GB2312"/>
          <w:color w:val="auto"/>
          <w:spacing w:val="0"/>
          <w:sz w:val="32"/>
          <w:szCs w:val="32"/>
          <w:lang w:val="en-US" w:eastAsia="zh-CN"/>
        </w:rPr>
        <w:t>医疗保险</w:t>
      </w:r>
      <w:r>
        <w:rPr>
          <w:rFonts w:hint="eastAsia" w:ascii="仿宋_GB2312" w:hAnsi="仿宋_GB2312" w:eastAsia="仿宋_GB2312" w:cs="仿宋_GB2312"/>
          <w:color w:val="auto"/>
          <w:spacing w:val="0"/>
          <w:sz w:val="32"/>
          <w:szCs w:val="32"/>
        </w:rPr>
        <w:t>政策知晓率</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kern w:val="2"/>
          <w:sz w:val="32"/>
          <w:szCs w:val="32"/>
        </w:rPr>
        <w:t>及时回应参保人员、定点医药机构</w:t>
      </w:r>
      <w:r>
        <w:rPr>
          <w:rFonts w:hint="eastAsia" w:ascii="仿宋_GB2312" w:hAnsi="仿宋_GB2312" w:eastAsia="仿宋_GB2312" w:cs="仿宋_GB2312"/>
          <w:color w:val="auto"/>
          <w:kern w:val="2"/>
          <w:sz w:val="32"/>
          <w:szCs w:val="32"/>
          <w:lang w:val="en-US" w:eastAsia="zh-CN"/>
        </w:rPr>
        <w:t>和</w:t>
      </w:r>
      <w:r>
        <w:rPr>
          <w:rFonts w:hint="eastAsia" w:ascii="仿宋_GB2312" w:hAnsi="仿宋_GB2312" w:eastAsia="仿宋_GB2312" w:cs="仿宋_GB2312"/>
          <w:color w:val="auto"/>
          <w:kern w:val="2"/>
          <w:sz w:val="32"/>
          <w:szCs w:val="32"/>
        </w:rPr>
        <w:t>社会各界</w:t>
      </w:r>
      <w:r>
        <w:rPr>
          <w:rFonts w:hint="eastAsia" w:ascii="仿宋_GB2312" w:hAnsi="仿宋_GB2312" w:eastAsia="仿宋_GB2312" w:cs="仿宋_GB2312"/>
          <w:color w:val="auto"/>
          <w:kern w:val="2"/>
          <w:sz w:val="32"/>
          <w:szCs w:val="32"/>
          <w:lang w:val="en-US" w:eastAsia="zh-CN"/>
        </w:rPr>
        <w:t>的</w:t>
      </w:r>
      <w:r>
        <w:rPr>
          <w:rFonts w:hint="eastAsia" w:ascii="仿宋_GB2312" w:hAnsi="仿宋_GB2312" w:eastAsia="仿宋_GB2312" w:cs="仿宋_GB2312"/>
          <w:color w:val="auto"/>
          <w:kern w:val="2"/>
          <w:sz w:val="32"/>
          <w:szCs w:val="32"/>
        </w:rPr>
        <w:t>关切，</w:t>
      </w:r>
      <w:r>
        <w:rPr>
          <w:rFonts w:hint="eastAsia" w:ascii="仿宋_GB2312" w:hAnsi="仿宋_GB2312" w:eastAsia="仿宋_GB2312" w:cs="仿宋_GB2312"/>
          <w:color w:val="auto"/>
          <w:sz w:val="32"/>
          <w:szCs w:val="32"/>
        </w:rPr>
        <w:t>凝聚社会共识，为平稳实施医疗保险市级统筹营造良好舆论氛围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确保基本医疗保险市级统筹工作顺利推进。</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Book Antiqua">
    <w:panose1 w:val="020406020503050303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62858339"/>
                          </w:sdtPr>
                          <w:sdtContent>
                            <w:p>
                              <w:pPr>
                                <w:pStyle w:val="4"/>
                                <w:jc w:val="center"/>
                              </w:pP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462858339"/>
                    </w:sdtPr>
                    <w:sdtContent>
                      <w:p>
                        <w:pPr>
                          <w:pStyle w:val="4"/>
                          <w:jc w:val="center"/>
                        </w:pP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86278"/>
    <w:multiLevelType w:val="singleLevel"/>
    <w:tmpl w:val="9A886278"/>
    <w:lvl w:ilvl="0" w:tentative="0">
      <w:start w:val="2"/>
      <w:numFmt w:val="decimal"/>
      <w:suff w:val="nothing"/>
      <w:lvlText w:val="（%1）"/>
      <w:lvlJc w:val="left"/>
    </w:lvl>
  </w:abstractNum>
  <w:abstractNum w:abstractNumId="1">
    <w:nsid w:val="B566A8B7"/>
    <w:multiLevelType w:val="singleLevel"/>
    <w:tmpl w:val="B566A8B7"/>
    <w:lvl w:ilvl="0" w:tentative="0">
      <w:start w:val="3"/>
      <w:numFmt w:val="decimal"/>
      <w:lvlText w:val="(%1)"/>
      <w:lvlJc w:val="left"/>
      <w:pPr>
        <w:tabs>
          <w:tab w:val="left" w:pos="312"/>
        </w:tabs>
      </w:pPr>
    </w:lvl>
  </w:abstractNum>
  <w:abstractNum w:abstractNumId="2">
    <w:nsid w:val="EFBD9E83"/>
    <w:multiLevelType w:val="singleLevel"/>
    <w:tmpl w:val="EFBD9E83"/>
    <w:lvl w:ilvl="0" w:tentative="0">
      <w:start w:val="3"/>
      <w:numFmt w:val="chineseCounting"/>
      <w:suff w:val="nothing"/>
      <w:lvlText w:val="（%1）"/>
      <w:lvlJc w:val="left"/>
      <w:rPr>
        <w:rFonts w:hint="eastAsia"/>
      </w:rPr>
    </w:lvl>
  </w:abstractNum>
  <w:abstractNum w:abstractNumId="3">
    <w:nsid w:val="03D62ECE"/>
    <w:multiLevelType w:val="multilevel"/>
    <w:tmpl w:val="03D62ECE"/>
    <w:lvl w:ilvl="0" w:tentative="0">
      <w:start w:val="1"/>
      <w:numFmt w:val="decimal"/>
      <w:lvlText w:val="%1."/>
      <w:lvlJc w:val="left"/>
      <w:pPr>
        <w:ind w:left="112" w:hanging="245"/>
        <w:jc w:val="left"/>
      </w:pPr>
      <w:rPr>
        <w:rFonts w:hint="default" w:ascii="Times New Roman" w:hAnsi="Times New Roman" w:eastAsia="Times New Roman" w:cs="Times New Roman"/>
        <w:spacing w:val="-4"/>
        <w:w w:val="101"/>
        <w:sz w:val="29"/>
        <w:szCs w:val="29"/>
        <w:lang w:val="zh-CN" w:eastAsia="zh-CN" w:bidi="zh-CN"/>
      </w:rPr>
    </w:lvl>
    <w:lvl w:ilvl="1" w:tentative="0">
      <w:start w:val="0"/>
      <w:numFmt w:val="bullet"/>
      <w:lvlText w:val="•"/>
      <w:lvlJc w:val="left"/>
      <w:pPr>
        <w:ind w:left="1033" w:hanging="245"/>
      </w:pPr>
      <w:rPr>
        <w:rFonts w:hint="default"/>
        <w:lang w:val="zh-CN" w:eastAsia="zh-CN" w:bidi="zh-CN"/>
      </w:rPr>
    </w:lvl>
    <w:lvl w:ilvl="2" w:tentative="0">
      <w:start w:val="0"/>
      <w:numFmt w:val="bullet"/>
      <w:lvlText w:val="•"/>
      <w:lvlJc w:val="left"/>
      <w:pPr>
        <w:ind w:left="1946" w:hanging="245"/>
      </w:pPr>
      <w:rPr>
        <w:rFonts w:hint="default"/>
        <w:lang w:val="zh-CN" w:eastAsia="zh-CN" w:bidi="zh-CN"/>
      </w:rPr>
    </w:lvl>
    <w:lvl w:ilvl="3" w:tentative="0">
      <w:start w:val="0"/>
      <w:numFmt w:val="bullet"/>
      <w:lvlText w:val="•"/>
      <w:lvlJc w:val="left"/>
      <w:pPr>
        <w:ind w:left="2859" w:hanging="245"/>
      </w:pPr>
      <w:rPr>
        <w:rFonts w:hint="default"/>
        <w:lang w:val="zh-CN" w:eastAsia="zh-CN" w:bidi="zh-CN"/>
      </w:rPr>
    </w:lvl>
    <w:lvl w:ilvl="4" w:tentative="0">
      <w:start w:val="0"/>
      <w:numFmt w:val="bullet"/>
      <w:lvlText w:val="•"/>
      <w:lvlJc w:val="left"/>
      <w:pPr>
        <w:ind w:left="3772" w:hanging="245"/>
      </w:pPr>
      <w:rPr>
        <w:rFonts w:hint="default"/>
        <w:lang w:val="zh-CN" w:eastAsia="zh-CN" w:bidi="zh-CN"/>
      </w:rPr>
    </w:lvl>
    <w:lvl w:ilvl="5" w:tentative="0">
      <w:start w:val="0"/>
      <w:numFmt w:val="bullet"/>
      <w:lvlText w:val="•"/>
      <w:lvlJc w:val="left"/>
      <w:pPr>
        <w:ind w:left="4685" w:hanging="245"/>
      </w:pPr>
      <w:rPr>
        <w:rFonts w:hint="default"/>
        <w:lang w:val="zh-CN" w:eastAsia="zh-CN" w:bidi="zh-CN"/>
      </w:rPr>
    </w:lvl>
    <w:lvl w:ilvl="6" w:tentative="0">
      <w:start w:val="0"/>
      <w:numFmt w:val="bullet"/>
      <w:lvlText w:val="•"/>
      <w:lvlJc w:val="left"/>
      <w:pPr>
        <w:ind w:left="5598" w:hanging="245"/>
      </w:pPr>
      <w:rPr>
        <w:rFonts w:hint="default"/>
        <w:lang w:val="zh-CN" w:eastAsia="zh-CN" w:bidi="zh-CN"/>
      </w:rPr>
    </w:lvl>
    <w:lvl w:ilvl="7" w:tentative="0">
      <w:start w:val="0"/>
      <w:numFmt w:val="bullet"/>
      <w:lvlText w:val="•"/>
      <w:lvlJc w:val="left"/>
      <w:pPr>
        <w:ind w:left="6511" w:hanging="245"/>
      </w:pPr>
      <w:rPr>
        <w:rFonts w:hint="default"/>
        <w:lang w:val="zh-CN" w:eastAsia="zh-CN" w:bidi="zh-CN"/>
      </w:rPr>
    </w:lvl>
    <w:lvl w:ilvl="8" w:tentative="0">
      <w:start w:val="0"/>
      <w:numFmt w:val="bullet"/>
      <w:lvlText w:val="•"/>
      <w:lvlJc w:val="left"/>
      <w:pPr>
        <w:ind w:left="7424" w:hanging="245"/>
      </w:pPr>
      <w:rPr>
        <w:rFonts w:hint="default"/>
        <w:lang w:val="zh-CN" w:eastAsia="zh-CN" w:bidi="zh-CN"/>
      </w:rPr>
    </w:lvl>
  </w:abstractNum>
  <w:abstractNum w:abstractNumId="4">
    <w:nsid w:val="4869B363"/>
    <w:multiLevelType w:val="singleLevel"/>
    <w:tmpl w:val="4869B363"/>
    <w:lvl w:ilvl="0" w:tentative="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41CF2"/>
    <w:rsid w:val="00016CD4"/>
    <w:rsid w:val="00053746"/>
    <w:rsid w:val="000D4EA7"/>
    <w:rsid w:val="00162375"/>
    <w:rsid w:val="00192A75"/>
    <w:rsid w:val="001D49ED"/>
    <w:rsid w:val="001F3BD6"/>
    <w:rsid w:val="0021650C"/>
    <w:rsid w:val="0022597B"/>
    <w:rsid w:val="0022651B"/>
    <w:rsid w:val="00240155"/>
    <w:rsid w:val="002844FA"/>
    <w:rsid w:val="002931BE"/>
    <w:rsid w:val="002C28AF"/>
    <w:rsid w:val="002C4AB4"/>
    <w:rsid w:val="002C5742"/>
    <w:rsid w:val="00300018"/>
    <w:rsid w:val="00310033"/>
    <w:rsid w:val="003140E2"/>
    <w:rsid w:val="003159E8"/>
    <w:rsid w:val="0034569A"/>
    <w:rsid w:val="003871A2"/>
    <w:rsid w:val="003D067C"/>
    <w:rsid w:val="0040005E"/>
    <w:rsid w:val="004262DB"/>
    <w:rsid w:val="00427FBA"/>
    <w:rsid w:val="00472CFF"/>
    <w:rsid w:val="00496AEE"/>
    <w:rsid w:val="004B59A7"/>
    <w:rsid w:val="004D1D8C"/>
    <w:rsid w:val="004D73DD"/>
    <w:rsid w:val="005C284D"/>
    <w:rsid w:val="005C377D"/>
    <w:rsid w:val="005D7FCB"/>
    <w:rsid w:val="005E0968"/>
    <w:rsid w:val="005E5A2F"/>
    <w:rsid w:val="00632BD9"/>
    <w:rsid w:val="00641FBE"/>
    <w:rsid w:val="006751D3"/>
    <w:rsid w:val="006D2FFF"/>
    <w:rsid w:val="006F39EC"/>
    <w:rsid w:val="00702FE7"/>
    <w:rsid w:val="00730297"/>
    <w:rsid w:val="007449F4"/>
    <w:rsid w:val="00753D87"/>
    <w:rsid w:val="007603D5"/>
    <w:rsid w:val="007E4345"/>
    <w:rsid w:val="007F07C9"/>
    <w:rsid w:val="00837745"/>
    <w:rsid w:val="008422C5"/>
    <w:rsid w:val="00847E92"/>
    <w:rsid w:val="00857349"/>
    <w:rsid w:val="00864376"/>
    <w:rsid w:val="00896794"/>
    <w:rsid w:val="008C15CB"/>
    <w:rsid w:val="008F471B"/>
    <w:rsid w:val="00904A0F"/>
    <w:rsid w:val="00943A9B"/>
    <w:rsid w:val="009739A7"/>
    <w:rsid w:val="009A107E"/>
    <w:rsid w:val="00A02B36"/>
    <w:rsid w:val="00A11026"/>
    <w:rsid w:val="00A3713B"/>
    <w:rsid w:val="00A416FA"/>
    <w:rsid w:val="00A52BCF"/>
    <w:rsid w:val="00A60E1D"/>
    <w:rsid w:val="00A62F34"/>
    <w:rsid w:val="00AB526E"/>
    <w:rsid w:val="00B16FF9"/>
    <w:rsid w:val="00B41F14"/>
    <w:rsid w:val="00B427BA"/>
    <w:rsid w:val="00B56986"/>
    <w:rsid w:val="00B64CA6"/>
    <w:rsid w:val="00B82820"/>
    <w:rsid w:val="00B9148A"/>
    <w:rsid w:val="00BD1D9B"/>
    <w:rsid w:val="00BD5A78"/>
    <w:rsid w:val="00C262F8"/>
    <w:rsid w:val="00C4608E"/>
    <w:rsid w:val="00C52ACF"/>
    <w:rsid w:val="00C6683F"/>
    <w:rsid w:val="00C71D5F"/>
    <w:rsid w:val="00CA7AB6"/>
    <w:rsid w:val="00CD4E69"/>
    <w:rsid w:val="00CF562D"/>
    <w:rsid w:val="00D30CC2"/>
    <w:rsid w:val="00D44F53"/>
    <w:rsid w:val="00DB4DE3"/>
    <w:rsid w:val="00DB61F7"/>
    <w:rsid w:val="00E1634B"/>
    <w:rsid w:val="00E73321"/>
    <w:rsid w:val="00F149ED"/>
    <w:rsid w:val="00F2606D"/>
    <w:rsid w:val="00F831D9"/>
    <w:rsid w:val="00F93EA1"/>
    <w:rsid w:val="01FD481B"/>
    <w:rsid w:val="02E054B6"/>
    <w:rsid w:val="053848FB"/>
    <w:rsid w:val="06462B29"/>
    <w:rsid w:val="088A4CD3"/>
    <w:rsid w:val="09F402A8"/>
    <w:rsid w:val="0A5C6CBC"/>
    <w:rsid w:val="0B1A2AA4"/>
    <w:rsid w:val="0B38578F"/>
    <w:rsid w:val="0BC80C01"/>
    <w:rsid w:val="0CEA6935"/>
    <w:rsid w:val="0DD3384D"/>
    <w:rsid w:val="102959A9"/>
    <w:rsid w:val="10661F86"/>
    <w:rsid w:val="120307B6"/>
    <w:rsid w:val="13073AC9"/>
    <w:rsid w:val="152E1538"/>
    <w:rsid w:val="16473982"/>
    <w:rsid w:val="16E26A8D"/>
    <w:rsid w:val="17852ADD"/>
    <w:rsid w:val="19613AFF"/>
    <w:rsid w:val="1D3D1342"/>
    <w:rsid w:val="1D5F0FAE"/>
    <w:rsid w:val="1D9B4738"/>
    <w:rsid w:val="1DF16C9F"/>
    <w:rsid w:val="1E13559E"/>
    <w:rsid w:val="1E591075"/>
    <w:rsid w:val="1EE16D98"/>
    <w:rsid w:val="1EF56B59"/>
    <w:rsid w:val="20C00805"/>
    <w:rsid w:val="230E27C6"/>
    <w:rsid w:val="256D6844"/>
    <w:rsid w:val="266573F1"/>
    <w:rsid w:val="28952F36"/>
    <w:rsid w:val="28BF7855"/>
    <w:rsid w:val="28C8315E"/>
    <w:rsid w:val="2BE57602"/>
    <w:rsid w:val="2D0D7625"/>
    <w:rsid w:val="2E276C8B"/>
    <w:rsid w:val="304624B8"/>
    <w:rsid w:val="31FF5A6C"/>
    <w:rsid w:val="32E73436"/>
    <w:rsid w:val="33522786"/>
    <w:rsid w:val="33B448B6"/>
    <w:rsid w:val="34297B78"/>
    <w:rsid w:val="34BB764B"/>
    <w:rsid w:val="35C113F7"/>
    <w:rsid w:val="35D56125"/>
    <w:rsid w:val="35DC18C7"/>
    <w:rsid w:val="364E2426"/>
    <w:rsid w:val="378337AA"/>
    <w:rsid w:val="37DD7F65"/>
    <w:rsid w:val="386737E8"/>
    <w:rsid w:val="38E52EAA"/>
    <w:rsid w:val="393F5226"/>
    <w:rsid w:val="39C57419"/>
    <w:rsid w:val="39EE3BCB"/>
    <w:rsid w:val="3B720266"/>
    <w:rsid w:val="3D700480"/>
    <w:rsid w:val="3DF04DA5"/>
    <w:rsid w:val="40464AA3"/>
    <w:rsid w:val="40CE5D2E"/>
    <w:rsid w:val="41395786"/>
    <w:rsid w:val="413F04A2"/>
    <w:rsid w:val="43A65908"/>
    <w:rsid w:val="44A760DB"/>
    <w:rsid w:val="4D0F0313"/>
    <w:rsid w:val="4D48300C"/>
    <w:rsid w:val="4D657FD2"/>
    <w:rsid w:val="4D7E4929"/>
    <w:rsid w:val="4E294C30"/>
    <w:rsid w:val="4F7E09D7"/>
    <w:rsid w:val="5711531F"/>
    <w:rsid w:val="58A62A12"/>
    <w:rsid w:val="58F85214"/>
    <w:rsid w:val="5CF507D1"/>
    <w:rsid w:val="5D201084"/>
    <w:rsid w:val="5DFE5948"/>
    <w:rsid w:val="5E325702"/>
    <w:rsid w:val="5F042853"/>
    <w:rsid w:val="638E5F08"/>
    <w:rsid w:val="63A53B9E"/>
    <w:rsid w:val="64CA39FC"/>
    <w:rsid w:val="653900DE"/>
    <w:rsid w:val="658A760C"/>
    <w:rsid w:val="66DA1FD1"/>
    <w:rsid w:val="6711006B"/>
    <w:rsid w:val="671A27EE"/>
    <w:rsid w:val="67C46E5B"/>
    <w:rsid w:val="683138C0"/>
    <w:rsid w:val="6C0831B2"/>
    <w:rsid w:val="6D667F05"/>
    <w:rsid w:val="6D6B591F"/>
    <w:rsid w:val="6DB161BA"/>
    <w:rsid w:val="6E3609DA"/>
    <w:rsid w:val="6EE57D0C"/>
    <w:rsid w:val="6F5921A6"/>
    <w:rsid w:val="7155284E"/>
    <w:rsid w:val="71865033"/>
    <w:rsid w:val="71D67254"/>
    <w:rsid w:val="73411041"/>
    <w:rsid w:val="73551E7A"/>
    <w:rsid w:val="75511690"/>
    <w:rsid w:val="760665FA"/>
    <w:rsid w:val="76787A51"/>
    <w:rsid w:val="77FB3D69"/>
    <w:rsid w:val="7A763C5E"/>
    <w:rsid w:val="7AF41CF2"/>
    <w:rsid w:val="7B9E67F8"/>
    <w:rsid w:val="7CEB5554"/>
    <w:rsid w:val="7D0B2258"/>
    <w:rsid w:val="7EF784BC"/>
    <w:rsid w:val="BEF38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1"/>
      <w:szCs w:val="31"/>
      <w:lang w:val="zh-CN" w:eastAsia="zh-CN" w:bidi="zh-CN"/>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customStyle="1" w:styleId="9">
    <w:name w:val="页眉 Char"/>
    <w:basedOn w:val="7"/>
    <w:link w:val="5"/>
    <w:qFormat/>
    <w:uiPriority w:val="0"/>
    <w:rPr>
      <w:rFonts w:asciiTheme="minorHAnsi" w:hAnsiTheme="minorHAnsi" w:eastAsiaTheme="minorEastAsia" w:cstheme="minorBidi"/>
      <w:kern w:val="2"/>
      <w:sz w:val="18"/>
      <w:szCs w:val="18"/>
    </w:rPr>
  </w:style>
  <w:style w:type="character" w:customStyle="1" w:styleId="10">
    <w:name w:val="页脚 Char"/>
    <w:basedOn w:val="7"/>
    <w:link w:val="4"/>
    <w:qFormat/>
    <w:uiPriority w:val="99"/>
    <w:rPr>
      <w:rFonts w:asciiTheme="minorHAnsi" w:hAnsiTheme="minorHAnsi" w:eastAsiaTheme="minorEastAsia" w:cstheme="minorBidi"/>
      <w:kern w:val="2"/>
      <w:sz w:val="18"/>
      <w:szCs w:val="18"/>
    </w:rPr>
  </w:style>
  <w:style w:type="character" w:customStyle="1" w:styleId="11">
    <w:name w:val="批注框文本 Char"/>
    <w:basedOn w:val="7"/>
    <w:link w:val="3"/>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686</Words>
  <Characters>3916</Characters>
  <Lines>32</Lines>
  <Paragraphs>9</Paragraphs>
  <TotalTime>8</TotalTime>
  <ScaleCrop>false</ScaleCrop>
  <LinksUpToDate>false</LinksUpToDate>
  <CharactersWithSpaces>4593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2020-05-07T10:18:00Z</dcterms:created>
  <dc:creator>河清</dc:creator>
  <cp:lastModifiedBy>unis</cp:lastModifiedBy>
  <cp:lastPrinted>2021-08-03T13:32:00Z</cp:lastPrinted>
  <dcterms:modified xsi:type="dcterms:W3CDTF">2021-09-17T11:56:17Z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9A050CA1092E41A78C70E95295E61D48</vt:lpwstr>
  </property>
</Properties>
</file>