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方正小标宋简体" w:hAnsi="方正小标宋简体" w:eastAsia="方正小标宋简体" w:cs="方正小标宋简体"/>
          <w:i w:val="0"/>
          <w:iCs w:val="0"/>
          <w:color w:val="000000"/>
          <w:kern w:val="0"/>
          <w:sz w:val="30"/>
          <w:szCs w:val="30"/>
          <w:u w:val="none"/>
          <w:lang w:val="en-US" w:eastAsia="zh-CN" w:bidi="ar"/>
        </w:rPr>
      </w:pPr>
      <w:bookmarkStart w:id="0" w:name="_GoBack"/>
      <w:bookmarkEnd w:id="0"/>
      <w:r>
        <w:rPr>
          <w:rFonts w:hint="eastAsia" w:ascii="方正小标宋简体" w:hAnsi="方正小标宋简体" w:eastAsia="方正小标宋简体" w:cs="方正小标宋简体"/>
          <w:i w:val="0"/>
          <w:iCs w:val="0"/>
          <w:color w:val="000000"/>
          <w:kern w:val="0"/>
          <w:sz w:val="30"/>
          <w:szCs w:val="30"/>
          <w:u w:val="none"/>
          <w:lang w:val="en-US" w:eastAsia="zh-CN" w:bidi="ar"/>
        </w:rPr>
        <w:t>附件1</w:t>
      </w:r>
    </w:p>
    <w:tbl>
      <w:tblPr>
        <w:tblStyle w:val="2"/>
        <w:tblW w:w="12434" w:type="dxa"/>
        <w:jc w:val="center"/>
        <w:shd w:val="clear" w:color="auto" w:fill="auto"/>
        <w:tblLayout w:type="fixed"/>
        <w:tblCellMar>
          <w:top w:w="0" w:type="dxa"/>
          <w:left w:w="108" w:type="dxa"/>
          <w:bottom w:w="0" w:type="dxa"/>
          <w:right w:w="108" w:type="dxa"/>
        </w:tblCellMar>
      </w:tblPr>
      <w:tblGrid>
        <w:gridCol w:w="2"/>
        <w:gridCol w:w="755"/>
        <w:gridCol w:w="5673"/>
        <w:gridCol w:w="1910"/>
        <w:gridCol w:w="2207"/>
        <w:gridCol w:w="1887"/>
      </w:tblGrid>
      <w:tr>
        <w:tblPrEx>
          <w:shd w:val="clear" w:color="auto" w:fill="auto"/>
          <w:tblCellMar>
            <w:top w:w="0" w:type="dxa"/>
            <w:left w:w="108" w:type="dxa"/>
            <w:bottom w:w="0" w:type="dxa"/>
            <w:right w:w="108" w:type="dxa"/>
          </w:tblCellMar>
        </w:tblPrEx>
        <w:trPr>
          <w:gridBefore w:val="1"/>
          <w:wBefore w:w="2" w:type="dxa"/>
          <w:trHeight w:val="860" w:hRule="atLeast"/>
          <w:jc w:val="center"/>
        </w:trPr>
        <w:tc>
          <w:tcPr>
            <w:tcW w:w="1243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继续有效的行政规范性文件目录</w:t>
            </w:r>
          </w:p>
        </w:tc>
      </w:tr>
      <w:tr>
        <w:tblPrEx>
          <w:tblCellMar>
            <w:top w:w="0" w:type="dxa"/>
            <w:left w:w="108" w:type="dxa"/>
            <w:bottom w:w="0" w:type="dxa"/>
            <w:right w:w="108" w:type="dxa"/>
          </w:tblCellMar>
        </w:tblPrEx>
        <w:trPr>
          <w:trHeight w:val="422"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文件名称</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统一编号</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关于做好城镇职工基本医疗保险、生育保险若干问题的通知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(2011) 94号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关于基本医疗保险、工伤保险和生育保险药品限定支付的通知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丽人社 </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(2011) 99号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丽水市发改委关于公布市级公立医院综合改革医药价格调整实施方案的通知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〔2013〕515号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ZJKC02-2013-0035</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4</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关于规范市直公立医院开展特需医疗服务管理的通知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［2014］345号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ZJKC02-2014-0003</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关于非公立医疗机构医疗服务实行市场调节价有关问题的通知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［2014］121号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ZJKC02-2014-0006</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丽水市发改委关于救护车转送病人相关服务收费的批复</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〔2014〕306号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ZJKC02-2014-0013</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651"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关于在丽水市中心医院等三家医院开展中药配方颗粒剂纳入基本医疗保险支付范围试点工作的通知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〔2015〕212号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关于云和县民营医疗综合改革试点方案的批复</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丽发改综改〔2015〕247号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ZJKC02-2015-0024</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关于缙云县进一步鼓励民营医疗机构发展的实施方案的批复</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丽发改综改〔2015〕272号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ZJKC02-2015-0035</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丽水市人力资源和社会保障局 财政局关于进一步完善职工基本医疗保险个人账户有关政策的通知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〔2016〕183号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ZJKC13-2016-0006</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关于调整和完善部分医疗服务项目及价格的通知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丽发改费管〔2016〕310号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ZJKC02-2016-0017</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关于核定丽水市人民医院新增综合病区普通病房床位费的通知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丽发改费管〔2016〕312号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ZJKC02-2016-0018</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关于公布基本医疗保险付费按病种结算第二批试点病种及支付标准的通知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〔2017〕38号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关于开展日间手术医保结算试点及按病种付费工作的通知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〔2017〕212号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ZJKC13-2017-0005</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关于丽水市生育保险若干问题的通知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〔2017〕276号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ZJKC13-2015-0018</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关于调整儿童医疗服务项目价格的通知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丽发改费管〔2017〕118号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Style w:val="4"/>
                <w:rFonts w:hint="eastAsia" w:ascii="仿宋_GB2312" w:hAnsi="仿宋_GB2312" w:eastAsia="仿宋_GB2312" w:cs="仿宋_GB2312"/>
                <w:sz w:val="24"/>
                <w:szCs w:val="24"/>
                <w:lang w:val="en-US" w:eastAsia="zh-CN" w:bidi="ar"/>
              </w:rPr>
              <w:t>ZJKC02-2017-0008</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关于丽水市基本医疗保险个人账户购买商业健康保险工作有关事项的通知 </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〔2018〕151号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ZJKC13-2018-0003</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关于基本医疗保险慢性病医疗有关问题的通知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〔2018〕165号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ZJKC13-2018-0004 </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关于调整市本级生育保险缴费比例的通知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〔2018〕174号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ZJKC13-2018-0005 </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关于下达2018年市本级离休干部“两费”保障经费征收标准的通知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〔2018〕214号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5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关于临时性降低市本级社会保险费的通知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丽人社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〔2018〕269号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ZJKC13-2018-0014</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转发浙江省物价局浙江省卫生计生委浙江省人力资源和社会保障厅关于新增和完善部分医疗服务项目价格等有关事项的通知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丽发改费管〔2018〕9号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ZJKC02-2018-0001</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关于调整丽水市社区卫生医疗服务价格的通知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丽发改费管〔2018〕84号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ZJKC02-2018-0004</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丽水市发改委等4部门关于丽水市公立医院实施首轮医疗服务价格调整等有关事项的通知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丽发改费管〔2018〕557号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4"/>
                <w:rFonts w:hint="eastAsia" w:ascii="仿宋_GB2312" w:hAnsi="仿宋_GB2312" w:eastAsia="仿宋_GB2312" w:cs="仿宋_GB2312"/>
                <w:sz w:val="24"/>
                <w:szCs w:val="24"/>
                <w:lang w:val="en-US" w:eastAsia="zh-CN" w:bidi="ar"/>
              </w:rPr>
              <w:t>ZJKC02-2018-0015</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机构改革前</w:t>
            </w: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5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丽水市医疗保障局关于印发《丽水市基本医疗保险定点医药机构协议管理办法》</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〔2019〕12号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ZJKC73-2019-0001</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55"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丽水市医疗保障局《关于落实苯丙酮尿症特殊治疗食品医疗保障工作的通知》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〔2019〕24号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ZJKC73-2019-0002</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624"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丽水市医疗保障局关于印发《丽水市基本医疗保险非正常疾病核查服务外包评价标准》的通知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〔2019〕27号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ZJKC73-2019-0003</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丽水市卫生健康委员会关于落实2019年城乡居民基本医疗保障有关工作要求的通知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〔2019〕41号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ZJKC73-2019-0004</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丽水市卫生健康委关于落实丙型肝炎（抗病毒治疗）门诊医疗费用按病种支付的通知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〔2019〕42号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ZJKC73-2019-0005</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167"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 丽水市人力资源和社会保障局 丽水市市场监督管理局关于印发《丽水市县域医共体支付方式改革实施方案》的通知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〔2019〕43号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ZJKC73-2019-0006</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丽水市医疗保障局丽水市人力资源和社会保障局丽水市财政局国家税务总局丽水市税务局《关于做好2020年度社会保险职工缴费基数申报工作的通知》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〔2019〕54号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ZJKC73-2019-0007</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丽水市医疗保障局丽水市财政局《关于驻丽部队现役军人医疗保障待遇的通知》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w:t>
            </w:r>
            <w:r>
              <w:rPr>
                <w:rStyle w:val="4"/>
                <w:rFonts w:hint="eastAsia" w:ascii="仿宋_GB2312" w:hAnsi="仿宋_GB2312" w:eastAsia="仿宋_GB2312" w:cs="仿宋_GB2312"/>
                <w:sz w:val="24"/>
                <w:szCs w:val="24"/>
                <w:lang w:val="en-US" w:eastAsia="zh-CN" w:bidi="ar"/>
              </w:rPr>
              <w:t>56号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ZJKC73-2019-0008</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丽水市医疗保障局、丽水市人力资源和社会保障局、丽水市财政局、国家税务总局丽水市税务局《关于推进生育保险和职工基本医疗保险合并实施的通知》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〔2019〕58</w:t>
            </w:r>
            <w:r>
              <w:rPr>
                <w:rStyle w:val="4"/>
                <w:rFonts w:hint="eastAsia" w:ascii="仿宋_GB2312" w:hAnsi="仿宋_GB2312" w:eastAsia="仿宋_GB2312" w:cs="仿宋_GB2312"/>
                <w:sz w:val="24"/>
                <w:szCs w:val="24"/>
                <w:lang w:val="en-US" w:eastAsia="zh-CN" w:bidi="ar"/>
              </w:rPr>
              <w:t>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ZJKC73-2019-0009</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《丽水市医疗保障局丽水市财政局关于完善城乡居民医疗保障待遇的通知》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〔2019〕67号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ZJKC73-2019-0010</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丽水市医疗保障局丽水市财政局丽水卫生健康委《关于完善部分医疗保障结算工作要求的通知》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〔2019〕69号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ZJKC73-2019-0011</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丽水市医疗保障局丽水市财政局丽水市卫生健康委关于印发《丽水市基本医疗保险住院费用DRGs点数付费办法实施细则（暂行）》的通知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〔2019〕68号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ZJKC73-2019-0012</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关于印发《丽水市市级公立医院医疗服务价格调整方案》的通知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〔2019〕70号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ZJKC73-2019-0013</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丽水市医疗保障局关于落实《国家基本医疗保险、工伤保险和生育保险药品目录（2019年版）》和2019年国家医保谈判药品有关工作的通知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〔2020〕28号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ZJKC73-2020-0001</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丽水市卫生健康委员会 丽水市民政局《关于落实罕见病用药保障工作的通知》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〔2020〕25号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ZJKC73-2020-0002</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关于确定2020年度全市基本医保统筹基金总额预算方案的通知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〔2020〕42号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ZJKC73-2020-0003</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丽水市医疗保障局 丽水市财政局关于公布2021年丽水市城乡居民基本医疗保险筹资标准的通知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〔2020〕91号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ZJKC73-2020-0004</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丽水市医疗保障局丽水市财政局丽水市卫生健康委关于《丽水市基本医疗保险门诊按人头付费结算实施意见（试行）》的通知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〔2020〕93号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ZJKC73-2020-0005</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丽水市医疗保障局丽水市财政局丽水市卫生健康委关于进一步做好特殊病种门诊结算服务的通知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〔2020〕98号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ZJKC73-2020-0006</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丽水市卫生健康委员会关于调整大病保险政策的通知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〔2021〕3号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ZJKC73-2021-0001</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丽水市医疗保障局关于调整我市肿瘤全身断层显像价格的通知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〔2021〕46号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ZJKC73-2021-0002</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8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丽水市卫生健康委员会关于公布新增医疗服务价格项目试行价格的通知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〔2021〕47号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ZJKC73-2021-0003</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7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 丽水市卫生健康委员会 国家税务总局丽水市税务局关于印发丽水市全民医疗保险实施细则（修订）的通知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〔2021〕48号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ZJKC73-2021-0004</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98" w:hRule="atLeast"/>
          <w:jc w:val="center"/>
        </w:trPr>
        <w:tc>
          <w:tcPr>
            <w:tcW w:w="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丽水市医疗保障局 丽水市财政局丽水市卫生健康委员会关于调整大病保险起付标准的通知</w:t>
            </w:r>
          </w:p>
        </w:tc>
        <w:tc>
          <w:tcPr>
            <w:tcW w:w="1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丽医保发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〔2021〕49号</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ZJKC73-2021-0005</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iCs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8873842-1B5E-44E8-AD7E-1E7FCFB11B22}"/>
  </w:font>
  <w:font w:name="方正小标宋简体">
    <w:panose1 w:val="02000000000000000000"/>
    <w:charset w:val="86"/>
    <w:family w:val="auto"/>
    <w:pitch w:val="default"/>
    <w:sig w:usb0="00000001" w:usb1="08000000" w:usb2="00000000" w:usb3="00000000" w:csb0="00040000" w:csb1="00000000"/>
    <w:embedRegular r:id="rId2" w:fontKey="{D226B4C2-CA58-453B-B47C-9AB2E6FAF6C2}"/>
  </w:font>
  <w:font w:name="仿宋_GB2312">
    <w:panose1 w:val="02010609030101010101"/>
    <w:charset w:val="86"/>
    <w:family w:val="auto"/>
    <w:pitch w:val="default"/>
    <w:sig w:usb0="00000001" w:usb1="080E0000" w:usb2="00000000" w:usb3="00000000" w:csb0="00040000" w:csb1="00000000"/>
    <w:embedRegular r:id="rId3" w:fontKey="{1EEE8D86-0FFC-4D45-BC18-9B0691F9AD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6CB54EE2"/>
    <w:rsid w:val="1DE70F06"/>
    <w:rsid w:val="6CB5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2021-11-03T03:24:00Z</dcterms:created>
  <dc:creator>谭雪梅</dc:creator>
  <cp:lastModifiedBy>Icarus</cp:lastModifiedBy>
  <dcterms:modified xsi:type="dcterms:W3CDTF">2024-02-22T02:01:17Z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D0E26B17F2454EBEAE73E480F88DCEA0_12</vt:lpwstr>
  </property>
</Properties>
</file>