
<file path=[Content_Types].xml><?xml version="1.0" encoding="utf-8"?>
<Types xmlns="http://schemas.openxmlformats.org/package/2006/content-types">
  <Default Extension="xml" ContentType="application/xml"/>
  <Default Extension="emf" ContentType="image/x-emf"/>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3311</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浙江省丽水市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农药包装废弃物安全回收技术规程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丽水市市场监督管理局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91"/>
        <w:spacing w:after="468"/>
      </w:pPr>
      <w:bookmarkStart w:id="21" w:name="BookMark1"/>
      <w:r>
        <w:rPr>
          <w:spacing w:val="320"/>
        </w:rPr>
        <w:t>目</w:t>
      </w:r>
      <w:r>
        <w:t>次</w:t>
      </w:r>
    </w:p>
    <w:p>
      <w:pPr>
        <w:pStyle w:val="19"/>
        <w:tabs>
          <w:tab w:val="right" w:leader="dot" w:pos="9354"/>
        </w:tabs>
      </w:pPr>
      <w:r>
        <w:fldChar w:fldCharType="begin"/>
      </w:r>
      <w:r>
        <w:instrText xml:space="preserve"> TOC \o "1-1" \h \t "标准文件_一级条标题,2,标准文件_附录一级条标题,2," </w:instrText>
      </w:r>
      <w:r>
        <w:fldChar w:fldCharType="separate"/>
      </w:r>
      <w:r>
        <w:fldChar w:fldCharType="begin"/>
      </w:r>
      <w:r>
        <w:instrText xml:space="preserve"> HYPERLINK \l _Toc16863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_Toc16863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_Toc10750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_Toc10750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_Toc24888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_Toc24888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_Toc6904 </w:instrText>
      </w:r>
      <w:r>
        <w:fldChar w:fldCharType="separate"/>
      </w:r>
      <w:r>
        <w:rPr>
          <w:rFonts w:hint="eastAsia" w:ascii="黑体" w:eastAsia="黑体"/>
          <w:i w:val="0"/>
        </w:rPr>
        <w:t xml:space="preserve">4 </w:t>
      </w:r>
      <w:r>
        <w:rPr>
          <w:rFonts w:hint="eastAsia"/>
          <w:lang w:eastAsia="zh-CN"/>
        </w:rPr>
        <w:t>回收点设置</w:t>
      </w:r>
      <w:r>
        <w:tab/>
      </w:r>
      <w:r>
        <w:fldChar w:fldCharType="begin"/>
      </w:r>
      <w:r>
        <w:instrText xml:space="preserve"> PAGEREF _Toc6904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_Toc1246 </w:instrText>
      </w:r>
      <w:r>
        <w:fldChar w:fldCharType="separate"/>
      </w:r>
      <w:r>
        <w:rPr>
          <w:rFonts w:hint="eastAsia" w:ascii="黑体" w:eastAsia="黑体"/>
          <w:i w:val="0"/>
        </w:rPr>
        <w:t xml:space="preserve">5 </w:t>
      </w:r>
      <w:r>
        <w:rPr>
          <w:rFonts w:hint="eastAsia"/>
          <w:lang w:eastAsia="zh-CN"/>
        </w:rPr>
        <w:t>回收登记</w:t>
      </w:r>
      <w:r>
        <w:tab/>
      </w:r>
      <w:r>
        <w:fldChar w:fldCharType="begin"/>
      </w:r>
      <w:r>
        <w:instrText xml:space="preserve"> PAGEREF _Toc1246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_Toc8558 </w:instrText>
      </w:r>
      <w:r>
        <w:fldChar w:fldCharType="separate"/>
      </w:r>
      <w:r>
        <w:rPr>
          <w:rFonts w:hint="eastAsia" w:ascii="黑体" w:eastAsia="黑体"/>
          <w:i w:val="0"/>
        </w:rPr>
        <w:t xml:space="preserve">6 </w:t>
      </w:r>
      <w:r>
        <w:rPr>
          <w:rFonts w:hint="eastAsia"/>
          <w:lang w:eastAsia="zh-CN"/>
        </w:rPr>
        <w:t>分类储放</w:t>
      </w:r>
      <w:r>
        <w:tab/>
      </w:r>
      <w:r>
        <w:fldChar w:fldCharType="begin"/>
      </w:r>
      <w:r>
        <w:instrText xml:space="preserve"> PAGEREF _Toc8558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_Toc7651 </w:instrText>
      </w:r>
      <w:r>
        <w:fldChar w:fldCharType="separate"/>
      </w:r>
      <w:r>
        <w:rPr>
          <w:rFonts w:hint="eastAsia" w:ascii="黑体" w:eastAsia="黑体"/>
          <w:i w:val="0"/>
        </w:rPr>
        <w:t xml:space="preserve">7 </w:t>
      </w:r>
      <w:r>
        <w:rPr>
          <w:rFonts w:hint="eastAsia"/>
          <w:lang w:eastAsia="zh-CN"/>
        </w:rPr>
        <w:t>储放场所</w:t>
      </w:r>
      <w:r>
        <w:tab/>
      </w:r>
      <w:r>
        <w:fldChar w:fldCharType="begin"/>
      </w:r>
      <w:r>
        <w:instrText xml:space="preserve"> PAGEREF _Toc7651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_Toc20293 </w:instrText>
      </w:r>
      <w:r>
        <w:fldChar w:fldCharType="separate"/>
      </w:r>
      <w:r>
        <w:rPr>
          <w:rFonts w:hint="eastAsia" w:ascii="黑体" w:eastAsia="黑体"/>
          <w:i w:val="0"/>
        </w:rPr>
        <w:t xml:space="preserve">8 </w:t>
      </w:r>
      <w:r>
        <w:rPr>
          <w:rFonts w:hint="eastAsia"/>
          <w:lang w:eastAsia="zh-CN"/>
        </w:rPr>
        <w:t>集中贮存点</w:t>
      </w:r>
      <w:r>
        <w:tab/>
      </w:r>
      <w:r>
        <w:fldChar w:fldCharType="begin"/>
      </w:r>
      <w:r>
        <w:instrText xml:space="preserve"> PAGEREF _Toc20293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_Toc12113 </w:instrText>
      </w:r>
      <w:r>
        <w:fldChar w:fldCharType="separate"/>
      </w:r>
      <w:r>
        <w:rPr>
          <w:rFonts w:hint="eastAsia" w:ascii="黑体" w:eastAsia="黑体"/>
          <w:i w:val="0"/>
        </w:rPr>
        <w:t xml:space="preserve">9 </w:t>
      </w:r>
      <w:r>
        <w:rPr>
          <w:rFonts w:hint="eastAsia"/>
          <w:lang w:eastAsia="zh-CN"/>
        </w:rPr>
        <w:t>归集打包</w:t>
      </w:r>
      <w:r>
        <w:tab/>
      </w:r>
      <w:r>
        <w:fldChar w:fldCharType="begin"/>
      </w:r>
      <w:r>
        <w:instrText xml:space="preserve"> PAGEREF _Toc12113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_Toc14661 </w:instrText>
      </w:r>
      <w:r>
        <w:fldChar w:fldCharType="separate"/>
      </w:r>
      <w:r>
        <w:rPr>
          <w:rFonts w:hint="eastAsia" w:ascii="黑体" w:eastAsia="黑体"/>
          <w:i w:val="0"/>
        </w:rPr>
        <w:t xml:space="preserve">10 </w:t>
      </w:r>
      <w:r>
        <w:rPr>
          <w:rFonts w:hint="eastAsia"/>
          <w:lang w:eastAsia="zh-CN"/>
        </w:rPr>
        <w:t>出入库台账</w:t>
      </w:r>
      <w:r>
        <w:tab/>
      </w:r>
      <w:r>
        <w:fldChar w:fldCharType="begin"/>
      </w:r>
      <w:r>
        <w:instrText xml:space="preserve"> PAGEREF _Toc14661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_Toc18700 </w:instrText>
      </w:r>
      <w:r>
        <w:fldChar w:fldCharType="separate"/>
      </w:r>
      <w:r>
        <w:rPr>
          <w:rFonts w:hint="eastAsia" w:ascii="黑体" w:eastAsia="黑体"/>
          <w:i w:val="0"/>
        </w:rPr>
        <w:t xml:space="preserve">11 </w:t>
      </w:r>
      <w:r>
        <w:rPr>
          <w:rFonts w:hint="eastAsia"/>
          <w:lang w:eastAsia="zh-CN"/>
        </w:rPr>
        <w:t>回收流程图</w:t>
      </w:r>
      <w:r>
        <w:tab/>
      </w:r>
      <w:r>
        <w:fldChar w:fldCharType="begin"/>
      </w:r>
      <w:r>
        <w:instrText xml:space="preserve"> PAGEREF _Toc18700 \h </w:instrText>
      </w:r>
      <w:r>
        <w:fldChar w:fldCharType="separate"/>
      </w:r>
      <w:r>
        <w:t>3</w:t>
      </w:r>
      <w:r>
        <w:fldChar w:fldCharType="end"/>
      </w:r>
      <w:r>
        <w:fldChar w:fldCharType="end"/>
      </w:r>
    </w:p>
    <w:p>
      <w:pPr>
        <w:pStyle w:val="19"/>
        <w:tabs>
          <w:tab w:val="right" w:leader="dot" w:pos="9354"/>
        </w:tabs>
      </w:pPr>
      <w:r>
        <w:fldChar w:fldCharType="begin"/>
      </w:r>
      <w:r>
        <w:instrText xml:space="preserve"> HYPERLINK \l _Toc19716 </w:instrText>
      </w:r>
      <w:r>
        <w:fldChar w:fldCharType="separate"/>
      </w:r>
      <w:r>
        <w:rPr>
          <w:rFonts w:hint="eastAsia"/>
          <w:spacing w:val="100"/>
        </w:rPr>
        <w:t xml:space="preserve">附录A </w:t>
      </w:r>
      <w:r>
        <w:t xml:space="preserve"> </w:t>
      </w:r>
      <w:r>
        <w:rPr>
          <w:rFonts w:hint="eastAsia"/>
        </w:rPr>
        <w:t>（资料性）</w:t>
      </w:r>
      <w:r>
        <w:t xml:space="preserve"> </w:t>
      </w:r>
      <w:r>
        <w:rPr>
          <w:rFonts w:hint="eastAsia"/>
          <w:lang w:eastAsia="zh-CN"/>
        </w:rPr>
        <w:t>农药包装废弃物回收记录表</w:t>
      </w:r>
      <w:r>
        <w:tab/>
      </w:r>
      <w:r>
        <w:fldChar w:fldCharType="begin"/>
      </w:r>
      <w:r>
        <w:instrText xml:space="preserve"> PAGEREF _Toc19716 \h </w:instrText>
      </w:r>
      <w:r>
        <w:fldChar w:fldCharType="separate"/>
      </w:r>
      <w:r>
        <w:t>4</w:t>
      </w:r>
      <w:r>
        <w:fldChar w:fldCharType="end"/>
      </w:r>
      <w:r>
        <w:fldChar w:fldCharType="end"/>
      </w:r>
    </w:p>
    <w:p>
      <w:pPr>
        <w:pStyle w:val="19"/>
        <w:tabs>
          <w:tab w:val="right" w:leader="dot" w:pos="9354"/>
        </w:tabs>
      </w:pPr>
      <w:r>
        <w:fldChar w:fldCharType="begin"/>
      </w:r>
      <w:r>
        <w:instrText xml:space="preserve"> HYPERLINK \l _Toc12968 </w:instrText>
      </w:r>
      <w:r>
        <w:fldChar w:fldCharType="separate"/>
      </w:r>
      <w:r>
        <w:rPr>
          <w:rFonts w:hint="eastAsia"/>
          <w:spacing w:val="100"/>
        </w:rPr>
        <w:t xml:space="preserve">附录B </w:t>
      </w:r>
      <w:r>
        <w:t xml:space="preserve"> </w:t>
      </w:r>
      <w:r>
        <w:rPr>
          <w:rFonts w:hint="eastAsia"/>
        </w:rPr>
        <w:t>（资料性）</w:t>
      </w:r>
      <w:r>
        <w:t xml:space="preserve"> </w:t>
      </w:r>
      <w:r>
        <w:rPr>
          <w:rFonts w:hint="eastAsia"/>
          <w:lang w:eastAsia="zh-CN"/>
        </w:rPr>
        <w:t>农药包装废弃物处置出库记录表</w:t>
      </w:r>
      <w:r>
        <w:tab/>
      </w:r>
      <w:r>
        <w:fldChar w:fldCharType="begin"/>
      </w:r>
      <w:r>
        <w:instrText xml:space="preserve"> PAGEREF _Toc12968 \h </w:instrText>
      </w:r>
      <w:r>
        <w:fldChar w:fldCharType="separate"/>
      </w:r>
      <w:r>
        <w:t>5</w:t>
      </w:r>
      <w:r>
        <w:fldChar w:fldCharType="end"/>
      </w:r>
      <w:r>
        <w:fldChar w:fldCharType="end"/>
      </w:r>
    </w:p>
    <w:p>
      <w:pPr>
        <w:pStyle w:val="19"/>
        <w:tabs>
          <w:tab w:val="right" w:leader="dot" w:pos="9354"/>
        </w:tabs>
      </w:pPr>
      <w:r>
        <w:fldChar w:fldCharType="begin"/>
      </w:r>
      <w:r>
        <w:instrText xml:space="preserve"> HYPERLINK \l _Toc19143 </w:instrText>
      </w:r>
      <w:r>
        <w:fldChar w:fldCharType="separate"/>
      </w:r>
      <w:r>
        <w:rPr>
          <w:rFonts w:hint="eastAsia"/>
          <w:spacing w:val="100"/>
        </w:rPr>
        <w:t xml:space="preserve">附录C </w:t>
      </w:r>
      <w:r>
        <w:t xml:space="preserve"> </w:t>
      </w:r>
      <w:r>
        <w:rPr>
          <w:rFonts w:hint="eastAsia"/>
        </w:rPr>
        <w:t>（资料性）</w:t>
      </w:r>
      <w:r>
        <w:t xml:space="preserve"> </w:t>
      </w:r>
      <w:r>
        <w:rPr>
          <w:rFonts w:hint="eastAsia"/>
          <w:lang w:eastAsia="zh-CN"/>
        </w:rPr>
        <w:t>农药包装废弃物回收流程图</w:t>
      </w:r>
      <w:r>
        <w:tab/>
      </w:r>
      <w:r>
        <w:fldChar w:fldCharType="begin"/>
      </w:r>
      <w:r>
        <w:instrText xml:space="preserve"> PAGEREF _Toc19143 \h </w:instrText>
      </w:r>
      <w:r>
        <w:fldChar w:fldCharType="separate"/>
      </w:r>
      <w:r>
        <w:t>5</w:t>
      </w:r>
      <w:r>
        <w:fldChar w:fldCharType="end"/>
      </w:r>
      <w:r>
        <w:fldChar w:fldCharType="end"/>
      </w:r>
    </w:p>
    <w:p>
      <w:pPr>
        <w:pStyle w:val="91"/>
        <w:spacing w:after="468"/>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sdt>
      <w:sdtPr>
        <w:tag w:val="NEW_STAND_NAME"/>
        <w:id w:val="595910757"/>
        <w:lock w:val="sdtLocked"/>
        <w:placeholder>
          <w:docPart w:val="C3683CAA5A084DD4B5096D8F9FE00662"/>
        </w:placeholder>
      </w:sdtPr>
      <w:sdtContent>
        <w:p>
          <w:pPr>
            <w:pStyle w:val="177"/>
            <w:spacing w:before="312" w:beforeLines="100" w:after="686" w:afterLines="220"/>
          </w:pPr>
          <w:bookmarkStart w:id="22" w:name="NEW_STAND_NAME"/>
          <w:bookmarkStart w:id="23" w:name="BookMark4"/>
          <w:r>
            <w:rPr>
              <w:rFonts w:hint="eastAsia"/>
              <w:lang w:val="en-US" w:eastAsia="zh-CN"/>
            </w:rPr>
            <w:t>农药包装废弃物</w:t>
          </w:r>
          <w:r>
            <w:rPr>
              <w:rFonts w:hint="default"/>
              <w:lang w:eastAsia="zh-CN"/>
            </w:rPr>
            <w:t>安全</w:t>
          </w:r>
          <w:r>
            <w:rPr>
              <w:rFonts w:hint="eastAsia"/>
              <w:lang w:val="en-US" w:eastAsia="zh-CN"/>
            </w:rPr>
            <w:t>回收技术规程</w:t>
          </w:r>
        </w:p>
      </w:sdtContent>
    </w:sdt>
    <w:bookmarkEnd w:id="22"/>
    <w:p>
      <w:pPr>
        <w:pStyle w:val="104"/>
        <w:spacing w:before="312" w:after="312"/>
      </w:pPr>
      <w:bookmarkStart w:id="24" w:name="_Toc26986771"/>
      <w:bookmarkStart w:id="25" w:name="_Toc24884218"/>
      <w:bookmarkStart w:id="26" w:name="_Toc26648465"/>
      <w:bookmarkStart w:id="27" w:name="_Toc17233333"/>
      <w:bookmarkStart w:id="28" w:name="_Toc26718930"/>
      <w:bookmarkStart w:id="29" w:name="_Toc26986530"/>
      <w:bookmarkStart w:id="30" w:name="_Toc24884211"/>
      <w:bookmarkStart w:id="31" w:name="_Toc16863"/>
      <w:bookmarkStart w:id="32" w:name="_Toc17233325"/>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4884219"/>
      <w:bookmarkStart w:id="34" w:name="_Toc17233326"/>
      <w:bookmarkStart w:id="35" w:name="_Toc26648466"/>
      <w:bookmarkStart w:id="36" w:name="_Toc17233334"/>
      <w:bookmarkStart w:id="37" w:name="_Toc24884212"/>
      <w:r>
        <w:rPr>
          <w:rFonts w:hint="eastAsia"/>
        </w:rPr>
        <w:t>本文件规定了农药包装废弃物回收归集的术语和定义</w:t>
      </w:r>
      <w:r>
        <w:rPr>
          <w:rFonts w:hint="eastAsia"/>
          <w:lang w:eastAsia="zh-CN"/>
        </w:rPr>
        <w:t>、</w:t>
      </w:r>
      <w:r>
        <w:rPr>
          <w:rFonts w:hint="eastAsia"/>
          <w:lang w:val="en-US" w:eastAsia="zh-CN"/>
        </w:rPr>
        <w:t>回收点设置、回收登记、分类储放、储放场所、集中贮存点、归集打包、出入库台账、回收流程图</w:t>
      </w:r>
      <w:r>
        <w:rPr>
          <w:rFonts w:hint="eastAsia"/>
        </w:rPr>
        <w:t>。</w:t>
      </w:r>
    </w:p>
    <w:p>
      <w:pPr>
        <w:pStyle w:val="56"/>
        <w:ind w:firstLine="420"/>
      </w:pPr>
      <w:r>
        <w:rPr>
          <w:rFonts w:hint="eastAsia"/>
        </w:rPr>
        <w:t>本文件适用于</w:t>
      </w:r>
      <w:r>
        <w:rPr>
          <w:rFonts w:hint="eastAsia"/>
          <w:lang w:eastAsia="zh-CN"/>
        </w:rPr>
        <w:t>农药包装废弃物</w:t>
      </w:r>
      <w:r>
        <w:rPr>
          <w:rFonts w:hint="eastAsia"/>
        </w:rPr>
        <w:t>，不适用于</w:t>
      </w:r>
      <w:r>
        <w:rPr>
          <w:rFonts w:hint="eastAsia"/>
          <w:lang w:eastAsia="zh-CN"/>
        </w:rPr>
        <w:t>含有大量农药的包装物</w:t>
      </w:r>
      <w:r>
        <w:rPr>
          <w:rFonts w:hint="eastAsia"/>
        </w:rPr>
        <w:t>。</w:t>
      </w:r>
    </w:p>
    <w:p>
      <w:pPr>
        <w:pStyle w:val="104"/>
        <w:spacing w:before="312" w:after="312"/>
      </w:pPr>
      <w:bookmarkStart w:id="38" w:name="_Toc26986772"/>
      <w:bookmarkStart w:id="39" w:name="_Toc10750"/>
      <w:bookmarkStart w:id="40" w:name="_Toc26718931"/>
      <w:bookmarkStart w:id="41" w:name="_Toc269865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814EA0ABBA914CF79136008A18BE16C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rPr>
              <w:rFonts w:hint="eastAsia"/>
            </w:rPr>
          </w:pPr>
          <w:r>
            <w:rPr>
              <w:rFonts w:hint="eastAsia" w:ascii="宋体" w:hAnsi="Times New Roman" w:eastAsia="宋体" w:cs="Times New Roman"/>
              <w:sz w:val="21"/>
              <w:lang w:val="en-US" w:eastAsia="zh-CN" w:bidi="ar-S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lang w:val="en-US" w:eastAsia="zh-CN"/>
        </w:rPr>
      </w:pPr>
      <w:bookmarkStart w:id="56" w:name="_GoBack"/>
      <w:r>
        <w:rPr>
          <w:rFonts w:hint="eastAsia"/>
        </w:rPr>
        <w:t>GB 18599</w:t>
      </w:r>
      <w:r>
        <w:rPr>
          <w:rFonts w:hint="eastAsia"/>
          <w:lang w:val="en-US" w:eastAsia="zh-CN"/>
        </w:rPr>
        <w:t xml:space="preserve">  一般工业固体废物贮存和填埋污染控制标准</w:t>
      </w:r>
    </w:p>
    <w:p>
      <w:pPr>
        <w:pStyle w:val="56"/>
        <w:ind w:firstLine="420"/>
        <w:rPr>
          <w:rFonts w:hint="eastAsia"/>
          <w:lang w:val="en-US" w:eastAsia="zh-CN"/>
        </w:rPr>
      </w:pPr>
      <w:r>
        <w:rPr>
          <w:rFonts w:hint="eastAsia"/>
          <w:lang w:val="en-US" w:eastAsia="zh-CN"/>
        </w:rPr>
        <w:t>GB 15562.2  环境保护图形标志 固体废物贮存（处置）场所</w:t>
      </w:r>
    </w:p>
    <w:p>
      <w:pPr>
        <w:pStyle w:val="56"/>
        <w:ind w:firstLine="420"/>
        <w:rPr>
          <w:rFonts w:hint="eastAsia" w:ascii="宋体" w:hAnsi="Times New Roman" w:eastAsia="宋体" w:cs="Times New Roman"/>
          <w:sz w:val="21"/>
          <w:lang w:val="en-US" w:eastAsia="zh-CN" w:bidi="ar-SA"/>
        </w:rPr>
      </w:pPr>
      <w:r>
        <w:rPr>
          <w:rFonts w:hint="eastAsia" w:cs="Times New Roman"/>
          <w:sz w:val="21"/>
          <w:lang w:val="en-US" w:eastAsia="zh-CN" w:bidi="ar-SA"/>
        </w:rPr>
        <w:t xml:space="preserve">农业农村部2020年第6号令  </w:t>
      </w:r>
      <w:r>
        <w:rPr>
          <w:rFonts w:hint="eastAsia" w:ascii="宋体" w:hAnsi="Times New Roman" w:eastAsia="宋体" w:cs="Times New Roman"/>
          <w:sz w:val="21"/>
          <w:lang w:val="en-US" w:eastAsia="zh-CN" w:bidi="ar-SA"/>
        </w:rPr>
        <w:t>农药包装废弃物</w:t>
      </w:r>
      <w:r>
        <w:rPr>
          <w:rFonts w:hint="eastAsia" w:cs="Times New Roman"/>
          <w:sz w:val="21"/>
          <w:lang w:val="en-US" w:eastAsia="zh-CN" w:bidi="ar-SA"/>
        </w:rPr>
        <w:t>回收处理</w:t>
      </w:r>
      <w:r>
        <w:rPr>
          <w:rFonts w:hint="eastAsia" w:ascii="宋体" w:hAnsi="Times New Roman" w:eastAsia="宋体" w:cs="Times New Roman"/>
          <w:sz w:val="21"/>
          <w:lang w:val="en-US" w:eastAsia="zh-CN" w:bidi="ar-SA"/>
        </w:rPr>
        <w:t>管理办法</w:t>
      </w:r>
    </w:p>
    <w:p>
      <w:pPr>
        <w:pStyle w:val="56"/>
        <w:ind w:firstLine="420"/>
        <w:rPr>
          <w:rFonts w:hint="default" w:ascii="宋体" w:hAnsi="Times New Roman" w:eastAsia="宋体" w:cs="Times New Roman"/>
          <w:sz w:val="21"/>
          <w:lang w:val="en-US" w:eastAsia="zh-CN" w:bidi="ar-SA"/>
        </w:rPr>
      </w:pPr>
      <w:r>
        <w:rPr>
          <w:rFonts w:hint="eastAsia" w:cs="Times New Roman"/>
          <w:sz w:val="21"/>
          <w:lang w:val="en-US" w:eastAsia="zh-CN" w:bidi="ar-SA"/>
        </w:rPr>
        <w:t>国家</w:t>
      </w:r>
      <w:r>
        <w:rPr>
          <w:rFonts w:hint="eastAsia" w:ascii="宋体" w:hAnsi="Times New Roman" w:eastAsia="宋体" w:cs="Times New Roman"/>
          <w:sz w:val="21"/>
          <w:lang w:val="en-US" w:eastAsia="zh-CN" w:bidi="ar-SA"/>
        </w:rPr>
        <w:t>危险废物名录</w:t>
      </w:r>
      <w:r>
        <w:rPr>
          <w:rFonts w:hint="eastAsia" w:cs="Times New Roman"/>
          <w:sz w:val="21"/>
          <w:lang w:val="en-US" w:eastAsia="zh-CN" w:bidi="ar-SA"/>
        </w:rPr>
        <w:t>（2021版）  附录：危险废物豁免管理清单</w:t>
      </w:r>
      <w:bookmarkEnd w:id="56"/>
    </w:p>
    <w:p>
      <w:pPr>
        <w:pStyle w:val="104"/>
        <w:spacing w:before="312" w:after="312"/>
      </w:pPr>
      <w:bookmarkStart w:id="42" w:name="_Toc24888"/>
      <w:r>
        <w:rPr>
          <w:rFonts w:hint="eastAsia"/>
          <w:szCs w:val="21"/>
        </w:rPr>
        <w:t>术语和定义</w:t>
      </w:r>
      <w:bookmarkEnd w:id="42"/>
    </w:p>
    <w:sdt>
      <w:sdtPr>
        <w:id w:val="-1909835108"/>
        <w:placeholder>
          <w:docPart w:val="B37C6399ED09418BA562C654246BEBC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lang w:eastAsia="zh-CN"/>
        </w:rPr>
        <w:t>农药包装废弃物</w:t>
      </w:r>
    </w:p>
    <w:p>
      <w:pPr>
        <w:pStyle w:val="56"/>
        <w:ind w:firstLine="420"/>
        <w:rPr>
          <w:rFonts w:hint="eastAsia"/>
        </w:rPr>
      </w:pPr>
      <w:r>
        <w:rPr>
          <w:rFonts w:hint="eastAsia"/>
        </w:rPr>
        <w:t>农药使用后被废弃的与农药直接接触或含有农药残余物的包装物，包括瓶、罐、桶、壶、袋等。</w:t>
      </w:r>
    </w:p>
    <w:p>
      <w:pPr>
        <w:pStyle w:val="56"/>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3.2</w:t>
      </w:r>
    </w:p>
    <w:p>
      <w:pPr>
        <w:pStyle w:val="56"/>
        <w:ind w:left="0" w:leftChars="0" w:firstLine="420" w:firstLineChars="0"/>
        <w:rPr>
          <w:rFonts w:hint="eastAsia" w:ascii="黑体" w:hAnsi="黑体" w:eastAsia="黑体" w:cs="黑体"/>
          <w:lang w:val="en-US" w:eastAsia="zh-CN"/>
        </w:rPr>
      </w:pPr>
      <w:r>
        <w:rPr>
          <w:rFonts w:hint="eastAsia" w:ascii="黑体" w:hAnsi="黑体" w:eastAsia="黑体" w:cs="黑体"/>
          <w:lang w:val="en-US" w:eastAsia="zh-CN"/>
        </w:rPr>
        <w:t>储放场所</w:t>
      </w:r>
    </w:p>
    <w:p>
      <w:pPr>
        <w:pStyle w:val="56"/>
        <w:ind w:left="0" w:leftChars="0" w:firstLine="420" w:firstLineChars="0"/>
        <w:rPr>
          <w:rFonts w:hint="eastAsia"/>
          <w:lang w:val="en-US" w:eastAsia="zh-CN"/>
        </w:rPr>
      </w:pPr>
      <w:r>
        <w:rPr>
          <w:rFonts w:hint="eastAsia"/>
          <w:lang w:val="en-US" w:eastAsia="zh-CN"/>
        </w:rPr>
        <w:t>一级回收点用于临时放置所回收的农药包装废弃物的场所。</w:t>
      </w:r>
    </w:p>
    <w:p>
      <w:pPr>
        <w:pStyle w:val="56"/>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3.3</w:t>
      </w:r>
    </w:p>
    <w:p>
      <w:pPr>
        <w:pStyle w:val="56"/>
        <w:ind w:left="0" w:leftChars="0" w:firstLine="420" w:firstLineChars="0"/>
        <w:rPr>
          <w:rFonts w:hint="eastAsia" w:ascii="黑体" w:hAnsi="黑体" w:eastAsia="黑体" w:cs="黑体"/>
          <w:lang w:val="en-US" w:eastAsia="zh-CN"/>
        </w:rPr>
      </w:pPr>
      <w:r>
        <w:rPr>
          <w:rFonts w:hint="eastAsia" w:ascii="黑体" w:hAnsi="黑体" w:eastAsia="黑体" w:cs="黑体"/>
          <w:lang w:val="en-US" w:eastAsia="zh-CN"/>
        </w:rPr>
        <w:t>集中贮存点</w:t>
      </w:r>
    </w:p>
    <w:p>
      <w:pPr>
        <w:pStyle w:val="56"/>
        <w:ind w:left="0" w:leftChars="0" w:firstLine="420" w:firstLineChars="0"/>
        <w:rPr>
          <w:rFonts w:hint="default"/>
          <w:lang w:val="en-US" w:eastAsia="zh-CN"/>
        </w:rPr>
      </w:pPr>
      <w:r>
        <w:rPr>
          <w:rFonts w:hint="eastAsia"/>
          <w:lang w:val="en-US" w:eastAsia="zh-CN"/>
        </w:rPr>
        <w:t>由县级政府建设或通过招投标方式委托企业建设的仓库，用于对本辖区一级回收点农药包装废弃的归集。</w:t>
      </w:r>
    </w:p>
    <w:p>
      <w:pPr>
        <w:pStyle w:val="104"/>
        <w:spacing w:before="312" w:after="312"/>
      </w:pPr>
      <w:bookmarkStart w:id="44" w:name="_Toc6904"/>
      <w:r>
        <w:rPr>
          <w:rFonts w:hint="eastAsia"/>
          <w:lang w:eastAsia="zh-CN"/>
        </w:rPr>
        <w:t>回收点设置</w:t>
      </w:r>
      <w:bookmarkEnd w:id="44"/>
    </w:p>
    <w:p>
      <w:pPr>
        <w:pStyle w:val="56"/>
        <w:rPr>
          <w:rFonts w:hint="default"/>
          <w:lang w:val="en-US" w:eastAsia="zh-CN"/>
        </w:rPr>
      </w:pPr>
      <w:r>
        <w:rPr>
          <w:rFonts w:hint="eastAsia"/>
          <w:lang w:eastAsia="zh-CN"/>
        </w:rPr>
        <w:t>根据实际情况设一级回收点和二级回收点。</w:t>
      </w:r>
    </w:p>
    <w:p>
      <w:pPr>
        <w:pStyle w:val="56"/>
        <w:rPr>
          <w:rFonts w:hint="eastAsia"/>
          <w:lang w:eastAsia="zh-CN"/>
        </w:rPr>
      </w:pPr>
      <w:r>
        <w:rPr>
          <w:rFonts w:hint="eastAsia"/>
          <w:lang w:eastAsia="zh-CN"/>
        </w:rPr>
        <w:t>在县、乡镇（街道）农资经营单位设置一级回收点，并配备储放场所。按照便民原则，在社会化植保服务组织等设置二级回收点。各级回收点应放置专用回收装置，并在醒目位置悬挂农药包装废弃物回收点标牌和价目表。</w:t>
      </w:r>
    </w:p>
    <w:p>
      <w:pPr>
        <w:pStyle w:val="104"/>
        <w:spacing w:before="312" w:after="312"/>
      </w:pPr>
      <w:bookmarkStart w:id="45" w:name="_Toc1246"/>
      <w:r>
        <w:rPr>
          <w:rFonts w:hint="eastAsia"/>
          <w:lang w:eastAsia="zh-CN"/>
        </w:rPr>
        <w:t>回收登记</w:t>
      </w:r>
      <w:bookmarkEnd w:id="45"/>
    </w:p>
    <w:p>
      <w:pPr>
        <w:pStyle w:val="56"/>
        <w:rPr>
          <w:rFonts w:hint="eastAsia"/>
          <w:lang w:val="en-US" w:eastAsia="zh-CN"/>
        </w:rPr>
      </w:pPr>
      <w:r>
        <w:rPr>
          <w:rFonts w:hint="eastAsia"/>
          <w:lang w:val="en-US" w:eastAsia="zh-CN"/>
        </w:rPr>
        <w:t>一级回收点应按照《农药包装废弃物回收处理管理办法》的要求建立农药包装废弃物回收台账，记录回收日期、数量（重量）、类别、支付金额、送交人姓名、地址、电话等信息（附录A），纸质台账应保存两年以上，有条件的应通过“浙里办-浙农优品-农废归集点”建立电子台账。</w:t>
      </w:r>
    </w:p>
    <w:p>
      <w:pPr>
        <w:pStyle w:val="104"/>
        <w:spacing w:before="312" w:after="312"/>
      </w:pPr>
      <w:bookmarkStart w:id="46" w:name="_Toc8558"/>
      <w:r>
        <w:rPr>
          <w:rFonts w:hint="eastAsia"/>
          <w:lang w:eastAsia="zh-CN"/>
        </w:rPr>
        <w:t>分类储放</w:t>
      </w:r>
      <w:bookmarkEnd w:id="46"/>
    </w:p>
    <w:p>
      <w:pPr>
        <w:pStyle w:val="56"/>
        <w:ind w:left="0" w:leftChars="0" w:firstLine="0" w:firstLineChars="0"/>
        <w:rPr>
          <w:rFonts w:hint="eastAsia"/>
          <w:lang w:eastAsia="zh-CN"/>
        </w:rPr>
      </w:pPr>
      <w:r>
        <w:rPr>
          <w:rFonts w:hint="eastAsia"/>
          <w:lang w:val="en-US" w:eastAsia="zh-CN"/>
        </w:rPr>
        <w:t>6.1 规模生产主体、社会化</w:t>
      </w:r>
      <w:r>
        <w:rPr>
          <w:rFonts w:hint="eastAsia"/>
          <w:lang w:eastAsia="zh-CN"/>
        </w:rPr>
        <w:t>植保服务组织</w:t>
      </w:r>
      <w:r>
        <w:rPr>
          <w:rFonts w:hint="eastAsia"/>
          <w:lang w:val="en-US" w:eastAsia="zh-CN"/>
        </w:rPr>
        <w:t>对自身使用后产生的及临近农户送回的</w:t>
      </w:r>
      <w:r>
        <w:rPr>
          <w:rFonts w:hint="eastAsia"/>
          <w:lang w:eastAsia="zh-CN"/>
        </w:rPr>
        <w:t>农药包装废弃物进行分类临时储放，并及时送到一级回收点。一级回收点对回收的农药包装废弃物按照玻璃、金属、塑料及瓶、袋进行分类归集。</w:t>
      </w:r>
    </w:p>
    <w:p>
      <w:pPr>
        <w:pStyle w:val="56"/>
        <w:ind w:left="0" w:leftChars="0" w:firstLine="0" w:firstLineChars="0"/>
        <w:rPr>
          <w:rFonts w:hint="eastAsia"/>
          <w:lang w:eastAsia="zh-CN"/>
        </w:rPr>
      </w:pPr>
      <w:r>
        <w:rPr>
          <w:rFonts w:hint="eastAsia"/>
          <w:lang w:val="en-US" w:eastAsia="zh-CN"/>
        </w:rPr>
        <w:t>A.按个数计价的回收点：</w:t>
      </w:r>
      <w:r>
        <w:rPr>
          <w:rFonts w:hint="eastAsia"/>
          <w:lang w:eastAsia="zh-CN"/>
        </w:rPr>
        <w:t>按照玻璃瓶、金属瓶、塑料瓶、塑料袋的不同规格分类。</w:t>
      </w:r>
    </w:p>
    <w:p>
      <w:pPr>
        <w:pStyle w:val="56"/>
        <w:ind w:left="0" w:leftChars="0" w:firstLine="0" w:firstLineChars="0"/>
        <w:rPr>
          <w:rFonts w:hint="default"/>
          <w:lang w:val="en-US" w:eastAsia="zh-CN"/>
        </w:rPr>
      </w:pPr>
      <w:r>
        <w:rPr>
          <w:rFonts w:hint="eastAsia"/>
          <w:lang w:val="en-US" w:eastAsia="zh-CN"/>
        </w:rPr>
        <w:t>B.按重量计价的回点收：按照玻璃瓶材质、金属材质、塑料材质进行分类存放。</w:t>
      </w:r>
    </w:p>
    <w:p>
      <w:pPr>
        <w:pStyle w:val="56"/>
        <w:ind w:left="0" w:leftChars="0" w:firstLine="0" w:firstLineChars="0"/>
        <w:rPr>
          <w:rFonts w:hint="eastAsia"/>
          <w:lang w:val="en-US" w:eastAsia="zh-CN"/>
        </w:rPr>
      </w:pPr>
      <w:r>
        <w:rPr>
          <w:rFonts w:hint="eastAsia"/>
          <w:lang w:val="en-US" w:eastAsia="zh-CN"/>
        </w:rPr>
        <w:t>6.2 各级回收点人员进行回收、分类作业时应穿长袖、雨鞋，佩戴口罩、橡胶手套，作业过程不吸烟、不饮食、不用手擦拭嘴、脸、眼睛等。作业结束后应及时用肥皂清洗手、脸，清水漱口。</w:t>
      </w:r>
    </w:p>
    <w:p>
      <w:pPr>
        <w:pStyle w:val="56"/>
        <w:ind w:left="0" w:leftChars="0" w:firstLine="0" w:firstLineChars="0"/>
        <w:rPr>
          <w:rFonts w:hint="default"/>
          <w:lang w:val="en-US" w:eastAsia="zh-CN"/>
        </w:rPr>
      </w:pPr>
      <w:r>
        <w:rPr>
          <w:rFonts w:hint="eastAsia"/>
          <w:lang w:val="en-US" w:eastAsia="zh-CN"/>
        </w:rPr>
        <w:t>6.3 分类好的农药包装废弃物应装入防渗漏的专用袋中，并及时搬放至储放场所，不应久置于露天环境。</w:t>
      </w:r>
    </w:p>
    <w:p>
      <w:pPr>
        <w:pStyle w:val="104"/>
        <w:spacing w:before="312" w:after="312"/>
      </w:pPr>
      <w:bookmarkStart w:id="47" w:name="_Toc7651"/>
      <w:r>
        <w:rPr>
          <w:rFonts w:hint="eastAsia"/>
          <w:lang w:eastAsia="zh-CN"/>
        </w:rPr>
        <w:t>储放场所</w:t>
      </w:r>
      <w:bookmarkEnd w:id="47"/>
    </w:p>
    <w:p>
      <w:pPr>
        <w:pStyle w:val="56"/>
        <w:ind w:left="0" w:leftChars="0" w:firstLine="420" w:firstLineChars="0"/>
        <w:rPr>
          <w:rFonts w:hint="eastAsia"/>
          <w:lang w:val="en-US" w:eastAsia="zh-CN"/>
        </w:rPr>
      </w:pPr>
      <w:r>
        <w:rPr>
          <w:rFonts w:hint="eastAsia"/>
          <w:lang w:val="en-US" w:eastAsia="zh-CN"/>
        </w:rPr>
        <w:t>一级回收点的储放场所选址要地势较高，防止雨水漫灌。场所应独立设置，不能与其他仓储处场所合并使用，具备四周围墙封闭、遮雨、地面硬化、通电、独立门锁和交通便利等条件。钥匙由专人保管。</w:t>
      </w:r>
    </w:p>
    <w:p>
      <w:pPr>
        <w:pStyle w:val="104"/>
        <w:spacing w:before="312" w:after="312"/>
      </w:pPr>
      <w:bookmarkStart w:id="48" w:name="_Toc20293"/>
      <w:r>
        <w:rPr>
          <w:rFonts w:hint="eastAsia"/>
          <w:lang w:eastAsia="zh-CN"/>
        </w:rPr>
        <w:t>集中贮存点</w:t>
      </w:r>
      <w:bookmarkEnd w:id="48"/>
    </w:p>
    <w:p>
      <w:pPr>
        <w:pStyle w:val="56"/>
        <w:ind w:left="0" w:leftChars="0" w:firstLine="420" w:firstLineChars="0"/>
        <w:rPr>
          <w:rFonts w:hint="eastAsia"/>
          <w:u w:val="none"/>
          <w:lang w:val="en-US" w:eastAsia="zh-CN"/>
        </w:rPr>
      </w:pPr>
      <w:r>
        <w:rPr>
          <w:rFonts w:hint="eastAsia"/>
          <w:lang w:val="en-US" w:eastAsia="zh-CN"/>
        </w:rPr>
        <w:t>县级应至少建立一个农药包装废弃物集中贮存点。场所选址、建设可参照 GB 18599 有关要求，</w:t>
      </w:r>
      <w:r>
        <w:rPr>
          <w:rFonts w:hint="eastAsia"/>
          <w:u w:val="none"/>
          <w:lang w:val="en-US" w:eastAsia="zh-CN"/>
        </w:rPr>
        <w:t>应远离城区、居民生活区、水源地、畜禽养殖场等。</w:t>
      </w:r>
    </w:p>
    <w:p>
      <w:pPr>
        <w:pStyle w:val="56"/>
        <w:ind w:left="0" w:leftChars="0" w:firstLine="420" w:firstLineChars="0"/>
        <w:rPr>
          <w:rFonts w:hint="eastAsia"/>
          <w:u w:val="none"/>
          <w:lang w:val="en-US" w:eastAsia="zh-CN"/>
        </w:rPr>
      </w:pPr>
      <w:r>
        <w:rPr>
          <w:rFonts w:hint="eastAsia"/>
          <w:u w:val="none"/>
          <w:lang w:val="en-US" w:eastAsia="zh-CN"/>
        </w:rPr>
        <w:t>场所空间应大于农药包装废弃物年度回收量体积的三倍以上，配备消防设施。入口处悬挂安全警示标志，标志图形符合</w:t>
      </w:r>
      <w:r>
        <w:rPr>
          <w:rFonts w:hint="eastAsia"/>
          <w:lang w:val="en-US" w:eastAsia="zh-CN"/>
        </w:rPr>
        <w:t>GB 15562.2</w:t>
      </w:r>
      <w:r>
        <w:rPr>
          <w:rFonts w:hint="eastAsia"/>
          <w:u w:val="none"/>
          <w:lang w:val="en-US" w:eastAsia="zh-CN"/>
        </w:rPr>
        <w:t>。</w:t>
      </w:r>
    </w:p>
    <w:p>
      <w:pPr>
        <w:pStyle w:val="104"/>
        <w:spacing w:before="312" w:after="312"/>
      </w:pPr>
      <w:bookmarkStart w:id="49" w:name="_Toc12113"/>
      <w:r>
        <w:rPr>
          <w:rFonts w:hint="eastAsia"/>
          <w:lang w:eastAsia="zh-CN"/>
        </w:rPr>
        <w:t>归集打包</w:t>
      </w:r>
      <w:bookmarkEnd w:id="49"/>
    </w:p>
    <w:p>
      <w:pPr>
        <w:pStyle w:val="56"/>
        <w:ind w:left="0" w:leftChars="0" w:firstLine="420" w:firstLineChars="0"/>
        <w:rPr>
          <w:rFonts w:hint="eastAsia"/>
          <w:u w:val="none"/>
          <w:lang w:val="en-US" w:eastAsia="zh-CN"/>
        </w:rPr>
      </w:pPr>
      <w:r>
        <w:rPr>
          <w:rFonts w:hint="eastAsia"/>
          <w:u w:val="none"/>
          <w:lang w:val="en-US" w:eastAsia="zh-CN"/>
        </w:rPr>
        <w:t>贮存点应及时对本辖区内一级回收点回收的农药包装废弃物进行归集，运输时，可按照</w:t>
      </w:r>
      <w:r>
        <w:rPr>
          <w:rFonts w:hint="eastAsia" w:cs="Times New Roman"/>
          <w:sz w:val="21"/>
          <w:lang w:val="en-US" w:eastAsia="zh-CN" w:bidi="ar-SA"/>
        </w:rPr>
        <w:t>危险废物豁免管理清单（2021版））进行，宜</w:t>
      </w:r>
      <w:r>
        <w:rPr>
          <w:rFonts w:hint="eastAsia"/>
          <w:u w:val="none"/>
          <w:lang w:val="en-US" w:eastAsia="zh-CN"/>
        </w:rPr>
        <w:t>选用防雨、防渗漏、防遗撒的箱式运输车。集中贮存点应配备压缩机，对塑料类的农药包装废弃物进行压缩打包，码放整齐。玻璃或金属类型的农药包装废弃物直接分类码放。人员作业时防护措施应符合6.2要求。</w:t>
      </w:r>
    </w:p>
    <w:p>
      <w:pPr>
        <w:pStyle w:val="104"/>
        <w:spacing w:before="312" w:after="312"/>
      </w:pPr>
      <w:bookmarkStart w:id="50" w:name="_Toc14661"/>
      <w:r>
        <w:rPr>
          <w:rFonts w:hint="eastAsia"/>
          <w:lang w:eastAsia="zh-CN"/>
        </w:rPr>
        <w:t>出入库台账</w:t>
      </w:r>
      <w:bookmarkEnd w:id="50"/>
    </w:p>
    <w:p>
      <w:pPr>
        <w:pStyle w:val="56"/>
        <w:ind w:left="0" w:leftChars="0" w:firstLine="420" w:firstLineChars="0"/>
        <w:rPr>
          <w:rFonts w:hint="eastAsia"/>
          <w:u w:val="none"/>
          <w:lang w:val="en-US" w:eastAsia="zh-CN"/>
        </w:rPr>
      </w:pPr>
      <w:r>
        <w:rPr>
          <w:rFonts w:hint="eastAsia"/>
          <w:u w:val="none"/>
          <w:lang w:val="en-US" w:eastAsia="zh-CN"/>
        </w:rPr>
        <w:t>集中贮存点对各一级回收点进行归集时，应开具交接单或通过“浙农优品”对归集的每批次农药包装废弃物填写调运信息生成农废码，建立入库电子台账。</w:t>
      </w:r>
    </w:p>
    <w:p>
      <w:pPr>
        <w:pStyle w:val="56"/>
        <w:ind w:left="0" w:leftChars="0" w:firstLine="420" w:firstLineChars="0"/>
        <w:rPr>
          <w:rFonts w:hint="eastAsia"/>
          <w:u w:val="none"/>
          <w:lang w:val="en-US" w:eastAsia="zh-CN"/>
        </w:rPr>
      </w:pPr>
      <w:r>
        <w:rPr>
          <w:rFonts w:hint="eastAsia"/>
          <w:u w:val="none"/>
          <w:lang w:val="en-US" w:eastAsia="zh-CN"/>
        </w:rPr>
        <w:t>由集中贮存点运往危废处置企业处置或按照</w:t>
      </w:r>
      <w:r>
        <w:rPr>
          <w:rFonts w:hint="eastAsia" w:cs="Times New Roman"/>
          <w:sz w:val="21"/>
          <w:lang w:val="en-US" w:eastAsia="zh-CN" w:bidi="ar-SA"/>
        </w:rPr>
        <w:t>危险废物豁免管理清单（2021版））</w:t>
      </w:r>
      <w:r>
        <w:rPr>
          <w:rFonts w:hint="eastAsia"/>
          <w:u w:val="none"/>
          <w:lang w:val="en-US" w:eastAsia="zh-CN"/>
        </w:rPr>
        <w:t>进入生活垃圾填埋场（焚烧厂）填埋（焚烧），应建立出库台账，记录出库日期、农药包装废弃物类型、数量、处置单位名称、联系人、联系电话等</w:t>
      </w:r>
      <w:r>
        <w:rPr>
          <w:rFonts w:hint="eastAsia"/>
          <w:lang w:val="en-US" w:eastAsia="zh-CN"/>
        </w:rPr>
        <w:t>（附录B）</w:t>
      </w:r>
      <w:r>
        <w:rPr>
          <w:rFonts w:hint="eastAsia"/>
          <w:u w:val="none"/>
          <w:lang w:val="en-US" w:eastAsia="zh-CN"/>
        </w:rPr>
        <w:t>。</w:t>
      </w:r>
    </w:p>
    <w:p>
      <w:pPr>
        <w:pStyle w:val="104"/>
        <w:spacing w:before="312" w:after="312"/>
      </w:pPr>
      <w:bookmarkStart w:id="51" w:name="_Toc18700"/>
      <w:r>
        <w:rPr>
          <w:rFonts w:hint="eastAsia"/>
          <w:lang w:eastAsia="zh-CN"/>
        </w:rPr>
        <w:t>回收流程图</w:t>
      </w:r>
      <w:bookmarkEnd w:id="51"/>
    </w:p>
    <w:p>
      <w:pPr>
        <w:pStyle w:val="56"/>
        <w:rPr>
          <w:rFonts w:hint="default"/>
          <w:lang w:val="en-US"/>
        </w:rPr>
      </w:pPr>
      <w:r>
        <w:rPr>
          <w:rFonts w:hint="eastAsia"/>
          <w:lang w:eastAsia="zh-CN"/>
        </w:rPr>
        <w:t>农药包装废弃物回收流程图见附录</w:t>
      </w:r>
      <w:r>
        <w:rPr>
          <w:rFonts w:hint="eastAsia"/>
          <w:lang w:val="en-US" w:eastAsia="zh-CN"/>
        </w:rPr>
        <w:t>C。</w:t>
      </w:r>
    </w:p>
    <w:p>
      <w:pPr>
        <w:pStyle w:val="56"/>
        <w:ind w:left="0" w:leftChars="0" w:firstLine="420" w:firstLineChars="0"/>
        <w:rPr>
          <w:rFonts w:hint="default"/>
          <w:u w:val="none"/>
          <w:lang w:val="en-US" w:eastAsia="zh-CN"/>
        </w:rPr>
      </w:pPr>
    </w:p>
    <w:p>
      <w:pPr>
        <w:pStyle w:val="56"/>
        <w:ind w:firstLine="420"/>
      </w:pPr>
    </w:p>
    <w:p>
      <w:pPr>
        <w:pStyle w:val="56"/>
        <w:ind w:firstLine="420"/>
        <w:rPr>
          <w:rFonts w:hint="eastAsia" w:eastAsia="宋体"/>
          <w:lang w:eastAsia="zh-CN"/>
        </w:rPr>
      </w:pPr>
    </w:p>
    <w:p>
      <w:pPr>
        <w:pStyle w:val="56"/>
        <w:ind w:firstLine="420"/>
      </w:pPr>
    </w:p>
    <w:p>
      <w:pPr>
        <w:pStyle w:val="56"/>
        <w:ind w:firstLine="420"/>
      </w:pPr>
    </w:p>
    <w:p>
      <w:pPr>
        <w:pStyle w:val="56"/>
        <w:ind w:firstLine="420"/>
        <w:sectPr>
          <w:pgSz w:w="11906" w:h="16838"/>
          <w:pgMar w:top="2410" w:right="1134" w:bottom="1134" w:left="1134" w:header="1418" w:footer="1134" w:gutter="284"/>
          <w:pgNumType w:start="1"/>
          <w:cols w:space="425" w:num="1"/>
          <w:formProt w:val="0"/>
          <w:docGrid w:type="lines" w:linePitch="312" w:charSpace="0"/>
        </w:sectPr>
      </w:pPr>
    </w:p>
    <w:bookmarkEnd w:id="23"/>
    <w:p>
      <w:pPr>
        <w:pStyle w:val="198"/>
        <w:rPr>
          <w:vanish w:val="0"/>
        </w:rPr>
      </w:pPr>
      <w:bookmarkStart w:id="52" w:name="BookMark5"/>
    </w:p>
    <w:p>
      <w:pPr>
        <w:pStyle w:val="199"/>
        <w:rPr>
          <w:vanish w:val="0"/>
        </w:rPr>
      </w:pPr>
    </w:p>
    <w:p>
      <w:pPr>
        <w:pStyle w:val="76"/>
        <w:spacing w:before="78" w:after="156"/>
      </w:pPr>
      <w:bookmarkStart w:id="53" w:name="_Toc19716"/>
      <w:r>
        <w:br w:type="textWrapping"/>
      </w:r>
      <w:r>
        <w:rPr>
          <w:rFonts w:hint="eastAsia"/>
        </w:rPr>
        <w:t>（资料性）</w:t>
      </w:r>
      <w:r>
        <w:br w:type="textWrapping"/>
      </w:r>
      <w:r>
        <w:rPr>
          <w:rFonts w:hint="eastAsia"/>
          <w:lang w:eastAsia="zh-CN"/>
        </w:rPr>
        <w:t>农药包装废弃物回收记录表</w:t>
      </w:r>
      <w:bookmarkEnd w:id="53"/>
    </w:p>
    <w:p>
      <w:pPr>
        <w:pStyle w:val="56"/>
        <w:rPr>
          <w:rFonts w:hint="default"/>
          <w:lang w:val="en-US"/>
        </w:rPr>
      </w:pPr>
      <w:r>
        <w:rPr>
          <w:rFonts w:hint="eastAsia"/>
          <w:lang w:eastAsia="zh-CN"/>
        </w:rPr>
        <w:t>农药包装废弃物回收记录表封面见</w:t>
      </w:r>
      <w:r>
        <w:rPr>
          <w:rFonts w:hint="eastAsia"/>
          <w:lang w:val="en-US" w:eastAsia="zh-CN"/>
        </w:rPr>
        <w:t>A.1</w:t>
      </w:r>
    </w:p>
    <w:p>
      <w:pPr>
        <w:pStyle w:val="77"/>
        <w:numPr>
          <w:ilvl w:val="1"/>
          <w:numId w:val="0"/>
        </w:numPr>
        <w:spacing w:before="156" w:after="156"/>
        <w:ind w:left="420" w:leftChars="0"/>
        <w:jc w:val="center"/>
        <w:rPr>
          <w:rFonts w:hint="eastAsia"/>
          <w:lang w:val="en-US" w:eastAsia="zh-CN"/>
        </w:rPr>
      </w:pPr>
    </w:p>
    <w:p>
      <w:pPr>
        <w:pStyle w:val="77"/>
        <w:numPr>
          <w:ilvl w:val="1"/>
          <w:numId w:val="0"/>
        </w:numPr>
        <w:spacing w:before="156" w:after="156"/>
        <w:ind w:left="420" w:leftChars="0"/>
        <w:jc w:val="center"/>
      </w:pPr>
      <w:r>
        <w:rPr>
          <w:rFonts w:hint="eastAsia"/>
          <w:lang w:val="en-US" w:eastAsia="zh-CN"/>
        </w:rPr>
        <w:t>A.1 XXX县农药包装废弃物回收记录表封面</w:t>
      </w:r>
    </w:p>
    <w:p>
      <w:pPr>
        <w:pStyle w:val="56"/>
        <w:ind w:firstLine="420"/>
        <w:jc w:val="center"/>
        <w:rPr>
          <w:rFonts w:hint="eastAsia"/>
          <w:sz w:val="28"/>
          <w:szCs w:val="28"/>
          <w:lang w:val="en-US" w:eastAsia="zh-CN"/>
        </w:rPr>
      </w:pPr>
    </w:p>
    <w:p>
      <w:pPr>
        <w:pStyle w:val="56"/>
        <w:ind w:firstLine="420"/>
        <w:jc w:val="center"/>
        <w:rPr>
          <w:rFonts w:hint="default" w:eastAsia="宋体"/>
          <w:lang w:val="en-US" w:eastAsia="zh-CN"/>
        </w:rPr>
      </w:pPr>
      <w:r>
        <w:rPr>
          <w:rFonts w:hint="eastAsia"/>
          <w:sz w:val="30"/>
          <w:szCs w:val="30"/>
          <w:lang w:val="en-US" w:eastAsia="zh-CN"/>
        </w:rPr>
        <w:t>XXX县农药包装废弃物回收记录表</w:t>
      </w:r>
    </w:p>
    <w:p>
      <w:pPr>
        <w:pStyle w:val="56"/>
        <w:keepNext w:val="0"/>
        <w:keepLines w:val="0"/>
        <w:pageBreakBefore w:val="0"/>
        <w:widowControl/>
        <w:kinsoku/>
        <w:wordWrap/>
        <w:overflowPunct/>
        <w:topLinePunct w:val="0"/>
        <w:autoSpaceDE w:val="0"/>
        <w:autoSpaceDN w:val="0"/>
        <w:bidi w:val="0"/>
        <w:adjustRightInd/>
        <w:snapToGrid/>
        <w:spacing w:line="360" w:lineRule="auto"/>
        <w:ind w:firstLine="420"/>
        <w:jc w:val="center"/>
        <w:textAlignment w:val="auto"/>
        <w:rPr>
          <w:rFonts w:hint="eastAsia"/>
          <w:sz w:val="24"/>
          <w:szCs w:val="24"/>
          <w:lang w:eastAsia="zh-CN"/>
        </w:rPr>
      </w:pPr>
      <w:r>
        <w:rPr>
          <w:rFonts w:hint="eastAsia"/>
          <w:sz w:val="24"/>
          <w:szCs w:val="24"/>
          <w:lang w:eastAsia="zh-CN"/>
        </w:rPr>
        <w:t>（</w:t>
      </w:r>
      <w:r>
        <w:rPr>
          <w:rFonts w:hint="eastAsia"/>
          <w:sz w:val="24"/>
          <w:szCs w:val="24"/>
          <w:u w:val="single"/>
          <w:lang w:val="en-US" w:eastAsia="zh-CN"/>
        </w:rPr>
        <w:t xml:space="preserve">        </w:t>
      </w:r>
      <w:r>
        <w:rPr>
          <w:rFonts w:hint="eastAsia"/>
          <w:sz w:val="24"/>
          <w:szCs w:val="24"/>
          <w:lang w:eastAsia="zh-CN"/>
        </w:rPr>
        <w:t>年度）</w:t>
      </w:r>
    </w:p>
    <w:p>
      <w:pPr>
        <w:pStyle w:val="56"/>
        <w:keepNext w:val="0"/>
        <w:keepLines w:val="0"/>
        <w:pageBreakBefore w:val="0"/>
        <w:widowControl/>
        <w:kinsoku/>
        <w:wordWrap/>
        <w:overflowPunct/>
        <w:topLinePunct w:val="0"/>
        <w:autoSpaceDE w:val="0"/>
        <w:autoSpaceDN w:val="0"/>
        <w:bidi w:val="0"/>
        <w:adjustRightInd/>
        <w:snapToGrid/>
        <w:spacing w:line="480" w:lineRule="auto"/>
        <w:ind w:firstLine="2160" w:firstLineChars="900"/>
        <w:textAlignment w:val="auto"/>
        <w:rPr>
          <w:rFonts w:hint="default"/>
          <w:sz w:val="24"/>
          <w:szCs w:val="24"/>
          <w:lang w:val="en-US" w:eastAsia="zh-CN"/>
        </w:rPr>
      </w:pPr>
      <w:r>
        <w:rPr>
          <w:rFonts w:hint="eastAsia"/>
          <w:sz w:val="24"/>
          <w:szCs w:val="24"/>
          <w:lang w:eastAsia="zh-CN"/>
        </w:rPr>
        <w:t>回收单位：</w:t>
      </w:r>
      <w:r>
        <w:rPr>
          <w:rFonts w:hint="eastAsia"/>
          <w:sz w:val="24"/>
          <w:szCs w:val="24"/>
          <w:u w:val="single"/>
          <w:lang w:val="en-US" w:eastAsia="zh-CN"/>
        </w:rPr>
        <w:t xml:space="preserve">                               </w:t>
      </w:r>
    </w:p>
    <w:p>
      <w:pPr>
        <w:pStyle w:val="56"/>
        <w:keepNext w:val="0"/>
        <w:keepLines w:val="0"/>
        <w:pageBreakBefore w:val="0"/>
        <w:widowControl/>
        <w:kinsoku/>
        <w:wordWrap/>
        <w:overflowPunct/>
        <w:topLinePunct w:val="0"/>
        <w:autoSpaceDE w:val="0"/>
        <w:autoSpaceDN w:val="0"/>
        <w:bidi w:val="0"/>
        <w:adjustRightInd/>
        <w:snapToGrid/>
        <w:spacing w:line="480" w:lineRule="auto"/>
        <w:ind w:firstLine="2160" w:firstLineChars="900"/>
        <w:textAlignment w:val="auto"/>
        <w:rPr>
          <w:rFonts w:hint="default"/>
          <w:sz w:val="24"/>
          <w:szCs w:val="24"/>
          <w:lang w:val="en-US" w:eastAsia="zh-CN"/>
        </w:rPr>
      </w:pPr>
      <w:r>
        <w:rPr>
          <w:rFonts w:hint="eastAsia"/>
          <w:sz w:val="24"/>
          <w:szCs w:val="24"/>
          <w:lang w:eastAsia="zh-CN"/>
        </w:rPr>
        <w:t>单位地址：</w:t>
      </w:r>
      <w:r>
        <w:rPr>
          <w:rFonts w:hint="eastAsia"/>
          <w:sz w:val="24"/>
          <w:szCs w:val="24"/>
          <w:u w:val="single"/>
          <w:lang w:val="en-US" w:eastAsia="zh-CN"/>
        </w:rPr>
        <w:t xml:space="preserve">                               </w:t>
      </w:r>
    </w:p>
    <w:p>
      <w:pPr>
        <w:pStyle w:val="56"/>
        <w:keepNext w:val="0"/>
        <w:keepLines w:val="0"/>
        <w:pageBreakBefore w:val="0"/>
        <w:widowControl/>
        <w:kinsoku/>
        <w:wordWrap/>
        <w:overflowPunct/>
        <w:topLinePunct w:val="0"/>
        <w:autoSpaceDE w:val="0"/>
        <w:autoSpaceDN w:val="0"/>
        <w:bidi w:val="0"/>
        <w:adjustRightInd/>
        <w:snapToGrid/>
        <w:spacing w:line="480" w:lineRule="auto"/>
        <w:ind w:firstLine="2160" w:firstLineChars="900"/>
        <w:jc w:val="both"/>
        <w:textAlignment w:val="auto"/>
        <w:rPr>
          <w:rFonts w:hint="default"/>
          <w:sz w:val="24"/>
          <w:szCs w:val="24"/>
          <w:lang w:val="en-US" w:eastAsia="zh-CN"/>
        </w:rPr>
      </w:pPr>
      <w:r>
        <w:rPr>
          <w:rFonts w:hint="eastAsia"/>
          <w:sz w:val="24"/>
          <w:szCs w:val="24"/>
          <w:lang w:eastAsia="zh-CN"/>
        </w:rPr>
        <w:t>负责人：</w:t>
      </w:r>
      <w:r>
        <w:rPr>
          <w:rFonts w:hint="eastAsia"/>
          <w:sz w:val="24"/>
          <w:szCs w:val="24"/>
          <w:lang w:val="en-US" w:eastAsia="zh-CN"/>
        </w:rPr>
        <w:t xml:space="preserve">  </w:t>
      </w:r>
      <w:r>
        <w:rPr>
          <w:rFonts w:hint="eastAsia"/>
          <w:sz w:val="24"/>
          <w:szCs w:val="24"/>
          <w:u w:val="single"/>
          <w:lang w:val="en-US" w:eastAsia="zh-CN"/>
        </w:rPr>
        <w:t xml:space="preserve">                               </w:t>
      </w:r>
    </w:p>
    <w:p>
      <w:pPr>
        <w:pStyle w:val="56"/>
        <w:keepNext w:val="0"/>
        <w:keepLines w:val="0"/>
        <w:pageBreakBefore w:val="0"/>
        <w:widowControl/>
        <w:kinsoku/>
        <w:wordWrap/>
        <w:overflowPunct/>
        <w:topLinePunct w:val="0"/>
        <w:autoSpaceDE w:val="0"/>
        <w:autoSpaceDN w:val="0"/>
        <w:bidi w:val="0"/>
        <w:adjustRightInd/>
        <w:snapToGrid/>
        <w:spacing w:line="480" w:lineRule="auto"/>
        <w:ind w:firstLine="2160" w:firstLineChars="900"/>
        <w:textAlignment w:val="auto"/>
        <w:rPr>
          <w:rFonts w:hint="default"/>
          <w:lang w:val="en-US" w:eastAsia="zh-CN"/>
        </w:rPr>
      </w:pPr>
      <w:r>
        <w:rPr>
          <w:rFonts w:hint="eastAsia"/>
          <w:sz w:val="24"/>
          <w:szCs w:val="24"/>
          <w:lang w:eastAsia="zh-CN"/>
        </w:rPr>
        <w:t>联系电话：</w:t>
      </w:r>
      <w:r>
        <w:rPr>
          <w:rFonts w:hint="eastAsia"/>
          <w:sz w:val="24"/>
          <w:szCs w:val="24"/>
          <w:u w:val="single"/>
          <w:lang w:val="en-US" w:eastAsia="zh-CN"/>
        </w:rPr>
        <w:t xml:space="preserve">    </w:t>
      </w:r>
      <w:r>
        <w:rPr>
          <w:rFonts w:hint="eastAsia"/>
          <w:u w:val="single"/>
          <w:lang w:val="en-US" w:eastAsia="zh-CN"/>
        </w:rPr>
        <w:t xml:space="preserve">                               </w:t>
      </w:r>
    </w:p>
    <w:p>
      <w:pPr>
        <w:pStyle w:val="56"/>
        <w:jc w:val="center"/>
        <w:rPr>
          <w:rFonts w:hint="eastAsia" w:eastAsia="宋体"/>
          <w:lang w:val="en-US" w:eastAsia="zh-CN"/>
        </w:rPr>
      </w:pPr>
    </w:p>
    <w:p>
      <w:pPr>
        <w:pStyle w:val="56"/>
        <w:jc w:val="center"/>
        <w:rPr>
          <w:rFonts w:hint="default" w:eastAsia="宋体"/>
          <w:lang w:val="en-US" w:eastAsia="zh-CN"/>
        </w:rPr>
      </w:pPr>
      <w:r>
        <w:rPr>
          <w:rFonts w:hint="eastAsia"/>
          <w:sz w:val="28"/>
          <w:szCs w:val="28"/>
          <w:lang w:val="en-US" w:eastAsia="zh-CN"/>
        </w:rPr>
        <w:t>XXXX印制</w:t>
      </w:r>
    </w:p>
    <w:bookmarkEnd w:id="52"/>
    <w:p>
      <w:pPr>
        <w:pStyle w:val="56"/>
        <w:ind w:firstLine="420"/>
      </w:pPr>
    </w:p>
    <w:p>
      <w:pPr>
        <w:pStyle w:val="56"/>
        <w:ind w:firstLine="420"/>
        <w:rPr>
          <w:rFonts w:hint="default"/>
          <w:lang w:val="en-US" w:eastAsia="zh-CN"/>
        </w:rPr>
      </w:pPr>
      <w:r>
        <w:rPr>
          <w:rFonts w:hint="eastAsia"/>
          <w:lang w:eastAsia="zh-CN"/>
        </w:rPr>
        <w:t>农药包装废弃物回收记录表见</w:t>
      </w:r>
      <w:r>
        <w:rPr>
          <w:rFonts w:hint="eastAsia"/>
          <w:lang w:val="en-US" w:eastAsia="zh-CN"/>
        </w:rPr>
        <w:t>A.2</w:t>
      </w:r>
    </w:p>
    <w:p>
      <w:pPr>
        <w:pStyle w:val="77"/>
        <w:numPr>
          <w:ilvl w:val="1"/>
          <w:numId w:val="0"/>
        </w:numPr>
        <w:spacing w:before="156" w:after="156"/>
        <w:ind w:left="420" w:leftChars="0"/>
        <w:jc w:val="center"/>
        <w:rPr>
          <w:rFonts w:hint="eastAsia"/>
          <w:lang w:val="en-US" w:eastAsia="zh-CN"/>
        </w:rPr>
      </w:pPr>
      <w:r>
        <w:rPr>
          <w:rFonts w:hint="eastAsia"/>
          <w:lang w:val="en-US" w:eastAsia="zh-CN"/>
        </w:rPr>
        <w:t>表A.2 XXX县（市、区）农药包装废弃物回收记录表</w:t>
      </w:r>
    </w:p>
    <w:tbl>
      <w:tblPr>
        <w:tblStyle w:val="27"/>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01"/>
        <w:gridCol w:w="871"/>
        <w:gridCol w:w="747"/>
        <w:gridCol w:w="653"/>
        <w:gridCol w:w="653"/>
        <w:gridCol w:w="653"/>
        <w:gridCol w:w="653"/>
        <w:gridCol w:w="677"/>
        <w:gridCol w:w="677"/>
        <w:gridCol w:w="790"/>
        <w:gridCol w:w="760"/>
        <w:gridCol w:w="801"/>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36" w:type="dxa"/>
            <w:vMerge w:val="restart"/>
            <w:vAlign w:val="center"/>
          </w:tcPr>
          <w:p>
            <w:pPr>
              <w:pStyle w:val="56"/>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日期</w:t>
            </w:r>
          </w:p>
        </w:tc>
        <w:tc>
          <w:tcPr>
            <w:tcW w:w="801" w:type="dxa"/>
            <w:vMerge w:val="restart"/>
            <w:vAlign w:val="center"/>
          </w:tcPr>
          <w:p>
            <w:pPr>
              <w:pStyle w:val="56"/>
              <w:ind w:left="0" w:leftChars="0" w:firstLine="0" w:firstLineChars="0"/>
              <w:jc w:val="center"/>
              <w:rPr>
                <w:rFonts w:hint="eastAsia"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送交人</w:t>
            </w:r>
          </w:p>
        </w:tc>
        <w:tc>
          <w:tcPr>
            <w:tcW w:w="871" w:type="dxa"/>
            <w:vMerge w:val="restart"/>
            <w:vAlign w:val="center"/>
          </w:tcPr>
          <w:p>
            <w:pPr>
              <w:pStyle w:val="56"/>
              <w:ind w:left="0" w:leftChars="0" w:firstLine="0" w:firstLineChars="0"/>
              <w:jc w:val="center"/>
              <w:rPr>
                <w:rFonts w:hint="eastAsia"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地址</w:t>
            </w:r>
          </w:p>
        </w:tc>
        <w:tc>
          <w:tcPr>
            <w:tcW w:w="747" w:type="dxa"/>
            <w:vMerge w:val="restart"/>
            <w:vAlign w:val="center"/>
          </w:tcPr>
          <w:p>
            <w:pPr>
              <w:pStyle w:val="56"/>
              <w:ind w:left="0" w:leftChars="0" w:firstLine="0" w:firstLineChars="0"/>
              <w:jc w:val="center"/>
              <w:rPr>
                <w:rFonts w:hint="eastAsia"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电话</w:t>
            </w:r>
          </w:p>
        </w:tc>
        <w:tc>
          <w:tcPr>
            <w:tcW w:w="1306" w:type="dxa"/>
            <w:gridSpan w:val="2"/>
            <w:vAlign w:val="center"/>
          </w:tcPr>
          <w:p>
            <w:pPr>
              <w:pStyle w:val="56"/>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玻璃瓶</w:t>
            </w:r>
          </w:p>
        </w:tc>
        <w:tc>
          <w:tcPr>
            <w:tcW w:w="1306" w:type="dxa"/>
            <w:gridSpan w:val="2"/>
            <w:vAlign w:val="center"/>
          </w:tcPr>
          <w:p>
            <w:pPr>
              <w:pStyle w:val="56"/>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塑料瓶</w:t>
            </w:r>
          </w:p>
        </w:tc>
        <w:tc>
          <w:tcPr>
            <w:tcW w:w="1354" w:type="dxa"/>
            <w:gridSpan w:val="2"/>
            <w:vAlign w:val="center"/>
          </w:tcPr>
          <w:p>
            <w:pPr>
              <w:pStyle w:val="56"/>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塑料袋</w:t>
            </w:r>
          </w:p>
        </w:tc>
        <w:tc>
          <w:tcPr>
            <w:tcW w:w="790" w:type="dxa"/>
            <w:vMerge w:val="restart"/>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ascii="Calibri" w:hAnsi="Calibri" w:eastAsia="宋体" w:cs="宋体"/>
                <w:kern w:val="0"/>
                <w:sz w:val="18"/>
                <w:szCs w:val="18"/>
              </w:rPr>
            </w:pPr>
            <w:r>
              <w:rPr>
                <w:rFonts w:hint="eastAsia" w:ascii="Calibri" w:hAnsi="Calibri" w:eastAsia="宋体" w:cs="宋体"/>
                <w:kern w:val="0"/>
                <w:sz w:val="18"/>
                <w:szCs w:val="18"/>
              </w:rPr>
              <w:t>农药袋</w:t>
            </w:r>
          </w:p>
          <w:p>
            <w:pPr>
              <w:pStyle w:val="56"/>
              <w:ind w:left="0" w:leftChars="0" w:firstLine="0" w:firstLineChars="0"/>
              <w:jc w:val="center"/>
              <w:rPr>
                <w:rFonts w:hint="default" w:eastAsia="宋体"/>
                <w:sz w:val="18"/>
                <w:szCs w:val="18"/>
                <w:vertAlign w:val="baseline"/>
                <w:lang w:val="en-US" w:eastAsia="zh-CN"/>
              </w:rPr>
            </w:pPr>
            <w:r>
              <w:rPr>
                <w:rFonts w:hint="eastAsia" w:ascii="Calibri" w:hAnsi="Calibri" w:cs="宋体"/>
                <w:kern w:val="0"/>
                <w:sz w:val="18"/>
                <w:szCs w:val="18"/>
                <w:lang w:val="en-US" w:eastAsia="zh-CN"/>
              </w:rPr>
              <w:t>/kg</w:t>
            </w:r>
          </w:p>
        </w:tc>
        <w:tc>
          <w:tcPr>
            <w:tcW w:w="1561" w:type="dxa"/>
            <w:gridSpan w:val="2"/>
            <w:vAlign w:val="center"/>
          </w:tcPr>
          <w:p>
            <w:pPr>
              <w:pStyle w:val="56"/>
              <w:ind w:left="0" w:leftChars="0" w:firstLine="0" w:firstLineChars="0"/>
              <w:jc w:val="center"/>
              <w:rPr>
                <w:rFonts w:hint="default" w:eastAsia="宋体"/>
                <w:sz w:val="18"/>
                <w:szCs w:val="18"/>
                <w:vertAlign w:val="baseline"/>
                <w:lang w:val="en-US" w:eastAsia="zh-CN"/>
              </w:rPr>
            </w:pPr>
            <w:r>
              <w:rPr>
                <w:rFonts w:hint="eastAsia" w:ascii="Calibri" w:hAnsi="Calibri" w:eastAsia="宋体" w:cs="宋体"/>
                <w:kern w:val="0"/>
                <w:sz w:val="18"/>
                <w:szCs w:val="18"/>
              </w:rPr>
              <w:t>农药瓶</w:t>
            </w:r>
            <w:r>
              <w:rPr>
                <w:rFonts w:hint="eastAsia" w:ascii="Calibri" w:hAnsi="Calibri" w:cs="宋体"/>
                <w:kern w:val="0"/>
                <w:sz w:val="18"/>
                <w:szCs w:val="18"/>
                <w:lang w:val="en-US" w:eastAsia="zh-CN"/>
              </w:rPr>
              <w:t>/kg</w:t>
            </w:r>
          </w:p>
        </w:tc>
        <w:tc>
          <w:tcPr>
            <w:tcW w:w="821" w:type="dxa"/>
            <w:vMerge w:val="restart"/>
            <w:vAlign w:val="center"/>
          </w:tcPr>
          <w:p>
            <w:pPr>
              <w:pStyle w:val="56"/>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支付金额/元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36" w:type="dxa"/>
            <w:vMerge w:val="continue"/>
            <w:vAlign w:val="center"/>
          </w:tcPr>
          <w:p>
            <w:pPr>
              <w:pStyle w:val="56"/>
              <w:jc w:val="center"/>
              <w:rPr>
                <w:rFonts w:hint="eastAsia"/>
                <w:sz w:val="18"/>
                <w:szCs w:val="18"/>
                <w:vertAlign w:val="baseline"/>
                <w:lang w:val="en-US" w:eastAsia="zh-CN"/>
              </w:rPr>
            </w:pPr>
          </w:p>
        </w:tc>
        <w:tc>
          <w:tcPr>
            <w:tcW w:w="801" w:type="dxa"/>
            <w:vMerge w:val="continue"/>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871" w:type="dxa"/>
            <w:vMerge w:val="continue"/>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747" w:type="dxa"/>
            <w:vMerge w:val="continue"/>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653" w:type="dxa"/>
            <w:vAlign w:val="center"/>
          </w:tcPr>
          <w:p>
            <w:pPr>
              <w:pStyle w:val="56"/>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XXmL以下</w:t>
            </w:r>
          </w:p>
        </w:tc>
        <w:tc>
          <w:tcPr>
            <w:tcW w:w="653" w:type="dxa"/>
            <w:vAlign w:val="center"/>
          </w:tcPr>
          <w:p>
            <w:pPr>
              <w:pStyle w:val="56"/>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XXmL以上</w:t>
            </w:r>
          </w:p>
        </w:tc>
        <w:tc>
          <w:tcPr>
            <w:tcW w:w="653" w:type="dxa"/>
            <w:vAlign w:val="center"/>
          </w:tcPr>
          <w:p>
            <w:pPr>
              <w:pStyle w:val="56"/>
              <w:ind w:left="0" w:leftChars="0" w:firstLine="0" w:firstLineChars="0"/>
              <w:jc w:val="center"/>
              <w:rPr>
                <w:rFonts w:hint="eastAsia"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XXmL以下</w:t>
            </w:r>
          </w:p>
        </w:tc>
        <w:tc>
          <w:tcPr>
            <w:tcW w:w="653" w:type="dxa"/>
            <w:vAlign w:val="center"/>
          </w:tcPr>
          <w:p>
            <w:pPr>
              <w:pStyle w:val="56"/>
              <w:ind w:left="0" w:leftChars="0" w:firstLine="0" w:firstLineChars="0"/>
              <w:jc w:val="center"/>
              <w:rPr>
                <w:rFonts w:hint="eastAsia"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XXmL以上</w:t>
            </w:r>
          </w:p>
        </w:tc>
        <w:tc>
          <w:tcPr>
            <w:tcW w:w="677" w:type="dxa"/>
            <w:vAlign w:val="center"/>
          </w:tcPr>
          <w:p>
            <w:pPr>
              <w:pStyle w:val="56"/>
              <w:ind w:left="0" w:leftChars="0" w:firstLine="0" w:firstLineChars="0"/>
              <w:jc w:val="center"/>
              <w:rPr>
                <w:rFonts w:hint="eastAsia"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XXmL/g以下</w:t>
            </w:r>
          </w:p>
        </w:tc>
        <w:tc>
          <w:tcPr>
            <w:tcW w:w="677" w:type="dxa"/>
            <w:vAlign w:val="center"/>
          </w:tcPr>
          <w:p>
            <w:pPr>
              <w:pStyle w:val="56"/>
              <w:ind w:left="0" w:leftChars="0" w:firstLine="0" w:firstLineChars="0"/>
              <w:jc w:val="center"/>
              <w:rPr>
                <w:rFonts w:hint="eastAsia"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XXmL/g以上</w:t>
            </w:r>
          </w:p>
        </w:tc>
        <w:tc>
          <w:tcPr>
            <w:tcW w:w="790" w:type="dxa"/>
            <w:vMerge w:val="continue"/>
            <w:vAlign w:val="center"/>
          </w:tcPr>
          <w:p>
            <w:pPr>
              <w:pStyle w:val="56"/>
              <w:jc w:val="center"/>
              <w:rPr>
                <w:rFonts w:hint="eastAsia"/>
                <w:sz w:val="18"/>
                <w:szCs w:val="18"/>
                <w:vertAlign w:val="baseline"/>
                <w:lang w:val="en-US" w:eastAsia="zh-CN"/>
              </w:rPr>
            </w:pPr>
          </w:p>
        </w:tc>
        <w:tc>
          <w:tcPr>
            <w:tcW w:w="760" w:type="dxa"/>
            <w:vAlign w:val="center"/>
          </w:tcPr>
          <w:p>
            <w:pPr>
              <w:pStyle w:val="56"/>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塑料</w:t>
            </w:r>
          </w:p>
        </w:tc>
        <w:tc>
          <w:tcPr>
            <w:tcW w:w="801" w:type="dxa"/>
            <w:vAlign w:val="center"/>
          </w:tcPr>
          <w:p>
            <w:pPr>
              <w:pStyle w:val="56"/>
              <w:keepNext w:val="0"/>
              <w:keepLines w:val="0"/>
              <w:pageBreakBefore w:val="0"/>
              <w:widowControl/>
              <w:kinsoku/>
              <w:wordWrap/>
              <w:overflowPunct/>
              <w:topLinePunct w:val="0"/>
              <w:autoSpaceDE w:val="0"/>
              <w:autoSpaceDN w:val="0"/>
              <w:bidi w:val="0"/>
              <w:adjustRightInd/>
              <w:snapToGrid/>
              <w:ind w:left="0" w:leftChars="0" w:firstLine="0" w:firstLineChars="0"/>
              <w:jc w:val="both"/>
              <w:textAlignment w:val="auto"/>
              <w:rPr>
                <w:rFonts w:hint="default"/>
                <w:sz w:val="18"/>
                <w:szCs w:val="18"/>
                <w:vertAlign w:val="baseline"/>
                <w:lang w:val="en-US" w:eastAsia="zh-CN"/>
              </w:rPr>
            </w:pPr>
            <w:r>
              <w:rPr>
                <w:rFonts w:hint="eastAsia"/>
                <w:sz w:val="18"/>
                <w:szCs w:val="18"/>
                <w:vertAlign w:val="baseline"/>
                <w:lang w:val="en-US" w:eastAsia="zh-CN"/>
              </w:rPr>
              <w:t>玻璃/金属</w:t>
            </w:r>
          </w:p>
        </w:tc>
        <w:tc>
          <w:tcPr>
            <w:tcW w:w="821" w:type="dxa"/>
            <w:vMerge w:val="continue"/>
            <w:vAlign w:val="center"/>
          </w:tcPr>
          <w:p>
            <w:pPr>
              <w:pStyle w:val="56"/>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pStyle w:val="56"/>
              <w:jc w:val="center"/>
              <w:rPr>
                <w:rFonts w:hint="eastAsia"/>
                <w:sz w:val="18"/>
                <w:szCs w:val="18"/>
                <w:vertAlign w:val="baseline"/>
                <w:lang w:val="en-US" w:eastAsia="zh-CN"/>
              </w:rPr>
            </w:pPr>
          </w:p>
        </w:tc>
        <w:tc>
          <w:tcPr>
            <w:tcW w:w="80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87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747"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790" w:type="dxa"/>
            <w:vAlign w:val="center"/>
          </w:tcPr>
          <w:p>
            <w:pPr>
              <w:pStyle w:val="56"/>
              <w:jc w:val="center"/>
              <w:rPr>
                <w:rFonts w:hint="eastAsia"/>
                <w:sz w:val="18"/>
                <w:szCs w:val="18"/>
                <w:vertAlign w:val="baseline"/>
                <w:lang w:val="en-US" w:eastAsia="zh-CN"/>
              </w:rPr>
            </w:pPr>
          </w:p>
        </w:tc>
        <w:tc>
          <w:tcPr>
            <w:tcW w:w="760" w:type="dxa"/>
            <w:vAlign w:val="center"/>
          </w:tcPr>
          <w:p>
            <w:pPr>
              <w:pStyle w:val="56"/>
              <w:jc w:val="center"/>
              <w:rPr>
                <w:rFonts w:hint="eastAsia"/>
                <w:sz w:val="18"/>
                <w:szCs w:val="18"/>
                <w:vertAlign w:val="baseline"/>
                <w:lang w:val="en-US" w:eastAsia="zh-CN"/>
              </w:rPr>
            </w:pPr>
          </w:p>
        </w:tc>
        <w:tc>
          <w:tcPr>
            <w:tcW w:w="801" w:type="dxa"/>
            <w:vAlign w:val="center"/>
          </w:tcPr>
          <w:p>
            <w:pPr>
              <w:pStyle w:val="56"/>
              <w:jc w:val="center"/>
              <w:rPr>
                <w:rFonts w:hint="eastAsia"/>
                <w:sz w:val="18"/>
                <w:szCs w:val="18"/>
                <w:vertAlign w:val="baseline"/>
                <w:lang w:val="en-US" w:eastAsia="zh-CN"/>
              </w:rPr>
            </w:pPr>
          </w:p>
        </w:tc>
        <w:tc>
          <w:tcPr>
            <w:tcW w:w="821" w:type="dxa"/>
            <w:vAlign w:val="center"/>
          </w:tcPr>
          <w:p>
            <w:pPr>
              <w:pStyle w:val="56"/>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pStyle w:val="56"/>
              <w:jc w:val="center"/>
              <w:rPr>
                <w:rFonts w:hint="eastAsia"/>
                <w:sz w:val="18"/>
                <w:szCs w:val="18"/>
                <w:vertAlign w:val="baseline"/>
                <w:lang w:val="en-US" w:eastAsia="zh-CN"/>
              </w:rPr>
            </w:pPr>
          </w:p>
        </w:tc>
        <w:tc>
          <w:tcPr>
            <w:tcW w:w="80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87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747"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790" w:type="dxa"/>
            <w:vAlign w:val="center"/>
          </w:tcPr>
          <w:p>
            <w:pPr>
              <w:pStyle w:val="56"/>
              <w:jc w:val="center"/>
              <w:rPr>
                <w:rFonts w:hint="eastAsia"/>
                <w:sz w:val="18"/>
                <w:szCs w:val="18"/>
                <w:vertAlign w:val="baseline"/>
                <w:lang w:val="en-US" w:eastAsia="zh-CN"/>
              </w:rPr>
            </w:pPr>
          </w:p>
        </w:tc>
        <w:tc>
          <w:tcPr>
            <w:tcW w:w="760" w:type="dxa"/>
            <w:vAlign w:val="center"/>
          </w:tcPr>
          <w:p>
            <w:pPr>
              <w:pStyle w:val="56"/>
              <w:jc w:val="center"/>
              <w:rPr>
                <w:rFonts w:hint="eastAsia"/>
                <w:sz w:val="18"/>
                <w:szCs w:val="18"/>
                <w:vertAlign w:val="baseline"/>
                <w:lang w:val="en-US" w:eastAsia="zh-CN"/>
              </w:rPr>
            </w:pPr>
          </w:p>
        </w:tc>
        <w:tc>
          <w:tcPr>
            <w:tcW w:w="801" w:type="dxa"/>
            <w:vAlign w:val="center"/>
          </w:tcPr>
          <w:p>
            <w:pPr>
              <w:pStyle w:val="56"/>
              <w:jc w:val="center"/>
              <w:rPr>
                <w:rFonts w:hint="eastAsia"/>
                <w:sz w:val="18"/>
                <w:szCs w:val="18"/>
                <w:vertAlign w:val="baseline"/>
                <w:lang w:val="en-US" w:eastAsia="zh-CN"/>
              </w:rPr>
            </w:pPr>
          </w:p>
        </w:tc>
        <w:tc>
          <w:tcPr>
            <w:tcW w:w="821" w:type="dxa"/>
            <w:vAlign w:val="center"/>
          </w:tcPr>
          <w:p>
            <w:pPr>
              <w:pStyle w:val="56"/>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pStyle w:val="56"/>
              <w:jc w:val="center"/>
              <w:rPr>
                <w:rFonts w:hint="eastAsia"/>
                <w:sz w:val="18"/>
                <w:szCs w:val="18"/>
                <w:vertAlign w:val="baseline"/>
                <w:lang w:val="en-US" w:eastAsia="zh-CN"/>
              </w:rPr>
            </w:pPr>
          </w:p>
        </w:tc>
        <w:tc>
          <w:tcPr>
            <w:tcW w:w="80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87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747"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790" w:type="dxa"/>
            <w:vAlign w:val="center"/>
          </w:tcPr>
          <w:p>
            <w:pPr>
              <w:pStyle w:val="56"/>
              <w:jc w:val="center"/>
              <w:rPr>
                <w:rFonts w:hint="eastAsia"/>
                <w:sz w:val="18"/>
                <w:szCs w:val="18"/>
                <w:vertAlign w:val="baseline"/>
                <w:lang w:val="en-US" w:eastAsia="zh-CN"/>
              </w:rPr>
            </w:pPr>
          </w:p>
        </w:tc>
        <w:tc>
          <w:tcPr>
            <w:tcW w:w="760" w:type="dxa"/>
            <w:vAlign w:val="center"/>
          </w:tcPr>
          <w:p>
            <w:pPr>
              <w:pStyle w:val="56"/>
              <w:jc w:val="center"/>
              <w:rPr>
                <w:rFonts w:hint="eastAsia"/>
                <w:sz w:val="18"/>
                <w:szCs w:val="18"/>
                <w:vertAlign w:val="baseline"/>
                <w:lang w:val="en-US" w:eastAsia="zh-CN"/>
              </w:rPr>
            </w:pPr>
          </w:p>
        </w:tc>
        <w:tc>
          <w:tcPr>
            <w:tcW w:w="801" w:type="dxa"/>
            <w:vAlign w:val="center"/>
          </w:tcPr>
          <w:p>
            <w:pPr>
              <w:pStyle w:val="56"/>
              <w:jc w:val="center"/>
              <w:rPr>
                <w:rFonts w:hint="eastAsia"/>
                <w:sz w:val="18"/>
                <w:szCs w:val="18"/>
                <w:vertAlign w:val="baseline"/>
                <w:lang w:val="en-US" w:eastAsia="zh-CN"/>
              </w:rPr>
            </w:pPr>
          </w:p>
        </w:tc>
        <w:tc>
          <w:tcPr>
            <w:tcW w:w="821" w:type="dxa"/>
            <w:vAlign w:val="center"/>
          </w:tcPr>
          <w:p>
            <w:pPr>
              <w:pStyle w:val="56"/>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pStyle w:val="56"/>
              <w:jc w:val="center"/>
              <w:rPr>
                <w:rFonts w:hint="eastAsia"/>
                <w:sz w:val="18"/>
                <w:szCs w:val="18"/>
                <w:vertAlign w:val="baseline"/>
                <w:lang w:val="en-US" w:eastAsia="zh-CN"/>
              </w:rPr>
            </w:pPr>
          </w:p>
        </w:tc>
        <w:tc>
          <w:tcPr>
            <w:tcW w:w="80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87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747"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790" w:type="dxa"/>
            <w:vAlign w:val="center"/>
          </w:tcPr>
          <w:p>
            <w:pPr>
              <w:pStyle w:val="56"/>
              <w:jc w:val="center"/>
              <w:rPr>
                <w:rFonts w:hint="eastAsia"/>
                <w:sz w:val="18"/>
                <w:szCs w:val="18"/>
                <w:vertAlign w:val="baseline"/>
                <w:lang w:val="en-US" w:eastAsia="zh-CN"/>
              </w:rPr>
            </w:pPr>
          </w:p>
        </w:tc>
        <w:tc>
          <w:tcPr>
            <w:tcW w:w="760" w:type="dxa"/>
            <w:vAlign w:val="center"/>
          </w:tcPr>
          <w:p>
            <w:pPr>
              <w:pStyle w:val="56"/>
              <w:jc w:val="center"/>
              <w:rPr>
                <w:rFonts w:hint="eastAsia"/>
                <w:sz w:val="18"/>
                <w:szCs w:val="18"/>
                <w:vertAlign w:val="baseline"/>
                <w:lang w:val="en-US" w:eastAsia="zh-CN"/>
              </w:rPr>
            </w:pPr>
          </w:p>
        </w:tc>
        <w:tc>
          <w:tcPr>
            <w:tcW w:w="801" w:type="dxa"/>
            <w:vAlign w:val="center"/>
          </w:tcPr>
          <w:p>
            <w:pPr>
              <w:pStyle w:val="56"/>
              <w:jc w:val="center"/>
              <w:rPr>
                <w:rFonts w:hint="eastAsia"/>
                <w:sz w:val="18"/>
                <w:szCs w:val="18"/>
                <w:vertAlign w:val="baseline"/>
                <w:lang w:val="en-US" w:eastAsia="zh-CN"/>
              </w:rPr>
            </w:pPr>
          </w:p>
        </w:tc>
        <w:tc>
          <w:tcPr>
            <w:tcW w:w="821" w:type="dxa"/>
            <w:vAlign w:val="center"/>
          </w:tcPr>
          <w:p>
            <w:pPr>
              <w:pStyle w:val="56"/>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pStyle w:val="56"/>
              <w:jc w:val="center"/>
              <w:rPr>
                <w:rFonts w:hint="eastAsia"/>
                <w:sz w:val="18"/>
                <w:szCs w:val="18"/>
                <w:vertAlign w:val="baseline"/>
                <w:lang w:val="en-US" w:eastAsia="zh-CN"/>
              </w:rPr>
            </w:pPr>
          </w:p>
        </w:tc>
        <w:tc>
          <w:tcPr>
            <w:tcW w:w="80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87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747"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790" w:type="dxa"/>
            <w:vAlign w:val="center"/>
          </w:tcPr>
          <w:p>
            <w:pPr>
              <w:pStyle w:val="56"/>
              <w:jc w:val="center"/>
              <w:rPr>
                <w:rFonts w:hint="eastAsia"/>
                <w:sz w:val="18"/>
                <w:szCs w:val="18"/>
                <w:vertAlign w:val="baseline"/>
                <w:lang w:val="en-US" w:eastAsia="zh-CN"/>
              </w:rPr>
            </w:pPr>
          </w:p>
        </w:tc>
        <w:tc>
          <w:tcPr>
            <w:tcW w:w="760" w:type="dxa"/>
            <w:vAlign w:val="center"/>
          </w:tcPr>
          <w:p>
            <w:pPr>
              <w:pStyle w:val="56"/>
              <w:jc w:val="center"/>
              <w:rPr>
                <w:rFonts w:hint="eastAsia"/>
                <w:sz w:val="18"/>
                <w:szCs w:val="18"/>
                <w:vertAlign w:val="baseline"/>
                <w:lang w:val="en-US" w:eastAsia="zh-CN"/>
              </w:rPr>
            </w:pPr>
          </w:p>
        </w:tc>
        <w:tc>
          <w:tcPr>
            <w:tcW w:w="801" w:type="dxa"/>
            <w:vAlign w:val="center"/>
          </w:tcPr>
          <w:p>
            <w:pPr>
              <w:pStyle w:val="56"/>
              <w:jc w:val="center"/>
              <w:rPr>
                <w:rFonts w:hint="eastAsia"/>
                <w:sz w:val="18"/>
                <w:szCs w:val="18"/>
                <w:vertAlign w:val="baseline"/>
                <w:lang w:val="en-US" w:eastAsia="zh-CN"/>
              </w:rPr>
            </w:pPr>
          </w:p>
        </w:tc>
        <w:tc>
          <w:tcPr>
            <w:tcW w:w="821" w:type="dxa"/>
            <w:vAlign w:val="center"/>
          </w:tcPr>
          <w:p>
            <w:pPr>
              <w:pStyle w:val="56"/>
              <w:jc w:val="center"/>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pStyle w:val="56"/>
              <w:jc w:val="center"/>
              <w:rPr>
                <w:rFonts w:hint="eastAsia"/>
                <w:sz w:val="18"/>
                <w:szCs w:val="18"/>
                <w:vertAlign w:val="baseline"/>
                <w:lang w:val="en-US" w:eastAsia="zh-CN"/>
              </w:rPr>
            </w:pPr>
          </w:p>
        </w:tc>
        <w:tc>
          <w:tcPr>
            <w:tcW w:w="80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871"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747" w:type="dxa"/>
            <w:vAlign w:val="center"/>
          </w:tcPr>
          <w:p>
            <w:pPr>
              <w:pStyle w:val="56"/>
              <w:ind w:firstLine="360" w:firstLineChars="200"/>
              <w:jc w:val="center"/>
              <w:rPr>
                <w:rFonts w:hint="eastAsia" w:ascii="宋体" w:hAnsi="Times New Roman" w:eastAsia="宋体" w:cs="Times New Roman"/>
                <w:sz w:val="18"/>
                <w:szCs w:val="18"/>
                <w:vertAlign w:val="baseline"/>
                <w:lang w:val="en-US" w:eastAsia="zh-CN" w:bidi="ar-SA"/>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53"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677" w:type="dxa"/>
            <w:vAlign w:val="center"/>
          </w:tcPr>
          <w:p>
            <w:pPr>
              <w:pStyle w:val="56"/>
              <w:jc w:val="center"/>
              <w:rPr>
                <w:rFonts w:hint="eastAsia"/>
                <w:sz w:val="18"/>
                <w:szCs w:val="18"/>
                <w:vertAlign w:val="baseline"/>
                <w:lang w:val="en-US" w:eastAsia="zh-CN"/>
              </w:rPr>
            </w:pPr>
          </w:p>
        </w:tc>
        <w:tc>
          <w:tcPr>
            <w:tcW w:w="790" w:type="dxa"/>
            <w:vAlign w:val="center"/>
          </w:tcPr>
          <w:p>
            <w:pPr>
              <w:pStyle w:val="56"/>
              <w:jc w:val="center"/>
              <w:rPr>
                <w:rFonts w:hint="eastAsia"/>
                <w:sz w:val="18"/>
                <w:szCs w:val="18"/>
                <w:vertAlign w:val="baseline"/>
                <w:lang w:val="en-US" w:eastAsia="zh-CN"/>
              </w:rPr>
            </w:pPr>
          </w:p>
        </w:tc>
        <w:tc>
          <w:tcPr>
            <w:tcW w:w="760" w:type="dxa"/>
            <w:vAlign w:val="center"/>
          </w:tcPr>
          <w:p>
            <w:pPr>
              <w:pStyle w:val="56"/>
              <w:jc w:val="center"/>
              <w:rPr>
                <w:rFonts w:hint="eastAsia"/>
                <w:sz w:val="18"/>
                <w:szCs w:val="18"/>
                <w:vertAlign w:val="baseline"/>
                <w:lang w:val="en-US" w:eastAsia="zh-CN"/>
              </w:rPr>
            </w:pPr>
          </w:p>
        </w:tc>
        <w:tc>
          <w:tcPr>
            <w:tcW w:w="801" w:type="dxa"/>
            <w:vAlign w:val="center"/>
          </w:tcPr>
          <w:p>
            <w:pPr>
              <w:pStyle w:val="56"/>
              <w:jc w:val="center"/>
              <w:rPr>
                <w:rFonts w:hint="eastAsia"/>
                <w:sz w:val="18"/>
                <w:szCs w:val="18"/>
                <w:vertAlign w:val="baseline"/>
                <w:lang w:val="en-US" w:eastAsia="zh-CN"/>
              </w:rPr>
            </w:pPr>
          </w:p>
        </w:tc>
        <w:tc>
          <w:tcPr>
            <w:tcW w:w="821" w:type="dxa"/>
            <w:vAlign w:val="center"/>
          </w:tcPr>
          <w:p>
            <w:pPr>
              <w:pStyle w:val="56"/>
              <w:jc w:val="center"/>
              <w:rPr>
                <w:rFonts w:hint="eastAsia"/>
                <w:sz w:val="18"/>
                <w:szCs w:val="18"/>
                <w:vertAlign w:val="baseline"/>
                <w:lang w:val="en-US" w:eastAsia="zh-CN"/>
              </w:rPr>
            </w:pPr>
          </w:p>
        </w:tc>
      </w:tr>
    </w:tbl>
    <w:p>
      <w:pPr>
        <w:pStyle w:val="56"/>
        <w:ind w:firstLine="420"/>
        <w:rPr>
          <w:rFonts w:hint="eastAsia"/>
          <w:b/>
          <w:bCs/>
          <w:sz w:val="18"/>
          <w:szCs w:val="18"/>
          <w:lang w:val="en-US" w:eastAsia="zh-CN"/>
        </w:rPr>
      </w:pPr>
      <w:r>
        <w:rPr>
          <w:rFonts w:hint="eastAsia"/>
          <w:b/>
          <w:bCs/>
          <w:sz w:val="18"/>
          <w:szCs w:val="18"/>
          <w:lang w:val="en-US" w:eastAsia="zh-CN"/>
        </w:rPr>
        <w:t>备注：表格下应列出各规格农药包装废弃物对应的价格。</w:t>
      </w:r>
    </w:p>
    <w:p>
      <w:pPr>
        <w:pStyle w:val="56"/>
        <w:ind w:firstLine="420"/>
        <w:rPr>
          <w:rFonts w:hint="eastAsia"/>
          <w:lang w:val="en-US" w:eastAsia="zh-CN"/>
        </w:rPr>
      </w:pPr>
    </w:p>
    <w:p>
      <w:pPr>
        <w:pStyle w:val="56"/>
        <w:ind w:firstLine="420"/>
        <w:rPr>
          <w:rFonts w:hint="eastAsia"/>
          <w:lang w:val="en-US" w:eastAsia="zh-CN"/>
        </w:rPr>
      </w:pPr>
    </w:p>
    <w:p>
      <w:pPr>
        <w:pStyle w:val="56"/>
        <w:ind w:firstLine="420"/>
        <w:rPr>
          <w:rFonts w:hint="eastAsia"/>
          <w:lang w:val="en-US" w:eastAsia="zh-CN"/>
        </w:rPr>
      </w:pPr>
    </w:p>
    <w:p>
      <w:pPr>
        <w:pStyle w:val="76"/>
        <w:spacing w:before="78" w:after="156"/>
      </w:pPr>
      <w:bookmarkStart w:id="54" w:name="_Toc12968"/>
      <w:r>
        <w:br w:type="textWrapping"/>
      </w:r>
      <w:r>
        <w:rPr>
          <w:rFonts w:hint="eastAsia"/>
        </w:rPr>
        <w:t>（资料性）</w:t>
      </w:r>
      <w:r>
        <w:br w:type="textWrapping"/>
      </w:r>
      <w:r>
        <w:rPr>
          <w:rFonts w:hint="eastAsia"/>
          <w:lang w:eastAsia="zh-CN"/>
        </w:rPr>
        <w:t>农药包装废弃物处置出库记录表</w:t>
      </w:r>
      <w:bookmarkEnd w:id="54"/>
    </w:p>
    <w:p>
      <w:pPr>
        <w:pStyle w:val="56"/>
        <w:rPr>
          <w:rFonts w:hint="default"/>
          <w:lang w:val="en-US"/>
        </w:rPr>
      </w:pPr>
      <w:r>
        <w:rPr>
          <w:rFonts w:hint="eastAsia"/>
          <w:lang w:eastAsia="zh-CN"/>
        </w:rPr>
        <w:t>农药包装废弃物处置出库记录表见</w:t>
      </w:r>
      <w:r>
        <w:rPr>
          <w:rFonts w:hint="eastAsia"/>
          <w:lang w:val="en-US" w:eastAsia="zh-CN"/>
        </w:rPr>
        <w:t>B.1。</w:t>
      </w:r>
    </w:p>
    <w:p>
      <w:pPr>
        <w:pStyle w:val="77"/>
        <w:numPr>
          <w:ilvl w:val="1"/>
          <w:numId w:val="0"/>
        </w:numPr>
        <w:spacing w:before="156" w:after="156"/>
        <w:ind w:left="420" w:leftChars="0"/>
        <w:jc w:val="center"/>
        <w:rPr>
          <w:rFonts w:hint="eastAsia"/>
          <w:lang w:val="en-US" w:eastAsia="zh-CN"/>
        </w:rPr>
      </w:pPr>
      <w:r>
        <w:rPr>
          <w:rFonts w:hint="eastAsia"/>
          <w:lang w:val="en-US" w:eastAsia="zh-CN"/>
        </w:rPr>
        <w:t>表B.1 XXX县收储点农药包装废弃物出库记录表</w:t>
      </w:r>
    </w:p>
    <w:p>
      <w:pPr>
        <w:pStyle w:val="56"/>
        <w:rPr>
          <w:rFonts w:hint="default"/>
          <w:lang w:val="en-US" w:eastAsia="zh-CN"/>
        </w:rPr>
      </w:pPr>
      <w:r>
        <w:rPr>
          <w:rFonts w:hint="eastAsia"/>
          <w:lang w:val="en-US" w:eastAsia="zh-CN"/>
        </w:rPr>
        <w:t>时间：    年    月    日                                       经办人：</w:t>
      </w:r>
    </w:p>
    <w:tbl>
      <w:tblPr>
        <w:tblStyle w:val="27"/>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753"/>
        <w:gridCol w:w="996"/>
        <w:gridCol w:w="1653"/>
        <w:gridCol w:w="91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074" w:type="dxa"/>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处置单位</w:t>
            </w:r>
          </w:p>
        </w:tc>
        <w:tc>
          <w:tcPr>
            <w:tcW w:w="2753" w:type="dxa"/>
            <w:vAlign w:val="center"/>
          </w:tcPr>
          <w:p>
            <w:pPr>
              <w:pStyle w:val="56"/>
              <w:ind w:left="0" w:leftChars="0" w:firstLine="0" w:firstLineChars="0"/>
              <w:jc w:val="center"/>
              <w:rPr>
                <w:rFonts w:hint="default"/>
                <w:sz w:val="21"/>
                <w:szCs w:val="21"/>
                <w:vertAlign w:val="baseline"/>
                <w:lang w:val="en-US" w:eastAsia="zh-CN"/>
              </w:rPr>
            </w:pPr>
          </w:p>
        </w:tc>
        <w:tc>
          <w:tcPr>
            <w:tcW w:w="996" w:type="dxa"/>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联系人</w:t>
            </w:r>
          </w:p>
        </w:tc>
        <w:tc>
          <w:tcPr>
            <w:tcW w:w="1653" w:type="dxa"/>
            <w:vAlign w:val="center"/>
          </w:tcPr>
          <w:p>
            <w:pPr>
              <w:pStyle w:val="56"/>
              <w:ind w:left="0" w:leftChars="0" w:firstLine="0" w:firstLineChars="0"/>
              <w:jc w:val="center"/>
              <w:rPr>
                <w:rFonts w:hint="eastAsia"/>
                <w:sz w:val="21"/>
                <w:szCs w:val="21"/>
                <w:vertAlign w:val="baseline"/>
                <w:lang w:val="en-US" w:eastAsia="zh-CN"/>
              </w:rPr>
            </w:pPr>
          </w:p>
        </w:tc>
        <w:tc>
          <w:tcPr>
            <w:tcW w:w="915" w:type="dxa"/>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电话</w:t>
            </w:r>
          </w:p>
        </w:tc>
        <w:tc>
          <w:tcPr>
            <w:tcW w:w="1821" w:type="dxa"/>
            <w:vAlign w:val="center"/>
          </w:tcPr>
          <w:p>
            <w:pPr>
              <w:pStyle w:val="56"/>
              <w:ind w:left="0" w:leftChars="0" w:firstLine="0" w:firstLineChars="0"/>
              <w:jc w:val="cente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74" w:type="dxa"/>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运输单位</w:t>
            </w:r>
          </w:p>
        </w:tc>
        <w:tc>
          <w:tcPr>
            <w:tcW w:w="2753" w:type="dxa"/>
            <w:vAlign w:val="center"/>
          </w:tcPr>
          <w:p>
            <w:pPr>
              <w:pStyle w:val="56"/>
              <w:ind w:left="0" w:leftChars="0" w:firstLine="0" w:firstLineChars="0"/>
              <w:jc w:val="center"/>
              <w:rPr>
                <w:rFonts w:hint="eastAsia"/>
                <w:sz w:val="21"/>
                <w:szCs w:val="21"/>
                <w:vertAlign w:val="baseline"/>
                <w:lang w:val="en-US" w:eastAsia="zh-CN"/>
              </w:rPr>
            </w:pPr>
          </w:p>
        </w:tc>
        <w:tc>
          <w:tcPr>
            <w:tcW w:w="996" w:type="dxa"/>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联系人</w:t>
            </w:r>
          </w:p>
        </w:tc>
        <w:tc>
          <w:tcPr>
            <w:tcW w:w="1653" w:type="dxa"/>
            <w:vAlign w:val="center"/>
          </w:tcPr>
          <w:p>
            <w:pPr>
              <w:pStyle w:val="56"/>
              <w:ind w:left="0" w:leftChars="0" w:firstLine="0" w:firstLineChars="0"/>
              <w:jc w:val="center"/>
              <w:rPr>
                <w:rFonts w:hint="eastAsia"/>
                <w:sz w:val="21"/>
                <w:szCs w:val="21"/>
                <w:vertAlign w:val="baseline"/>
                <w:lang w:val="en-US" w:eastAsia="zh-CN"/>
              </w:rPr>
            </w:pPr>
          </w:p>
        </w:tc>
        <w:tc>
          <w:tcPr>
            <w:tcW w:w="915" w:type="dxa"/>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电话</w:t>
            </w:r>
          </w:p>
        </w:tc>
        <w:tc>
          <w:tcPr>
            <w:tcW w:w="1821" w:type="dxa"/>
            <w:vAlign w:val="center"/>
          </w:tcPr>
          <w:p>
            <w:pPr>
              <w:pStyle w:val="56"/>
              <w:ind w:left="0" w:leftChars="0" w:firstLine="0" w:firstLineChars="0"/>
              <w:jc w:val="cente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212" w:type="dxa"/>
            <w:gridSpan w:val="6"/>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农药包装废弃物种类及重量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74" w:type="dxa"/>
            <w:vAlign w:val="center"/>
          </w:tcPr>
          <w:p>
            <w:pPr>
              <w:pStyle w:val="56"/>
              <w:ind w:left="0" w:leftChars="0" w:firstLine="0" w:firstLineChars="0"/>
              <w:jc w:val="center"/>
              <w:rPr>
                <w:rFonts w:hint="eastAsia" w:ascii="宋体" w:hAnsi="Times New Roman" w:eastAsia="宋体" w:cs="Times New Roman"/>
                <w:sz w:val="21"/>
                <w:szCs w:val="21"/>
                <w:vertAlign w:val="baseline"/>
                <w:lang w:val="en-US" w:eastAsia="zh-CN" w:bidi="ar-SA"/>
              </w:rPr>
            </w:pPr>
            <w:r>
              <w:rPr>
                <w:rFonts w:hint="eastAsia" w:cs="Times New Roman"/>
                <w:sz w:val="21"/>
                <w:szCs w:val="21"/>
                <w:vertAlign w:val="baseline"/>
                <w:lang w:val="en-US" w:eastAsia="zh-CN" w:bidi="ar-SA"/>
              </w:rPr>
              <w:t>种类</w:t>
            </w:r>
          </w:p>
        </w:tc>
        <w:tc>
          <w:tcPr>
            <w:tcW w:w="2753" w:type="dxa"/>
            <w:vAlign w:val="center"/>
          </w:tcPr>
          <w:p>
            <w:pPr>
              <w:pStyle w:val="56"/>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重量/kg</w:t>
            </w:r>
          </w:p>
        </w:tc>
        <w:tc>
          <w:tcPr>
            <w:tcW w:w="2649" w:type="dxa"/>
            <w:gridSpan w:val="2"/>
            <w:vAlign w:val="center"/>
          </w:tcPr>
          <w:p>
            <w:pPr>
              <w:pStyle w:val="56"/>
              <w:ind w:left="0" w:leftChars="0" w:firstLine="0" w:firstLineChars="0"/>
              <w:jc w:val="center"/>
              <w:rPr>
                <w:rFonts w:hint="eastAsia" w:ascii="宋体" w:hAnsi="Times New Roman" w:eastAsia="宋体" w:cs="Times New Roman"/>
                <w:sz w:val="21"/>
                <w:szCs w:val="21"/>
                <w:vertAlign w:val="baseline"/>
                <w:lang w:val="en-US" w:eastAsia="zh-CN" w:bidi="ar-SA"/>
              </w:rPr>
            </w:pPr>
            <w:r>
              <w:rPr>
                <w:rFonts w:hint="eastAsia" w:cs="Times New Roman"/>
                <w:sz w:val="21"/>
                <w:szCs w:val="21"/>
                <w:vertAlign w:val="baseline"/>
                <w:lang w:val="en-US" w:eastAsia="zh-CN" w:bidi="ar-SA"/>
              </w:rPr>
              <w:t>种类</w:t>
            </w:r>
          </w:p>
        </w:tc>
        <w:tc>
          <w:tcPr>
            <w:tcW w:w="2736" w:type="dxa"/>
            <w:gridSpan w:val="2"/>
            <w:vAlign w:val="center"/>
          </w:tcPr>
          <w:p>
            <w:pPr>
              <w:pStyle w:val="56"/>
              <w:ind w:left="0" w:leftChars="0" w:firstLine="0" w:firstLineChars="0"/>
              <w:jc w:val="center"/>
              <w:rPr>
                <w:rFonts w:hint="default" w:ascii="宋体" w:hAnsi="Times New Roman" w:eastAsia="宋体" w:cs="Times New Roman"/>
                <w:sz w:val="21"/>
                <w:szCs w:val="21"/>
                <w:vertAlign w:val="baseline"/>
                <w:lang w:val="en-US" w:eastAsia="zh-CN" w:bidi="ar-SA"/>
              </w:rPr>
            </w:pPr>
            <w:r>
              <w:rPr>
                <w:rFonts w:hint="eastAsia"/>
                <w:sz w:val="21"/>
                <w:szCs w:val="21"/>
                <w:vertAlign w:val="baseline"/>
                <w:lang w:val="en-US" w:eastAsia="zh-CN"/>
              </w:rPr>
              <w:t>重量/kg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74" w:type="dxa"/>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玻璃瓶</w:t>
            </w:r>
          </w:p>
        </w:tc>
        <w:tc>
          <w:tcPr>
            <w:tcW w:w="2753" w:type="dxa"/>
            <w:vAlign w:val="center"/>
          </w:tcPr>
          <w:p>
            <w:pPr>
              <w:pStyle w:val="56"/>
              <w:ind w:left="0" w:leftChars="0" w:firstLine="0" w:firstLineChars="0"/>
              <w:jc w:val="center"/>
              <w:rPr>
                <w:rFonts w:hint="eastAsia"/>
                <w:sz w:val="21"/>
                <w:szCs w:val="21"/>
                <w:vertAlign w:val="baseline"/>
                <w:lang w:val="en-US" w:eastAsia="zh-CN"/>
              </w:rPr>
            </w:pPr>
          </w:p>
        </w:tc>
        <w:tc>
          <w:tcPr>
            <w:tcW w:w="2649" w:type="dxa"/>
            <w:gridSpan w:val="2"/>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塑料瓶（袋）</w:t>
            </w:r>
          </w:p>
        </w:tc>
        <w:tc>
          <w:tcPr>
            <w:tcW w:w="2736" w:type="dxa"/>
            <w:gridSpan w:val="2"/>
            <w:vAlign w:val="center"/>
          </w:tcPr>
          <w:p>
            <w:pPr>
              <w:pStyle w:val="56"/>
              <w:ind w:left="0" w:leftChars="0" w:firstLine="0" w:firstLineChars="0"/>
              <w:jc w:val="cente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74" w:type="dxa"/>
            <w:vAlign w:val="center"/>
          </w:tcPr>
          <w:p>
            <w:pPr>
              <w:pStyle w:val="56"/>
              <w:ind w:left="0" w:leftChars="0" w:firstLine="0" w:firstLineChars="0"/>
              <w:jc w:val="center"/>
              <w:rPr>
                <w:rFonts w:hint="eastAsia" w:ascii="宋体" w:hAnsi="Times New Roman" w:eastAsia="宋体" w:cs="Times New Roman"/>
                <w:sz w:val="21"/>
                <w:szCs w:val="21"/>
                <w:vertAlign w:val="baseline"/>
                <w:lang w:val="en-US" w:eastAsia="zh-CN" w:bidi="ar-SA"/>
              </w:rPr>
            </w:pPr>
            <w:r>
              <w:rPr>
                <w:rFonts w:hint="eastAsia"/>
                <w:sz w:val="21"/>
                <w:szCs w:val="21"/>
                <w:vertAlign w:val="baseline"/>
                <w:lang w:val="en-US" w:eastAsia="zh-CN"/>
              </w:rPr>
              <w:t>金属瓶</w:t>
            </w:r>
          </w:p>
        </w:tc>
        <w:tc>
          <w:tcPr>
            <w:tcW w:w="2753" w:type="dxa"/>
            <w:vAlign w:val="center"/>
          </w:tcPr>
          <w:p>
            <w:pPr>
              <w:pStyle w:val="56"/>
              <w:ind w:left="0" w:leftChars="0" w:firstLine="0" w:firstLineChars="0"/>
              <w:jc w:val="center"/>
              <w:rPr>
                <w:rFonts w:hint="eastAsia"/>
                <w:sz w:val="21"/>
                <w:szCs w:val="21"/>
                <w:vertAlign w:val="baseline"/>
                <w:lang w:val="en-US" w:eastAsia="zh-CN"/>
              </w:rPr>
            </w:pPr>
          </w:p>
        </w:tc>
        <w:tc>
          <w:tcPr>
            <w:tcW w:w="2649" w:type="dxa"/>
            <w:gridSpan w:val="2"/>
            <w:vAlign w:val="center"/>
          </w:tcPr>
          <w:p>
            <w:pPr>
              <w:pStyle w:val="56"/>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其他</w:t>
            </w:r>
          </w:p>
        </w:tc>
        <w:tc>
          <w:tcPr>
            <w:tcW w:w="2736" w:type="dxa"/>
            <w:gridSpan w:val="2"/>
            <w:vAlign w:val="center"/>
          </w:tcPr>
          <w:p>
            <w:pPr>
              <w:pStyle w:val="56"/>
              <w:ind w:left="0" w:leftChars="0" w:firstLine="0" w:firstLineChars="0"/>
              <w:jc w:val="cente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74" w:type="dxa"/>
            <w:vAlign w:val="center"/>
          </w:tcPr>
          <w:p>
            <w:pPr>
              <w:pStyle w:val="56"/>
              <w:ind w:left="0" w:leftChars="0" w:firstLine="0" w:firstLineChars="0"/>
              <w:jc w:val="center"/>
              <w:rPr>
                <w:rFonts w:hint="default" w:ascii="宋体" w:hAnsi="Times New Roman" w:eastAsia="宋体" w:cs="Times New Roman"/>
                <w:sz w:val="21"/>
                <w:szCs w:val="21"/>
                <w:vertAlign w:val="baseline"/>
                <w:lang w:val="en-US" w:eastAsia="zh-CN" w:bidi="ar-SA"/>
              </w:rPr>
            </w:pPr>
            <w:r>
              <w:rPr>
                <w:rFonts w:hint="eastAsia" w:cs="Times New Roman"/>
                <w:sz w:val="21"/>
                <w:szCs w:val="21"/>
                <w:vertAlign w:val="baseline"/>
                <w:lang w:val="en-US" w:eastAsia="zh-CN" w:bidi="ar-SA"/>
              </w:rPr>
              <w:t>合计重量/kg</w:t>
            </w:r>
          </w:p>
        </w:tc>
        <w:tc>
          <w:tcPr>
            <w:tcW w:w="8138" w:type="dxa"/>
            <w:gridSpan w:val="5"/>
            <w:vAlign w:val="center"/>
          </w:tcPr>
          <w:p>
            <w:pPr>
              <w:pStyle w:val="56"/>
              <w:ind w:left="0" w:leftChars="0" w:firstLine="0" w:firstLineChars="0"/>
              <w:jc w:val="center"/>
              <w:rPr>
                <w:rFonts w:hint="eastAsia"/>
                <w:sz w:val="21"/>
                <w:szCs w:val="21"/>
                <w:vertAlign w:val="baseline"/>
                <w:lang w:val="en-US" w:eastAsia="zh-CN"/>
              </w:rPr>
            </w:pPr>
          </w:p>
        </w:tc>
      </w:tr>
    </w:tbl>
    <w:p>
      <w:pPr>
        <w:pStyle w:val="56"/>
        <w:ind w:firstLine="420"/>
        <w:rPr>
          <w:rFonts w:hint="default"/>
          <w:lang w:val="en-US" w:eastAsia="zh-CN"/>
        </w:rPr>
      </w:pPr>
    </w:p>
    <w:p>
      <w:pPr>
        <w:pStyle w:val="56"/>
        <w:ind w:firstLine="420"/>
        <w:rPr>
          <w:rFonts w:hint="default"/>
          <w:lang w:val="en-US" w:eastAsia="zh-CN"/>
        </w:rPr>
      </w:pPr>
    </w:p>
    <w:p>
      <w:pPr>
        <w:pStyle w:val="56"/>
        <w:ind w:firstLine="420"/>
        <w:rPr>
          <w:rFonts w:hint="default"/>
          <w:lang w:val="en-US" w:eastAsia="zh-CN"/>
        </w:rPr>
      </w:pPr>
    </w:p>
    <w:p>
      <w:pPr>
        <w:pStyle w:val="56"/>
        <w:ind w:firstLine="420"/>
        <w:rPr>
          <w:rFonts w:hint="default"/>
          <w:lang w:val="en-US" w:eastAsia="zh-CN"/>
        </w:rPr>
      </w:pPr>
    </w:p>
    <w:p>
      <w:pPr>
        <w:pStyle w:val="56"/>
        <w:ind w:firstLine="420"/>
        <w:rPr>
          <w:rFonts w:hint="default"/>
          <w:lang w:val="en-US" w:eastAsia="zh-CN"/>
        </w:rPr>
      </w:pPr>
    </w:p>
    <w:p>
      <w:pPr>
        <w:pStyle w:val="56"/>
        <w:ind w:firstLine="420"/>
        <w:rPr>
          <w:rFonts w:hint="default"/>
          <w:lang w:val="en-US" w:eastAsia="zh-CN"/>
        </w:rPr>
      </w:pPr>
    </w:p>
    <w:p>
      <w:pPr>
        <w:pStyle w:val="76"/>
        <w:spacing w:before="78" w:after="156"/>
      </w:pPr>
      <w:bookmarkStart w:id="55" w:name="_Toc19143"/>
      <w:r>
        <w:br w:type="textWrapping"/>
      </w:r>
      <w:r>
        <w:rPr>
          <w:rFonts w:hint="eastAsia"/>
        </w:rPr>
        <w:t>（资料性）</w:t>
      </w:r>
      <w:r>
        <w:br w:type="textWrapping"/>
      </w:r>
      <w:r>
        <w:rPr>
          <w:rFonts w:hint="eastAsia"/>
          <w:lang w:eastAsia="zh-CN"/>
        </w:rPr>
        <w:t>农药包装废弃物回收流程图</w:t>
      </w:r>
      <w:bookmarkEnd w:id="55"/>
    </w:p>
    <w:p>
      <w:pPr>
        <w:pStyle w:val="56"/>
        <w:rPr>
          <w:rFonts w:hint="default"/>
          <w:lang w:val="en-US" w:eastAsia="zh-CN"/>
        </w:rPr>
      </w:pPr>
      <w:r>
        <w:rPr>
          <w:rFonts w:hint="eastAsia"/>
          <w:lang w:eastAsia="zh-CN"/>
        </w:rPr>
        <w:t>农药包装废弃物回收流程图见</w:t>
      </w:r>
      <w:r>
        <w:rPr>
          <w:rFonts w:hint="eastAsia"/>
          <w:lang w:val="en-US" w:eastAsia="zh-CN"/>
        </w:rPr>
        <w:t>C.1。</w:t>
      </w:r>
    </w:p>
    <w:p>
      <w:pPr>
        <w:pStyle w:val="56"/>
        <w:ind w:firstLine="420"/>
        <w:jc w:val="center"/>
        <w:rPr>
          <w:rFonts w:hint="default"/>
          <w:lang w:val="en-US" w:eastAsia="zh-CN"/>
        </w:rPr>
      </w:pPr>
      <w:r>
        <w:rPr>
          <w:rFonts w:hint="eastAsia" w:ascii="Times New Roman"/>
          <w:lang w:val="en-US" w:eastAsia="zh-CN"/>
        </w:rPr>
        <w:t>图C</w:t>
      </w:r>
      <w:r>
        <w:rPr>
          <w:rFonts w:hint="eastAsia" w:ascii="Times New Roman" w:eastAsia="宋体"/>
          <w:lang w:val="en-US" w:eastAsia="zh-CN"/>
        </w:rPr>
        <w:t>.1 农药包装废弃物回收流程图</w:t>
      </w:r>
    </w:p>
    <w:p>
      <w:pPr>
        <w:pStyle w:val="56"/>
        <w:ind w:firstLine="420"/>
        <w:rPr>
          <w:rFonts w:hint="eastAsia"/>
          <w:lang w:val="en-US" w:eastAsia="zh-CN"/>
        </w:rPr>
      </w:pPr>
    </w:p>
    <w:p>
      <w:pPr>
        <w:pStyle w:val="56"/>
        <w:ind w:firstLine="420"/>
        <w:rPr>
          <w:rFonts w:hint="eastAsia"/>
          <w:lang w:val="en-US" w:eastAsia="zh-CN"/>
        </w:rPr>
      </w:pPr>
      <w:r>
        <w:drawing>
          <wp:inline distT="0" distB="0" distL="114300" distR="114300">
            <wp:extent cx="5219700" cy="1318260"/>
            <wp:effectExtent l="0" t="0" r="0" b="7620"/>
            <wp:docPr id="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
                    <pic:cNvPicPr>
                      <a:picLocks noChangeAspect="1"/>
                    </pic:cNvPicPr>
                  </pic:nvPicPr>
                  <pic:blipFill>
                    <a:blip r:embed="rId14"/>
                    <a:stretch>
                      <a:fillRect/>
                    </a:stretch>
                  </pic:blipFill>
                  <pic:spPr>
                    <a:xfrm>
                      <a:off x="0" y="0"/>
                      <a:ext cx="5219700" cy="1318260"/>
                    </a:xfrm>
                    <a:prstGeom prst="rect">
                      <a:avLst/>
                    </a:prstGeom>
                    <a:noFill/>
                    <a:ln>
                      <a:noFill/>
                    </a:ln>
                  </pic:spPr>
                </pic:pic>
              </a:graphicData>
            </a:graphic>
          </wp:inline>
        </w:drawing>
      </w:r>
    </w:p>
    <w:p>
      <w:pPr>
        <w:pStyle w:val="56"/>
        <w:ind w:firstLine="420"/>
        <w:rPr>
          <w:rFonts w:hint="eastAsia"/>
          <w:lang w:val="en-US" w:eastAsia="zh-CN"/>
        </w:rPr>
      </w:pPr>
    </w:p>
    <w:p>
      <w:pPr>
        <w:pStyle w:val="56"/>
        <w:ind w:firstLine="420"/>
        <w:rPr>
          <w:rFonts w:hint="eastAsia"/>
          <w:lang w:val="en-US" w:eastAsia="zh-CN"/>
        </w:rPr>
      </w:pPr>
    </w:p>
    <w:sectPr>
      <w:pgSz w:w="11906" w:h="16838"/>
      <w:pgMar w:top="2410"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dit="forms" w:enforcement="1" w:cryptProviderType="rsaAES" w:cryptAlgorithmClass="hash" w:cryptAlgorithmType="typeAny" w:cryptAlgorithmSid="14" w:cryptSpinCount="100000" w:hash="7Jho6oAQv0Z/hoQl5s3EXtsN5xcPQgL8EJwhj3Ca3mIA/MyhRfXuqMXxlDcB2rIkrFiK1X3mGuDWBegaxG/yrw==" w:salt="KhS1NhAYI6aNiA0rH0lW7w=="/>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0F0D"/>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63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3AC"/>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3C6F"/>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C36"/>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11F"/>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3C07AD"/>
    <w:rsid w:val="01BF3B61"/>
    <w:rsid w:val="03254B79"/>
    <w:rsid w:val="0E6958D5"/>
    <w:rsid w:val="0F274207"/>
    <w:rsid w:val="11B5658C"/>
    <w:rsid w:val="1A774AE1"/>
    <w:rsid w:val="25ED364C"/>
    <w:rsid w:val="299A5696"/>
    <w:rsid w:val="2DA9497B"/>
    <w:rsid w:val="2EB262A4"/>
    <w:rsid w:val="31975217"/>
    <w:rsid w:val="34B80C6A"/>
    <w:rsid w:val="49A803FF"/>
    <w:rsid w:val="4CD5662D"/>
    <w:rsid w:val="50904CD1"/>
    <w:rsid w:val="60FD5A4F"/>
    <w:rsid w:val="62777C4C"/>
    <w:rsid w:val="648B4219"/>
    <w:rsid w:val="64EC7758"/>
    <w:rsid w:val="65942C5C"/>
    <w:rsid w:val="66473C8E"/>
    <w:rsid w:val="759E3E81"/>
    <w:rsid w:val="77D2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emf"/><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683CAA5A084DD4B5096D8F9FE00662"/>
        <w:style w:val=""/>
        <w:category>
          <w:name w:val="常规"/>
          <w:gallery w:val="placeholder"/>
        </w:category>
        <w:types>
          <w:type w:val="bbPlcHdr"/>
        </w:types>
        <w:behaviors>
          <w:behavior w:val="content"/>
        </w:behaviors>
        <w:description w:val=""/>
        <w:guid w:val="{5CDCBA41-EA53-4ADB-9DF4-5CA343D7541B}"/>
      </w:docPartPr>
      <w:docPartBody>
        <w:p>
          <w:pPr>
            <w:pStyle w:val="5"/>
          </w:pPr>
          <w:r>
            <w:rPr>
              <w:rStyle w:val="4"/>
              <w:rFonts w:hint="eastAsia"/>
            </w:rPr>
            <w:t>单击或点击此处输入文字。</w:t>
          </w:r>
        </w:p>
      </w:docPartBody>
    </w:docPart>
    <w:docPart>
      <w:docPartPr>
        <w:name w:val="814EA0ABBA914CF79136008A18BE16C7"/>
        <w:style w:val=""/>
        <w:category>
          <w:name w:val="常规"/>
          <w:gallery w:val="placeholder"/>
        </w:category>
        <w:types>
          <w:type w:val="bbPlcHdr"/>
        </w:types>
        <w:behaviors>
          <w:behavior w:val="content"/>
        </w:behaviors>
        <w:description w:val=""/>
        <w:guid w:val="{5D4AE4CF-A0E4-4227-AB07-9523653223F3}"/>
      </w:docPartPr>
      <w:docPartBody>
        <w:p>
          <w:pPr>
            <w:pStyle w:val="6"/>
          </w:pPr>
          <w:r>
            <w:rPr>
              <w:rStyle w:val="4"/>
              <w:rFonts w:hint="eastAsia"/>
            </w:rPr>
            <w:t>选择一项。</w:t>
          </w:r>
        </w:p>
      </w:docPartBody>
    </w:docPart>
    <w:docPart>
      <w:docPartPr>
        <w:name w:val="B37C6399ED09418BA562C654246BEBCE"/>
        <w:style w:val=""/>
        <w:category>
          <w:name w:val="常规"/>
          <w:gallery w:val="placeholder"/>
        </w:category>
        <w:types>
          <w:type w:val="bbPlcHdr"/>
        </w:types>
        <w:behaviors>
          <w:behavior w:val="content"/>
        </w:behaviors>
        <w:description w:val=""/>
        <w:guid w:val="{4E66F5E6-CAD4-4AB9-A2FA-52C75FA6128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B"/>
    <w:rsid w:val="00243C37"/>
    <w:rsid w:val="006714CB"/>
    <w:rsid w:val="00B43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3683CAA5A084DD4B5096D8F9FE006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14EA0ABBA914CF79136008A18BE16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37C6399ED09418BA562C654246BEBC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8AEA6-4CA3-4E4C-88AE-CD4663AA7922}">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716</Words>
  <Characters>4086</Characters>
  <Lines>34</Lines>
  <Paragraphs>9</Paragraphs>
  <TotalTime>1</TotalTime>
  <ScaleCrop>false</ScaleCrop>
  <LinksUpToDate>false</LinksUpToDate>
  <CharactersWithSpaces>4793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2021-11-15T03:31:00Z</dcterms:created>
  <dc:creator>ls</dc:creator>
  <dc:description>&lt;config cover="true" show_menu="true" version="1.0.0" doctype="SDKXY"&gt;_x000d_
&lt;/config&gt;</dc:description>
  <cp:lastModifiedBy>李阳</cp:lastModifiedBy>
  <cp:lastPrinted>2023-02-23T13:13:00Z</cp:lastPrinted>
  <dcterms:modified xsi:type="dcterms:W3CDTF">2023-02-25T13:40:12Z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2052-11.8.2.8959</vt:lpwstr>
  </property>
</Properties>
</file>