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spacing w:line="560" w:lineRule="exact"/>
        <w:rPr>
          <w:rFonts w:ascii="方正小标宋简体" w:eastAsia="方正小标宋简体"/>
          <w:spacing w:val="15"/>
          <w:sz w:val="36"/>
          <w:szCs w:val="36"/>
        </w:rPr>
      </w:pPr>
      <w:r>
        <w:rPr>
          <w:rFonts w:hint="eastAsia" w:ascii="方正小标宋简体" w:eastAsia="方正小标宋简体"/>
          <w:spacing w:val="15"/>
          <w:sz w:val="36"/>
          <w:szCs w:val="36"/>
        </w:rPr>
        <w:t>中共丽水市委党史研究室  丽水市地方志</w:t>
      </w:r>
      <w:bookmarkStart w:id="0" w:name="_GoBack"/>
      <w:bookmarkEnd w:id="0"/>
      <w:r>
        <w:rPr>
          <w:rFonts w:hint="eastAsia" w:ascii="方正小标宋简体" w:eastAsia="方正小标宋简体"/>
          <w:spacing w:val="15"/>
          <w:sz w:val="36"/>
          <w:szCs w:val="36"/>
        </w:rPr>
        <w:t>研究室</w:t>
      </w:r>
    </w:p>
    <w:p>
      <w:pPr>
        <w:spacing w:line="560" w:lineRule="exact"/>
        <w:ind w:firstLine="2535" w:firstLineChars="650"/>
        <w:rPr>
          <w:rStyle w:val="43"/>
          <w:rFonts w:hint="default" w:ascii="创艺简标宋"/>
          <w:sz w:val="36"/>
          <w:szCs w:val="36"/>
        </w:rPr>
      </w:pPr>
      <w:r>
        <w:rPr>
          <w:rFonts w:hint="eastAsia" w:ascii="方正小标宋简体" w:eastAsia="方正小标宋简体"/>
          <w:spacing w:val="15"/>
          <w:sz w:val="36"/>
          <w:szCs w:val="36"/>
        </w:rPr>
        <w:t>202</w:t>
      </w:r>
      <w:r>
        <w:rPr>
          <w:rFonts w:hint="eastAsia" w:ascii="方正小标宋简体" w:eastAsia="方正小标宋简体"/>
          <w:spacing w:val="15"/>
          <w:sz w:val="36"/>
          <w:szCs w:val="36"/>
          <w:lang w:val="en-US" w:eastAsia="zh-CN"/>
        </w:rPr>
        <w:t>2</w:t>
      </w:r>
      <w:r>
        <w:rPr>
          <w:rFonts w:hint="eastAsia" w:ascii="方正小标宋简体" w:eastAsia="方正小标宋简体"/>
          <w:spacing w:val="15"/>
          <w:sz w:val="36"/>
          <w:szCs w:val="36"/>
        </w:rPr>
        <w:t>年</w:t>
      </w:r>
      <w:r>
        <w:rPr>
          <w:rFonts w:hint="eastAsia" w:ascii="方正小标宋简体" w:eastAsia="方正小标宋简体"/>
          <w:spacing w:val="15"/>
          <w:sz w:val="36"/>
          <w:szCs w:val="36"/>
          <w:lang w:eastAsia="zh-CN"/>
        </w:rPr>
        <w:t>单位</w:t>
      </w:r>
      <w:r>
        <w:rPr>
          <w:rFonts w:hint="eastAsia" w:ascii="方正小标宋简体" w:eastAsia="方正小标宋简体"/>
          <w:spacing w:val="15"/>
          <w:sz w:val="36"/>
          <w:szCs w:val="36"/>
        </w:rPr>
        <w:t>预算</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pStyle w:val="2"/>
        <w:rPr>
          <w:rFonts w:hint="default"/>
          <w:lang w:val="en-US"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jc w:val="both"/>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pStyle w:val="2"/>
        <w:rPr>
          <w:rFonts w:hint="eastAsia"/>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年中共丽水市委党史研究室  丽水市地方志研究室</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（九）关于中共丽水市委党史研究室  丽水市地方志研究室</w:t>
      </w:r>
      <w:r>
        <w:rPr>
          <w:rFonts w:hint="eastAsia" w:ascii="楷体_GB2312" w:hAnsi="楷体_GB2312" w:eastAsia="楷体_GB2312" w:cs="楷体_GB2312"/>
          <w:b w:val="0"/>
          <w:bCs/>
          <w:sz w:val="32"/>
          <w:szCs w:val="32"/>
          <w:highlight w:val="none"/>
          <w:lang w:val="en-US" w:eastAsia="zh-CN"/>
        </w:rPr>
        <w:t>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eastAsia="zh-CN"/>
        </w:rPr>
        <w:t>中共丽水市委党史研究室  丽水市地方志研究室单位预算表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rPr>
        <w:t>部门</w:t>
      </w:r>
      <w:r>
        <w:rPr>
          <w:rFonts w:hint="eastAsia" w:ascii="楷体_GB2312" w:hAnsi="楷体_GB2312" w:eastAsia="楷体_GB2312" w:cs="楷体_GB2312"/>
          <w:b w:val="0"/>
          <w:bCs/>
          <w:sz w:val="32"/>
          <w:szCs w:val="32"/>
          <w:highlight w:val="none"/>
          <w:lang w:val="en-US" w:eastAsia="zh-CN"/>
        </w:rPr>
        <w:t>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w:t>
      </w:r>
      <w:r>
        <w:rPr>
          <w:rFonts w:hint="default" w:ascii="楷体_GB2312" w:hAnsi="楷体_GB2312" w:eastAsia="楷体_GB2312" w:cs="楷体_GB2312"/>
          <w:b w:val="0"/>
          <w:bCs/>
          <w:sz w:val="32"/>
          <w:szCs w:val="32"/>
          <w:highlight w:val="none"/>
          <w:lang w:val="en" w:eastAsia="zh-CN"/>
        </w:rPr>
        <w:t>市级</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lang w:val="en-US" w:eastAsia="zh-CN"/>
        </w:rPr>
        <w:t>项目支出预算表</w:t>
      </w: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5"/>
        <w:keepNext w:val="0"/>
        <w:keepLines w:val="0"/>
        <w:pageBreakBefore w:val="0"/>
        <w:numPr>
          <w:ilvl w:val="0"/>
          <w:numId w:val="0"/>
        </w:numPr>
        <w:kinsoku/>
        <w:wordWrap/>
        <w:overflowPunct/>
        <w:topLinePunct w:val="0"/>
        <w:bidi w:val="0"/>
        <w:snapToGrid/>
        <w:spacing w:line="240" w:lineRule="auto"/>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一、中共丽水市委党史研究室（丽水市地方志研究室）概况</w:t>
      </w:r>
    </w:p>
    <w:p>
      <w:pPr>
        <w:pStyle w:val="5"/>
        <w:keepNext w:val="0"/>
        <w:keepLines w:val="0"/>
        <w:pageBreakBefore w:val="0"/>
        <w:numPr>
          <w:ilvl w:val="0"/>
          <w:numId w:val="0"/>
        </w:numPr>
        <w:kinsoku/>
        <w:wordWrap/>
        <w:overflowPunct/>
        <w:topLinePunct w:val="0"/>
        <w:bidi w:val="0"/>
        <w:snapToGrid/>
        <w:spacing w:before="0" w:beforeAutospacing="0" w:after="0" w:afterAutospacing="0" w:line="240" w:lineRule="auto"/>
        <w:textAlignment w:val="auto"/>
        <w:rPr>
          <w:rFonts w:ascii="仿宋_GB2312" w:hAnsi="仿宋_GB2312" w:eastAsia="仿宋_GB2312" w:cs="仿宋_GB2312"/>
          <w:b/>
          <w:sz w:val="32"/>
          <w:szCs w:val="32"/>
        </w:rPr>
      </w:pPr>
      <w:r>
        <w:rPr>
          <w:rFonts w:hint="eastAsia" w:ascii="仿宋_GB2312" w:hAnsi="仿宋_GB2312" w:eastAsia="仿宋_GB2312" w:cs="仿宋_GB2312"/>
          <w:b/>
          <w:sz w:val="32"/>
          <w:szCs w:val="32"/>
        </w:rPr>
        <w:t>（一）主要职能</w:t>
      </w:r>
    </w:p>
    <w:p>
      <w:pPr>
        <w:pStyle w:val="5"/>
        <w:keepNext w:val="0"/>
        <w:keepLines w:val="0"/>
        <w:pageBreakBefore w:val="0"/>
        <w:kinsoku/>
        <w:wordWrap/>
        <w:overflowPunct/>
        <w:topLinePunct w:val="0"/>
        <w:bidi w:val="0"/>
        <w:snapToGrid/>
        <w:spacing w:line="240" w:lineRule="auto"/>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研究阐释习近平新时代中国特色社会主义思想及其在丽水的实践。研究马克思列宁主义、毛泽东思想、邓小平理论、“三个代表”重要思想、科学发展观、习近平新时代中国特色社会主义思想指导丽水工作实践，编辑党和国家领导人在丽水活动的重要文献资料。开展党的历史、党的领袖人物及老一辈革命家精神风范的宣传普及教育。</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2.研究中国共产党在丽水的历史，总结党的历史经验和优良传统，发挥党史资政育人作用。</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3.负责拟订全市党史工作发展规划、地方志工作规划和编纂方案。组织编纂丽水革命史、丽水当代史，编纂出版地方志书、地方年鉴、各类地情丛书。组织审核县级地方党史、地方志书和地方年鉴。</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4.组织党史专题研究和地方志理论研究，开展地情调查和研究，组织开发利用史志资源。</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5.审核涉及党和国家领导同志与丽水、党在丽水历史的重要文稿、档案、书籍、照片。参与审核重大革命历史题材影视作品、展览、新建纪念场馆以及地方志场馆等场馆的立项和内容等。</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6.征集整理重要党史、地方史、地方文献和市情资料，搜集、保存地方志文献和资料，组织整理旧志。</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7.运用党史和地方志资料及研究成果，开展爱国主义、革命传统和国情、地情教育。</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8.开展丽水革命文物和遗址、遗迹普查保护，指导建设丽水市</w:t>
      </w:r>
      <w:r>
        <w:rPr>
          <w:rFonts w:hint="eastAsia" w:ascii="仿宋_GB2312" w:hAnsi="仿宋_GB2312" w:eastAsia="仿宋_GB2312" w:cs="仿宋_GB2312"/>
          <w:sz w:val="32"/>
          <w:szCs w:val="32"/>
          <w:lang w:eastAsia="zh-CN"/>
        </w:rPr>
        <w:t>党史学习教育</w:t>
      </w:r>
      <w:r>
        <w:rPr>
          <w:rFonts w:hint="eastAsia" w:ascii="仿宋_GB2312" w:hAnsi="仿宋_GB2312" w:eastAsia="仿宋_GB2312" w:cs="仿宋_GB2312"/>
          <w:sz w:val="32"/>
          <w:szCs w:val="32"/>
        </w:rPr>
        <w:t>基地。</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9.指导县（市、区）开展党史、地方志工作，开展理论研究和学术交流，推进全市党史方志工作信息化建设。</w:t>
      </w:r>
    </w:p>
    <w:p>
      <w:pPr>
        <w:pStyle w:val="5"/>
        <w:keepNext w:val="0"/>
        <w:keepLines w:val="0"/>
        <w:pageBreakBefore w:val="0"/>
        <w:kinsoku/>
        <w:wordWrap/>
        <w:overflowPunct/>
        <w:topLinePunct w:val="0"/>
        <w:bidi w:val="0"/>
        <w:snapToGrid/>
        <w:spacing w:line="240" w:lineRule="auto"/>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10.完成市委、市政府交办的其他任务。</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27" w:firstLineChars="196"/>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sz w:val="32"/>
          <w:szCs w:val="32"/>
        </w:rPr>
        <w:t>从预算单位构成看，本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预算包括：本级预算</w:t>
      </w:r>
      <w:r>
        <w:rPr>
          <w:rFonts w:hint="eastAsia" w:ascii="仿宋_GB2312" w:hAnsi="仿宋_GB2312" w:eastAsia="仿宋_GB2312" w:cs="仿宋_GB2312"/>
          <w:sz w:val="32"/>
          <w:szCs w:val="32"/>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0" w:firstLineChars="0"/>
        <w:textAlignment w:val="auto"/>
        <w:outlineLvl w:val="9"/>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hAnsi="Calibri" w:eastAsia="黑体"/>
          <w:b w:val="0"/>
          <w:color w:val="000000"/>
          <w:sz w:val="32"/>
          <w:szCs w:val="32"/>
          <w:highlight w:val="none"/>
          <w:lang w:eastAsia="zh-CN"/>
        </w:rPr>
        <w:t>本单位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eastAsia="zh-CN"/>
        </w:rPr>
        <w:t>关于</w:t>
      </w:r>
      <w:r>
        <w:rPr>
          <w:rStyle w:val="9"/>
          <w:rFonts w:hint="eastAsia" w:ascii="楷体_GB2312" w:hAnsi="楷体_GB2312" w:eastAsia="楷体_GB2312" w:cs="楷体_GB2312"/>
          <w:b w:val="0"/>
          <w:bCs w:val="0"/>
          <w:color w:val="000000"/>
          <w:sz w:val="32"/>
          <w:szCs w:val="32"/>
          <w:highlight w:val="none"/>
          <w:lang w:eastAsia="zh-CN"/>
        </w:rPr>
        <w:t>本单位</w:t>
      </w:r>
      <w:r>
        <w:rPr>
          <w:rStyle w:val="9"/>
          <w:rFonts w:hint="eastAsia" w:ascii="楷体_GB2312" w:hAnsi="楷体_GB2312" w:eastAsia="楷体_GB2312" w:cs="楷体_GB2312"/>
          <w:b w:val="0"/>
          <w:bCs w:val="0"/>
          <w:color w:val="000000"/>
          <w:sz w:val="32"/>
          <w:szCs w:val="32"/>
          <w:highlight w:val="none"/>
          <w:lang w:val="en-US" w:eastAsia="zh-CN"/>
        </w:rPr>
        <w:t>2022</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right="0" w:rightChars="0" w:firstLine="321" w:firstLineChars="100"/>
        <w:jc w:val="both"/>
        <w:textAlignment w:val="auto"/>
        <w:outlineLvl w:val="9"/>
        <w:rPr>
          <w:rFonts w:hint="eastAsia" w:ascii="楷体_GB2312" w:hAnsi="楷体_GB2312" w:eastAsia="楷体_GB2312" w:cs="楷体_GB2312"/>
          <w:b/>
          <w:color w:val="auto"/>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本单位所有收入和支出均纳入部门预算管理。收入包括：一般公共预算拨款收入；支出包括：一般公共服务支出、社会保障和就业支出、卫生健康支出。本部门</w:t>
      </w:r>
      <w:r>
        <w:rPr>
          <w:rFonts w:hint="eastAsia" w:ascii="仿宋_GB2312" w:eastAsia="仿宋_GB2312"/>
          <w:color w:val="000000"/>
          <w:sz w:val="32"/>
          <w:szCs w:val="32"/>
          <w:highlight w:val="none"/>
          <w:lang w:val="en-US" w:eastAsia="zh-CN"/>
        </w:rPr>
        <w:t>2022年收支总预算581.25万元</w:t>
      </w:r>
      <w:r>
        <w:rPr>
          <w:rFonts w:hint="eastAsia" w:ascii="仿宋_GB2312" w:eastAsia="仿宋_GB2312"/>
          <w:color w:val="auto"/>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关于本单位</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本单位</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年收入预算</w:t>
      </w:r>
      <w:r>
        <w:rPr>
          <w:rFonts w:hint="eastAsia" w:ascii="仿宋_GB2312" w:hAnsi="仿宋_GB2312" w:eastAsia="仿宋_GB2312" w:cs="仿宋_GB2312"/>
          <w:color w:val="000000"/>
          <w:sz w:val="32"/>
          <w:szCs w:val="32"/>
          <w:highlight w:val="none"/>
          <w:lang w:val="en-US" w:eastAsia="zh-CN"/>
        </w:rPr>
        <w:t>581.25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8.87万元，下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主要是专项资金收入减少。</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rPr>
        <w:t>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581.25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100</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firstLineChars="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三</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关于本单位</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年支出预算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Cs/>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hAnsi="仿宋_GB2312" w:eastAsia="仿宋_GB2312" w:cs="仿宋_GB2312"/>
          <w:color w:val="000000"/>
          <w:sz w:val="32"/>
          <w:szCs w:val="32"/>
          <w:highlight w:val="none"/>
        </w:rPr>
        <w:t>　</w:t>
      </w:r>
      <w:r>
        <w:rPr>
          <w:rFonts w:hint="eastAsia" w:ascii="仿宋_GB2312" w:hAnsi="仿宋_GB2312" w:eastAsia="仿宋_GB2312" w:cs="仿宋_GB2312"/>
          <w:color w:val="000000"/>
          <w:sz w:val="32"/>
          <w:szCs w:val="32"/>
          <w:highlight w:val="none"/>
          <w:lang w:eastAsia="zh-CN"/>
        </w:rPr>
        <w:t>本单位</w:t>
      </w:r>
      <w:r>
        <w:rPr>
          <w:rFonts w:hint="eastAsia" w:ascii="仿宋_GB2312" w:hAnsi="仿宋_GB2312" w:eastAsia="仿宋_GB2312" w:cs="仿宋_GB2312"/>
          <w:color w:val="000000"/>
          <w:sz w:val="32"/>
          <w:szCs w:val="32"/>
          <w:highlight w:val="none"/>
          <w:lang w:val="en-US" w:eastAsia="zh-CN"/>
        </w:rPr>
        <w:t>2022</w:t>
      </w:r>
      <w:r>
        <w:rPr>
          <w:rFonts w:hint="eastAsia" w:ascii="仿宋_GB2312" w:hAnsi="仿宋_GB2312" w:eastAsia="仿宋_GB2312" w:cs="仿宋_GB2312"/>
          <w:color w:val="000000"/>
          <w:sz w:val="32"/>
          <w:szCs w:val="32"/>
          <w:highlight w:val="none"/>
        </w:rPr>
        <w:t>年支出预算</w:t>
      </w:r>
      <w:r>
        <w:rPr>
          <w:rFonts w:hint="eastAsia" w:ascii="仿宋_GB2312" w:hAnsi="仿宋_GB2312" w:eastAsia="仿宋_GB2312" w:cs="仿宋_GB2312"/>
          <w:color w:val="000000"/>
          <w:sz w:val="32"/>
          <w:szCs w:val="32"/>
          <w:highlight w:val="none"/>
          <w:lang w:val="en-US" w:eastAsia="zh-CN"/>
        </w:rPr>
        <w:t>581.25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8.87万元，下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主要是专项资金支出减少。</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1.按支出功能分类，包括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492.07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64.56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24.61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342.76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59</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91.49</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15.7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147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25.3</w:t>
      </w:r>
      <w:r>
        <w:rPr>
          <w:rFonts w:hint="eastAsia" w:ascii="仿宋_GB2312" w:eastAsia="仿宋_GB2312"/>
          <w:color w:val="000000"/>
          <w:sz w:val="32"/>
          <w:szCs w:val="32"/>
          <w:highlight w:val="none"/>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textAlignment w:val="auto"/>
        <w:outlineLvl w:val="9"/>
        <w:rPr>
          <w:rFonts w:hint="eastAsia" w:ascii="仿宋_GB2312" w:eastAsia="仿宋_GB2312"/>
          <w:color w:val="000000"/>
          <w:sz w:val="32"/>
          <w:szCs w:val="32"/>
          <w:highlight w:val="none"/>
          <w:lang w:eastAsia="zh-CN"/>
        </w:rPr>
      </w:pPr>
      <w:r>
        <w:rPr>
          <w:rFonts w:hint="eastAsia" w:ascii="仿宋_GB2312" w:eastAsia="仿宋_GB2312"/>
          <w:color w:val="000000"/>
          <w:sz w:val="32"/>
          <w:szCs w:val="32"/>
          <w:highlight w:val="none"/>
          <w:lang w:eastAsia="zh-CN"/>
        </w:rPr>
        <w:t>结转下年</w:t>
      </w:r>
      <w:r>
        <w:rPr>
          <w:rFonts w:hint="eastAsia" w:ascii="仿宋_GB2312" w:eastAsia="仿宋_GB2312"/>
          <w:color w:val="000000"/>
          <w:sz w:val="32"/>
          <w:szCs w:val="32"/>
          <w:highlight w:val="none"/>
          <w:lang w:val="en-US" w:eastAsia="zh-CN"/>
        </w:rPr>
        <w:t>0</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关于本单位</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本单位</w:t>
      </w:r>
      <w:r>
        <w:rPr>
          <w:rFonts w:hint="eastAsia" w:ascii="仿宋_GB2312" w:eastAsia="仿宋_GB2312"/>
          <w:color w:val="000000"/>
          <w:sz w:val="32"/>
          <w:szCs w:val="32"/>
          <w:highlight w:val="none"/>
          <w:lang w:val="en-US" w:eastAsia="zh-CN"/>
        </w:rPr>
        <w:t>2022年财政拨款收支总预算581.25万元。收入包括：一般公共预算581.25万元；支出包括：</w:t>
      </w:r>
      <w:r>
        <w:rPr>
          <w:rFonts w:hint="eastAsia" w:ascii="仿宋_GB2312" w:eastAsia="仿宋_GB2312"/>
          <w:color w:val="000000"/>
          <w:sz w:val="32"/>
          <w:szCs w:val="32"/>
          <w:highlight w:val="none"/>
          <w:lang w:eastAsia="zh-CN"/>
        </w:rPr>
        <w:t>一般公共服务支出</w:t>
      </w:r>
      <w:r>
        <w:rPr>
          <w:rFonts w:hint="eastAsia" w:ascii="仿宋_GB2312" w:eastAsia="仿宋_GB2312"/>
          <w:color w:val="000000"/>
          <w:sz w:val="32"/>
          <w:szCs w:val="32"/>
          <w:highlight w:val="none"/>
          <w:lang w:val="en-US" w:eastAsia="zh-CN"/>
        </w:rPr>
        <w:t>492.07</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，社会保障和就业支出</w:t>
      </w:r>
      <w:r>
        <w:rPr>
          <w:rFonts w:hint="eastAsia" w:ascii="仿宋_GB2312" w:eastAsia="仿宋_GB2312"/>
          <w:color w:val="000000"/>
          <w:sz w:val="32"/>
          <w:szCs w:val="32"/>
          <w:highlight w:val="none"/>
          <w:lang w:val="en-US" w:eastAsia="zh-CN"/>
        </w:rPr>
        <w:t>64.56</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、卫生健康支出</w:t>
      </w:r>
      <w:r>
        <w:rPr>
          <w:rFonts w:hint="eastAsia" w:ascii="仿宋_GB2312" w:eastAsia="仿宋_GB2312"/>
          <w:color w:val="000000"/>
          <w:sz w:val="32"/>
          <w:szCs w:val="32"/>
          <w:highlight w:val="none"/>
          <w:lang w:val="en-US" w:eastAsia="zh-CN"/>
        </w:rPr>
        <w:t>24.61</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40"/>
        <w:textAlignment w:val="auto"/>
        <w:outlineLvl w:val="9"/>
        <w:rPr>
          <w:rFonts w:hint="eastAsia" w:ascii="仿宋_GB2312" w:eastAsia="仿宋_GB2312"/>
          <w:color w:val="000000"/>
          <w:sz w:val="32"/>
          <w:szCs w:val="32"/>
          <w:highlight w:val="none"/>
          <w:lang w:val="en-US" w:eastAsia="zh-CN"/>
        </w:rPr>
      </w:pPr>
    </w:p>
    <w:p>
      <w:pPr>
        <w:keepNext w:val="0"/>
        <w:keepLines w:val="0"/>
        <w:pageBreakBefore w:val="0"/>
        <w:numPr>
          <w:ilvl w:val="0"/>
          <w:numId w:val="1"/>
        </w:numPr>
        <w:kinsoku/>
        <w:wordWrap/>
        <w:overflowPunct/>
        <w:topLinePunct w:val="0"/>
        <w:autoSpaceDE/>
        <w:autoSpaceDN/>
        <w:bidi w:val="0"/>
        <w:adjustRightInd/>
        <w:snapToGrid/>
        <w:spacing w:beforeLines="0" w:afterLines="0" w:line="240" w:lineRule="auto"/>
        <w:ind w:right="0" w:rightChars="0" w:firstLine="64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关于本单位</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本单位</w:t>
      </w:r>
      <w:r>
        <w:rPr>
          <w:rFonts w:hint="eastAsia" w:ascii="仿宋_GB2312" w:hAnsi="仿宋_GB2312" w:eastAsia="仿宋_GB2312" w:cs="仿宋_GB2312"/>
          <w:color w:val="000000"/>
          <w:sz w:val="32"/>
          <w:szCs w:val="32"/>
          <w:highlight w:val="none"/>
          <w:lang w:val="en-US" w:eastAsia="zh-CN"/>
        </w:rPr>
        <w:t>2022年一般公共预算当年拨款581.25万元，</w:t>
      </w:r>
      <w:r>
        <w:rPr>
          <w:rFonts w:hint="eastAsia" w:ascii="仿宋_GB2312" w:hAnsi="仿宋_GB2312" w:eastAsia="仿宋_GB2312" w:cs="仿宋_GB2312"/>
          <w:color w:val="000000"/>
          <w:sz w:val="32"/>
          <w:szCs w:val="32"/>
          <w:highlight w:val="none"/>
          <w:lang w:eastAsia="zh-CN"/>
        </w:rPr>
        <w:t>比上年执行数</w:t>
      </w:r>
      <w:r>
        <w:rPr>
          <w:rFonts w:hint="eastAsia" w:ascii="仿宋_GB2312" w:hAnsi="仿宋_GB2312" w:eastAsia="仿宋_GB2312" w:cs="仿宋_GB2312"/>
          <w:color w:val="000000"/>
          <w:sz w:val="32"/>
          <w:szCs w:val="32"/>
          <w:highlight w:val="none"/>
          <w:lang w:val="en-US" w:eastAsia="zh-CN"/>
        </w:rPr>
        <w:t>减</w:t>
      </w:r>
      <w:r>
        <w:rPr>
          <w:rFonts w:hint="eastAsia" w:ascii="仿宋_GB2312" w:hAnsi="仿宋_GB2312" w:eastAsia="仿宋_GB2312" w:cs="仿宋_GB2312"/>
          <w:color w:val="000000"/>
          <w:sz w:val="32"/>
          <w:szCs w:val="32"/>
          <w:highlight w:val="none"/>
          <w:lang w:eastAsia="zh-CN"/>
        </w:rPr>
        <w:t>少</w:t>
      </w:r>
      <w:r>
        <w:rPr>
          <w:rFonts w:hint="eastAsia" w:ascii="仿宋_GB2312" w:hAnsi="仿宋_GB2312" w:eastAsia="仿宋_GB2312" w:cs="仿宋_GB2312"/>
          <w:color w:val="000000"/>
          <w:sz w:val="32"/>
          <w:szCs w:val="32"/>
          <w:highlight w:val="none"/>
          <w:lang w:val="en-US" w:eastAsia="zh-CN"/>
        </w:rPr>
        <w:t>8.87万元，下</w:t>
      </w:r>
      <w:r>
        <w:rPr>
          <w:rFonts w:hint="eastAsia" w:ascii="仿宋_GB2312" w:hAnsi="仿宋_GB2312" w:eastAsia="仿宋_GB2312" w:cs="仿宋_GB2312"/>
          <w:color w:val="000000"/>
          <w:sz w:val="32"/>
          <w:highlight w:val="none"/>
        </w:rPr>
        <w:t>降</w:t>
      </w:r>
      <w:r>
        <w:rPr>
          <w:rFonts w:hint="eastAsia" w:ascii="仿宋_GB2312" w:hAnsi="仿宋_GB2312" w:eastAsia="仿宋_GB2312" w:cs="仿宋_GB2312"/>
          <w:color w:val="000000"/>
          <w:sz w:val="32"/>
          <w:highlight w:val="none"/>
          <w:lang w:val="en-US" w:eastAsia="zh-CN"/>
        </w:rPr>
        <w:t>1.5</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highlight w:val="none"/>
          <w:lang w:eastAsia="zh-CN"/>
        </w:rPr>
        <w:t>，</w:t>
      </w:r>
      <w:r>
        <w:rPr>
          <w:rFonts w:hint="eastAsia" w:ascii="仿宋_GB2312" w:hAnsi="仿宋_GB2312" w:eastAsia="仿宋_GB2312" w:cs="仿宋_GB2312"/>
          <w:color w:val="000000"/>
          <w:sz w:val="32"/>
          <w:szCs w:val="32"/>
          <w:highlight w:val="none"/>
          <w:lang w:val="en-US" w:eastAsia="zh-CN"/>
        </w:rPr>
        <w:t>主要是专项资金拨款减少。</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eastAsia="zh-CN"/>
        </w:rPr>
        <w:t>一般公共服务（类）支出</w:t>
      </w:r>
      <w:r>
        <w:rPr>
          <w:rFonts w:hint="eastAsia" w:ascii="仿宋_GB2312" w:hAnsi="仿宋_GB2312" w:eastAsia="仿宋_GB2312" w:cs="仿宋_GB2312"/>
          <w:color w:val="000000"/>
          <w:sz w:val="32"/>
          <w:szCs w:val="32"/>
          <w:highlight w:val="none"/>
          <w:lang w:val="en-US" w:eastAsia="zh-CN"/>
        </w:rPr>
        <w:t>492.07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84.66</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；社会保障和就业（类）支出</w:t>
      </w:r>
      <w:r>
        <w:rPr>
          <w:rFonts w:hint="eastAsia" w:ascii="仿宋_GB2312" w:hAnsi="仿宋_GB2312" w:eastAsia="仿宋_GB2312" w:cs="仿宋_GB2312"/>
          <w:color w:val="000000"/>
          <w:sz w:val="32"/>
          <w:szCs w:val="32"/>
          <w:highlight w:val="none"/>
          <w:lang w:val="en-US" w:eastAsia="zh-CN"/>
        </w:rPr>
        <w:t>64.56</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11.1</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；卫生健康（类）支出</w:t>
      </w:r>
      <w:r>
        <w:rPr>
          <w:rFonts w:hint="eastAsia" w:ascii="仿宋_GB2312" w:hAnsi="仿宋_GB2312" w:eastAsia="仿宋_GB2312" w:cs="仿宋_GB2312"/>
          <w:color w:val="000000"/>
          <w:sz w:val="32"/>
          <w:szCs w:val="32"/>
          <w:highlight w:val="none"/>
          <w:lang w:val="en-US" w:eastAsia="zh-CN"/>
        </w:rPr>
        <w:t>24.61</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szCs w:val="32"/>
          <w:highlight w:val="none"/>
          <w:lang w:eastAsia="zh-CN"/>
        </w:rPr>
        <w:t>，占</w:t>
      </w:r>
      <w:r>
        <w:rPr>
          <w:rFonts w:hint="eastAsia" w:ascii="仿宋_GB2312" w:hAnsi="仿宋_GB2312" w:eastAsia="仿宋_GB2312" w:cs="仿宋_GB2312"/>
          <w:color w:val="000000"/>
          <w:sz w:val="32"/>
          <w:szCs w:val="32"/>
          <w:highlight w:val="none"/>
          <w:lang w:val="en-US" w:eastAsia="zh-CN"/>
        </w:rPr>
        <w:t>4.2</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3.一般公共预算当年拨款具体使用情况。</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）一般公共服务支出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群众团体事务</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其他群众团体事务</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8</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转拨丽水新四军丽水研究会补助</w:t>
      </w:r>
      <w:r>
        <w:rPr>
          <w:rFonts w:hint="eastAsia" w:ascii="仿宋_GB2312" w:hAnsi="仿宋_GB2312" w:eastAsia="仿宋_GB2312" w:cs="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2</w:t>
      </w:r>
      <w:r>
        <w:rPr>
          <w:rFonts w:hint="eastAsia" w:ascii="仿宋_GB2312" w:hAnsi="仿宋_GB2312" w:eastAsia="仿宋_GB2312" w:cs="仿宋_GB2312"/>
          <w:color w:val="000000"/>
          <w:sz w:val="32"/>
          <w:szCs w:val="32"/>
          <w:highlight w:val="none"/>
          <w:lang w:eastAsia="zh-CN"/>
        </w:rPr>
        <w:t>）一般公共服务支出</w:t>
      </w:r>
      <w:r>
        <w:rPr>
          <w:rFonts w:hint="eastAsia" w:ascii="仿宋_GB2312" w:hAnsi="仿宋_GB2312" w:eastAsia="仿宋_GB2312" w:cs="仿宋_GB2312"/>
          <w:color w:val="000000"/>
          <w:sz w:val="32"/>
          <w:szCs w:val="32"/>
          <w:highlight w:val="none"/>
        </w:rPr>
        <w:t>（类）</w:t>
      </w:r>
      <w:r>
        <w:rPr>
          <w:rFonts w:hint="eastAsia" w:ascii="仿宋_GB2312" w:hAnsi="仿宋_GB2312" w:eastAsia="仿宋_GB2312" w:cs="仿宋_GB2312"/>
          <w:color w:val="000000"/>
          <w:sz w:val="32"/>
          <w:szCs w:val="32"/>
          <w:highlight w:val="none"/>
          <w:lang w:eastAsia="zh-CN"/>
        </w:rPr>
        <w:t>其他共产党事务支出</w:t>
      </w:r>
      <w:r>
        <w:rPr>
          <w:rFonts w:hint="eastAsia" w:ascii="仿宋_GB2312" w:hAnsi="仿宋_GB2312" w:eastAsia="仿宋_GB2312" w:cs="仿宋_GB2312"/>
          <w:color w:val="000000"/>
          <w:sz w:val="32"/>
          <w:szCs w:val="32"/>
          <w:highlight w:val="none"/>
        </w:rPr>
        <w:t>（款）</w:t>
      </w:r>
      <w:r>
        <w:rPr>
          <w:rFonts w:hint="eastAsia" w:ascii="仿宋_GB2312" w:hAnsi="仿宋_GB2312" w:eastAsia="仿宋_GB2312" w:cs="仿宋_GB2312"/>
          <w:color w:val="000000"/>
          <w:sz w:val="32"/>
          <w:szCs w:val="32"/>
          <w:highlight w:val="none"/>
          <w:lang w:eastAsia="zh-CN"/>
        </w:rPr>
        <w:t>行政运行</w:t>
      </w:r>
      <w:r>
        <w:rPr>
          <w:rFonts w:hint="eastAsia" w:ascii="仿宋_GB2312" w:hAnsi="仿宋_GB2312" w:eastAsia="仿宋_GB2312" w:cs="仿宋_GB2312"/>
          <w:color w:val="000000"/>
          <w:sz w:val="32"/>
          <w:szCs w:val="32"/>
          <w:highlight w:val="none"/>
        </w:rPr>
        <w:t>（项）</w:t>
      </w:r>
      <w:r>
        <w:rPr>
          <w:rFonts w:hint="eastAsia" w:ascii="仿宋_GB2312" w:hAnsi="仿宋_GB2312" w:eastAsia="仿宋_GB2312" w:cs="仿宋_GB2312"/>
          <w:color w:val="000000"/>
          <w:sz w:val="32"/>
          <w:szCs w:val="32"/>
          <w:highlight w:val="none"/>
          <w:lang w:val="en-US" w:eastAsia="zh-CN"/>
        </w:rPr>
        <w:t>345.07</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eastAsia="zh-CN"/>
        </w:rPr>
        <w:t>本级单位</w:t>
      </w:r>
      <w:r>
        <w:rPr>
          <w:rFonts w:hint="eastAsia" w:ascii="仿宋_GB2312" w:hAnsi="仿宋_GB2312" w:eastAsia="仿宋_GB2312" w:cs="仿宋_GB2312"/>
          <w:sz w:val="32"/>
          <w:szCs w:val="32"/>
        </w:rPr>
        <w:t>人员支出及办公费、劳务费、会议费、招待费、差旅费、邮电费、福利费、工会费、维护费及其他</w:t>
      </w:r>
      <w:r>
        <w:rPr>
          <w:rFonts w:hint="eastAsia" w:ascii="仿宋_GB2312" w:hAnsi="仿宋_GB2312" w:eastAsia="仿宋_GB2312" w:cs="仿宋_GB2312"/>
          <w:sz w:val="32"/>
          <w:szCs w:val="32"/>
          <w:lang w:eastAsia="zh-CN"/>
        </w:rPr>
        <w:t>日常公用支出</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sz w:val="32"/>
          <w:szCs w:val="32"/>
          <w:highlight w:val="none"/>
        </w:rPr>
        <w:t>。</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textAlignment w:val="auto"/>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）一般公共服务支出（类）其他共产党事务支出（款）其他共产党事务支出（项）</w:t>
      </w:r>
      <w:r>
        <w:rPr>
          <w:rFonts w:hint="eastAsia" w:ascii="仿宋_GB2312" w:hAnsi="仿宋_GB2312" w:eastAsia="仿宋_GB2312" w:cs="仿宋_GB2312"/>
          <w:sz w:val="32"/>
          <w:szCs w:val="32"/>
          <w:lang w:val="en-US" w:eastAsia="zh-CN"/>
        </w:rPr>
        <w:t>139</w:t>
      </w:r>
      <w:r>
        <w:rPr>
          <w:rFonts w:hint="eastAsia" w:ascii="仿宋_GB2312" w:hAnsi="仿宋_GB2312" w:eastAsia="仿宋_GB2312" w:cs="仿宋_GB2312"/>
          <w:sz w:val="32"/>
          <w:szCs w:val="32"/>
        </w:rPr>
        <w:t>万元:主要用于本级单位《丽水市志》出版印刷、</w:t>
      </w:r>
      <w:r>
        <w:rPr>
          <w:rFonts w:hint="eastAsia" w:ascii="仿宋_GB2312" w:hAnsi="仿宋_GB2312" w:eastAsia="仿宋_GB2312" w:cs="仿宋_GB2312"/>
          <w:sz w:val="32"/>
          <w:szCs w:val="32"/>
          <w:lang w:eastAsia="zh-CN"/>
        </w:rPr>
        <w:t>丽水年鉴出版印刷、党史学习教育</w:t>
      </w:r>
      <w:r>
        <w:rPr>
          <w:rFonts w:hint="eastAsia" w:ascii="仿宋_GB2312" w:hAnsi="仿宋_GB2312" w:eastAsia="仿宋_GB2312" w:cs="仿宋_GB2312"/>
          <w:sz w:val="32"/>
          <w:szCs w:val="32"/>
        </w:rPr>
        <w:t>宣传印刷、党史编写等</w:t>
      </w:r>
      <w:r>
        <w:rPr>
          <w:rFonts w:hint="eastAsia" w:ascii="仿宋_GB2312" w:hAnsi="仿宋_GB2312" w:eastAsia="仿宋_GB2312" w:cs="仿宋_GB2312"/>
          <w:sz w:val="32"/>
          <w:szCs w:val="32"/>
          <w:lang w:eastAsia="zh-CN"/>
        </w:rPr>
        <w:t>。</w:t>
      </w:r>
    </w:p>
    <w:p>
      <w:pPr>
        <w:pStyle w:val="2"/>
        <w:keepNext w:val="0"/>
        <w:keepLines w:val="0"/>
        <w:pageBreakBefore w:val="0"/>
        <w:kinsoku/>
        <w:wordWrap/>
        <w:overflowPunct/>
        <w:topLinePunct w:val="0"/>
        <w:bidi w:val="0"/>
        <w:snapToGrid/>
        <w:spacing w:line="240" w:lineRule="auto"/>
        <w:ind w:firstLine="640" w:firstLineChars="200"/>
        <w:textAlignment w:val="auto"/>
        <w:rPr>
          <w:rFonts w:hint="eastAsia" w:cs="仿宋_GB2312"/>
          <w:kern w:val="0"/>
          <w:sz w:val="32"/>
          <w:szCs w:val="32"/>
          <w:lang w:eastAsia="zh-CN"/>
        </w:rPr>
      </w:pPr>
      <w:r>
        <w:rPr>
          <w:rFonts w:hint="eastAsia" w:cs="仿宋_GB2312"/>
          <w:kern w:val="0"/>
          <w:sz w:val="32"/>
          <w:szCs w:val="32"/>
          <w:lang w:eastAsia="zh-CN"/>
        </w:rPr>
        <w:t>（</w:t>
      </w:r>
      <w:r>
        <w:rPr>
          <w:rFonts w:hint="eastAsia" w:cs="仿宋_GB2312"/>
          <w:kern w:val="0"/>
          <w:sz w:val="32"/>
          <w:szCs w:val="32"/>
          <w:lang w:val="en-US" w:eastAsia="zh-CN"/>
        </w:rPr>
        <w:t>4</w:t>
      </w:r>
      <w:r>
        <w:rPr>
          <w:rFonts w:hint="eastAsia" w:cs="仿宋_GB2312"/>
          <w:kern w:val="0"/>
          <w:sz w:val="32"/>
          <w:szCs w:val="32"/>
          <w:lang w:eastAsia="zh-CN"/>
        </w:rPr>
        <w:t>）社会保障和就业支出（类）行政事业单位养老支出（款）行政单位离退休（项）</w:t>
      </w:r>
      <w:r>
        <w:rPr>
          <w:rFonts w:hint="eastAsia" w:cs="仿宋_GB2312"/>
          <w:kern w:val="0"/>
          <w:sz w:val="32"/>
          <w:szCs w:val="32"/>
          <w:lang w:val="en-US" w:eastAsia="zh-CN"/>
        </w:rPr>
        <w:t>40.49</w:t>
      </w:r>
      <w:r>
        <w:rPr>
          <w:rFonts w:hint="eastAsia" w:cs="仿宋_GB2312"/>
          <w:kern w:val="0"/>
          <w:sz w:val="32"/>
          <w:szCs w:val="32"/>
          <w:lang w:eastAsia="zh-CN"/>
        </w:rPr>
        <w:t>万元，主要用于本单位退休人员支出</w:t>
      </w:r>
    </w:p>
    <w:p>
      <w:pPr>
        <w:pStyle w:val="2"/>
        <w:keepNext w:val="0"/>
        <w:keepLines w:val="0"/>
        <w:pageBreakBefore w:val="0"/>
        <w:kinsoku/>
        <w:wordWrap/>
        <w:overflowPunct/>
        <w:topLinePunct w:val="0"/>
        <w:bidi w:val="0"/>
        <w:snapToGrid/>
        <w:spacing w:line="240" w:lineRule="auto"/>
        <w:ind w:firstLine="640" w:firstLineChars="200"/>
        <w:textAlignment w:val="auto"/>
        <w:rPr>
          <w:rFonts w:hint="eastAsia" w:cs="仿宋_GB2312"/>
          <w:kern w:val="0"/>
          <w:sz w:val="32"/>
          <w:szCs w:val="32"/>
          <w:lang w:eastAsia="zh-CN"/>
        </w:rPr>
      </w:pPr>
      <w:r>
        <w:rPr>
          <w:rFonts w:hint="eastAsia" w:cs="仿宋_GB2312"/>
          <w:kern w:val="0"/>
          <w:sz w:val="32"/>
          <w:szCs w:val="32"/>
          <w:lang w:eastAsia="zh-CN"/>
        </w:rPr>
        <w:t>（</w:t>
      </w:r>
      <w:r>
        <w:rPr>
          <w:rFonts w:hint="eastAsia" w:cs="仿宋_GB2312"/>
          <w:kern w:val="0"/>
          <w:sz w:val="32"/>
          <w:szCs w:val="32"/>
          <w:lang w:val="en-US" w:eastAsia="zh-CN"/>
        </w:rPr>
        <w:t>5</w:t>
      </w:r>
      <w:r>
        <w:rPr>
          <w:rFonts w:hint="eastAsia" w:cs="仿宋_GB2312"/>
          <w:kern w:val="0"/>
          <w:sz w:val="32"/>
          <w:szCs w:val="32"/>
          <w:lang w:eastAsia="zh-CN"/>
        </w:rPr>
        <w:t>）社会保障和就业支出（类）行政事业单位养老支出（款）机关事业单位基本养老保险缴费支出（项）</w:t>
      </w:r>
      <w:r>
        <w:rPr>
          <w:rFonts w:hint="eastAsia" w:cs="仿宋_GB2312"/>
          <w:kern w:val="0"/>
          <w:sz w:val="32"/>
          <w:szCs w:val="32"/>
          <w:lang w:val="en-US" w:eastAsia="zh-CN"/>
        </w:rPr>
        <w:t>14.99</w:t>
      </w:r>
      <w:r>
        <w:rPr>
          <w:rFonts w:hint="eastAsia" w:cs="仿宋_GB2312"/>
          <w:kern w:val="0"/>
          <w:sz w:val="32"/>
          <w:szCs w:val="32"/>
          <w:lang w:eastAsia="zh-CN"/>
        </w:rPr>
        <w:t>万元，主要用于本单位实施养老保险制度由单位缴纳的基本养老保险费支出。  </w:t>
      </w:r>
    </w:p>
    <w:p>
      <w:pPr>
        <w:pStyle w:val="2"/>
        <w:keepNext w:val="0"/>
        <w:keepLines w:val="0"/>
        <w:pageBreakBefore w:val="0"/>
        <w:kinsoku/>
        <w:wordWrap/>
        <w:overflowPunct/>
        <w:topLinePunct w:val="0"/>
        <w:bidi w:val="0"/>
        <w:snapToGrid/>
        <w:spacing w:line="240" w:lineRule="auto"/>
        <w:ind w:firstLine="640" w:firstLineChars="200"/>
        <w:textAlignment w:val="auto"/>
        <w:rPr>
          <w:rFonts w:hint="eastAsia" w:cs="仿宋_GB2312"/>
          <w:kern w:val="0"/>
          <w:sz w:val="32"/>
          <w:szCs w:val="32"/>
          <w:lang w:eastAsia="zh-CN"/>
        </w:rPr>
      </w:pPr>
      <w:r>
        <w:rPr>
          <w:rFonts w:hint="eastAsia" w:cs="仿宋_GB2312"/>
          <w:kern w:val="0"/>
          <w:sz w:val="32"/>
          <w:szCs w:val="32"/>
          <w:lang w:eastAsia="zh-CN"/>
        </w:rPr>
        <w:t>（</w:t>
      </w:r>
      <w:r>
        <w:rPr>
          <w:rFonts w:hint="eastAsia" w:cs="仿宋_GB2312"/>
          <w:kern w:val="0"/>
          <w:sz w:val="32"/>
          <w:szCs w:val="32"/>
          <w:lang w:val="en-US" w:eastAsia="zh-CN"/>
        </w:rPr>
        <w:t>6</w:t>
      </w:r>
      <w:r>
        <w:rPr>
          <w:rFonts w:hint="eastAsia" w:cs="仿宋_GB2312"/>
          <w:kern w:val="0"/>
          <w:sz w:val="32"/>
          <w:szCs w:val="32"/>
          <w:lang w:eastAsia="zh-CN"/>
        </w:rPr>
        <w:t>）社会保障和就业支出（类）行政事业单位养老支出（款）机关事业单位职业年金缴费支出（项）</w:t>
      </w:r>
      <w:r>
        <w:rPr>
          <w:rFonts w:hint="eastAsia" w:cs="仿宋_GB2312"/>
          <w:kern w:val="0"/>
          <w:sz w:val="32"/>
          <w:szCs w:val="32"/>
          <w:lang w:val="en-US" w:eastAsia="zh-CN"/>
        </w:rPr>
        <w:t>7.49万元，</w:t>
      </w:r>
      <w:r>
        <w:rPr>
          <w:rFonts w:hint="eastAsia" w:cs="仿宋_GB2312"/>
          <w:kern w:val="0"/>
          <w:sz w:val="32"/>
          <w:szCs w:val="32"/>
          <w:lang w:eastAsia="zh-CN"/>
        </w:rPr>
        <w:t>主要用于本单位实施养老保险制度由单位实际缴纳的职业年金支出。</w:t>
      </w:r>
    </w:p>
    <w:p>
      <w:pPr>
        <w:pStyle w:val="2"/>
        <w:keepNext w:val="0"/>
        <w:keepLines w:val="0"/>
        <w:pageBreakBefore w:val="0"/>
        <w:kinsoku/>
        <w:wordWrap/>
        <w:overflowPunct/>
        <w:topLinePunct w:val="0"/>
        <w:bidi w:val="0"/>
        <w:snapToGrid/>
        <w:spacing w:line="240" w:lineRule="auto"/>
        <w:ind w:firstLine="640" w:firstLineChars="200"/>
        <w:textAlignment w:val="auto"/>
        <w:rPr>
          <w:rFonts w:hint="eastAsia" w:cs="仿宋_GB2312"/>
          <w:kern w:val="0"/>
          <w:sz w:val="32"/>
          <w:szCs w:val="32"/>
          <w:lang w:eastAsia="zh-CN"/>
        </w:rPr>
      </w:pPr>
      <w:r>
        <w:rPr>
          <w:rFonts w:hint="eastAsia" w:cs="仿宋_GB2312"/>
          <w:kern w:val="0"/>
          <w:sz w:val="32"/>
          <w:szCs w:val="32"/>
          <w:lang w:eastAsia="zh-CN"/>
        </w:rPr>
        <w:t>（</w:t>
      </w:r>
      <w:r>
        <w:rPr>
          <w:rFonts w:hint="eastAsia" w:cs="仿宋_GB2312"/>
          <w:kern w:val="0"/>
          <w:sz w:val="32"/>
          <w:szCs w:val="32"/>
          <w:lang w:val="en-US" w:eastAsia="zh-CN"/>
        </w:rPr>
        <w:t>7</w:t>
      </w:r>
      <w:r>
        <w:rPr>
          <w:rFonts w:hint="eastAsia" w:cs="仿宋_GB2312"/>
          <w:kern w:val="0"/>
          <w:sz w:val="32"/>
          <w:szCs w:val="32"/>
          <w:lang w:eastAsia="zh-CN"/>
        </w:rPr>
        <w:t>）社会保障和就业支出（类）其他社会保障和就业支出（款）其他社会保障和就业支出（项）事务</w:t>
      </w:r>
      <w:r>
        <w:rPr>
          <w:rFonts w:hint="eastAsia" w:cs="仿宋_GB2312"/>
          <w:kern w:val="0"/>
          <w:sz w:val="32"/>
          <w:szCs w:val="32"/>
          <w:lang w:val="en-US" w:eastAsia="zh-CN"/>
        </w:rPr>
        <w:t>1.59</w:t>
      </w:r>
      <w:r>
        <w:rPr>
          <w:rFonts w:hint="eastAsia" w:cs="仿宋_GB2312"/>
          <w:kern w:val="0"/>
          <w:sz w:val="32"/>
          <w:szCs w:val="32"/>
          <w:lang w:eastAsia="zh-CN"/>
        </w:rPr>
        <w:t>万元，主要用于本单位人员其他社会保障和就业方面包括工伤保险、事业保险等支出。 </w:t>
      </w:r>
    </w:p>
    <w:p>
      <w:pPr>
        <w:pStyle w:val="2"/>
        <w:keepNext w:val="0"/>
        <w:keepLines w:val="0"/>
        <w:pageBreakBefore w:val="0"/>
        <w:kinsoku/>
        <w:wordWrap/>
        <w:overflowPunct/>
        <w:topLinePunct w:val="0"/>
        <w:bidi w:val="0"/>
        <w:snapToGrid/>
        <w:spacing w:line="240" w:lineRule="auto"/>
        <w:ind w:firstLine="640" w:firstLineChars="200"/>
        <w:textAlignment w:val="auto"/>
        <w:rPr>
          <w:rFonts w:hint="eastAsia" w:cs="仿宋_GB2312"/>
          <w:kern w:val="0"/>
          <w:sz w:val="32"/>
          <w:szCs w:val="32"/>
          <w:lang w:eastAsia="zh-CN"/>
        </w:rPr>
      </w:pPr>
      <w:r>
        <w:rPr>
          <w:rFonts w:hint="eastAsia" w:cs="仿宋_GB2312"/>
          <w:kern w:val="0"/>
          <w:sz w:val="32"/>
          <w:szCs w:val="32"/>
          <w:lang w:val="en-US" w:eastAsia="zh-CN"/>
        </w:rPr>
        <w:t>（8）</w:t>
      </w:r>
      <w:r>
        <w:rPr>
          <w:rFonts w:hint="eastAsia" w:cs="仿宋_GB2312"/>
          <w:kern w:val="0"/>
          <w:sz w:val="32"/>
          <w:szCs w:val="32"/>
          <w:lang w:eastAsia="zh-CN"/>
        </w:rPr>
        <w:t>卫生健康支出（类）行政事业单位医疗（款）行政单位医疗（项）</w:t>
      </w:r>
      <w:r>
        <w:rPr>
          <w:rFonts w:hint="eastAsia" w:cs="仿宋_GB2312"/>
          <w:kern w:val="0"/>
          <w:sz w:val="32"/>
          <w:szCs w:val="32"/>
          <w:lang w:val="en-US" w:eastAsia="zh-CN"/>
        </w:rPr>
        <w:t>24.61</w:t>
      </w:r>
      <w:r>
        <w:rPr>
          <w:rFonts w:hint="eastAsia" w:cs="仿宋_GB2312"/>
          <w:kern w:val="0"/>
          <w:sz w:val="32"/>
          <w:szCs w:val="32"/>
          <w:lang w:eastAsia="zh-CN"/>
        </w:rPr>
        <w:t>万元，主要用于本单位人员</w:t>
      </w:r>
      <w:r>
        <w:rPr>
          <w:rFonts w:hint="eastAsia" w:cs="仿宋_GB2312"/>
          <w:kern w:val="0"/>
          <w:sz w:val="32"/>
          <w:szCs w:val="32"/>
          <w:lang w:val="en-US" w:eastAsia="zh-CN"/>
        </w:rPr>
        <w:t>医疗</w:t>
      </w:r>
      <w:r>
        <w:rPr>
          <w:rFonts w:hint="eastAsia" w:cs="仿宋_GB2312"/>
          <w:kern w:val="0"/>
          <w:sz w:val="32"/>
          <w:szCs w:val="32"/>
          <w:lang w:eastAsia="zh-CN"/>
        </w:rPr>
        <w:t>支出。</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320" w:firstLineChars="10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（六）</w:t>
      </w:r>
      <w:r>
        <w:rPr>
          <w:rFonts w:hint="eastAsia" w:ascii="楷体_GB2312" w:hAnsi="楷体_GB2312" w:eastAsia="楷体_GB2312" w:cs="楷体_GB2312"/>
          <w:b w:val="0"/>
          <w:bCs/>
          <w:color w:val="000000"/>
          <w:sz w:val="32"/>
          <w:szCs w:val="32"/>
          <w:highlight w:val="none"/>
          <w:lang w:eastAsia="zh-CN"/>
        </w:rPr>
        <w:t>关于本单位</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本单位</w:t>
      </w:r>
      <w:r>
        <w:rPr>
          <w:rFonts w:hint="eastAsia" w:ascii="仿宋_GB2312" w:eastAsia="仿宋_GB2312"/>
          <w:color w:val="000000"/>
          <w:sz w:val="32"/>
          <w:szCs w:val="32"/>
          <w:highlight w:val="none"/>
          <w:lang w:val="en-US" w:eastAsia="zh-CN"/>
        </w:rPr>
        <w:t>2022</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434.25万元，其中：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w:t>
      </w:r>
      <w:r>
        <w:rPr>
          <w:rFonts w:hint="eastAsia" w:ascii="仿宋_GB2312" w:eastAsia="仿宋_GB2312"/>
          <w:color w:val="000000"/>
          <w:sz w:val="32"/>
          <w:szCs w:val="32"/>
          <w:highlight w:val="none"/>
          <w:lang w:val="en-US" w:eastAsia="zh-CN"/>
        </w:rPr>
        <w:t>342.76</w:t>
      </w:r>
      <w:r>
        <w:rPr>
          <w:rFonts w:hint="eastAsia" w:ascii="仿宋_GB2312" w:eastAsia="仿宋_GB2312" w:cs="Times New Roman"/>
          <w:b w:val="0"/>
          <w:color w:val="000000"/>
          <w:sz w:val="32"/>
          <w:szCs w:val="32"/>
          <w:highlight w:val="none"/>
          <w:lang w:val="en-US" w:eastAsia="zh-CN"/>
        </w:rPr>
        <w:t xml:space="preserve">万元，主要包括：基本工资、津贴补贴、奖金、机关事业单位基本养老保险缴费、职业年金缴费、职工基本医疗保险缴费、公务员医疗补助缴费、其他社会保障缴费、住房公积金、医疗费、其他工资福利支出、离休费、退休费、医疗费补助、其他对个人和家庭的补助。 </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left="0" w:leftChars="0" w:right="0" w:rightChars="0" w:firstLine="640" w:firstLineChars="20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w:t>
      </w:r>
      <w:r>
        <w:rPr>
          <w:rFonts w:hint="eastAsia" w:ascii="仿宋_GB2312" w:eastAsia="仿宋_GB2312"/>
          <w:color w:val="000000"/>
          <w:sz w:val="32"/>
          <w:szCs w:val="32"/>
          <w:highlight w:val="none"/>
          <w:lang w:val="en-US" w:eastAsia="zh-CN"/>
        </w:rPr>
        <w:t>91.49</w:t>
      </w:r>
      <w:r>
        <w:rPr>
          <w:rFonts w:hint="eastAsia" w:ascii="仿宋_GB2312" w:eastAsia="仿宋_GB2312" w:cs="Times New Roman"/>
          <w:b w:val="0"/>
          <w:color w:val="000000"/>
          <w:sz w:val="32"/>
          <w:szCs w:val="32"/>
          <w:highlight w:val="none"/>
          <w:lang w:val="en-US" w:eastAsia="zh-CN"/>
        </w:rPr>
        <w:t>万元，主要包括：办公费、印刷费、邮电费、差旅费、维修（护）费、会议费、培训费、公务接待费、劳务费、委托业务费、工会经费、福利费、其他交通费用、其他商品和服务支出。</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（七）关于本单位</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p>
    <w:p>
      <w:pPr>
        <w:pStyle w:val="5"/>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color w:val="000000"/>
          <w:sz w:val="32"/>
          <w:szCs w:val="32"/>
          <w:highlight w:val="none"/>
          <w:lang w:val="en-US" w:eastAsia="zh-CN"/>
        </w:rPr>
        <w:t>2021年没有使用政府</w:t>
      </w:r>
      <w:r>
        <w:rPr>
          <w:rFonts w:hint="eastAsia" w:ascii="仿宋_GB2312" w:hAnsi="仿宋_GB2312" w:eastAsia="仿宋_GB2312" w:cs="仿宋_GB2312"/>
          <w:sz w:val="32"/>
          <w:szCs w:val="32"/>
          <w:lang w:eastAsia="zh-CN"/>
        </w:rPr>
        <w:t>本单位</w:t>
      </w:r>
      <w:r>
        <w:rPr>
          <w:rFonts w:hint="eastAsia" w:ascii="仿宋_GB2312" w:hAnsi="仿宋_GB2312" w:eastAsia="仿宋_GB2312" w:cs="仿宋_GB2312"/>
          <w:color w:val="000000"/>
          <w:sz w:val="32"/>
          <w:szCs w:val="32"/>
          <w:highlight w:val="none"/>
          <w:lang w:val="en-US" w:eastAsia="zh-CN"/>
        </w:rPr>
        <w:t>2021年没有使用政府性基金预算拨款安排的支出。基金预算拨款安排的支出。</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（八）国有资本经营预算</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本单位2022年没有使用国有资本经营预算拨款安排的支出。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240" w:lineRule="auto"/>
        <w:ind w:left="0" w:leftChars="0" w:right="0" w:rightChars="0" w:firstLine="627" w:firstLineChars="196"/>
        <w:textAlignment w:val="auto"/>
        <w:outlineLvl w:val="9"/>
        <w:rPr>
          <w:rFonts w:hint="default" w:ascii="楷体_GB2312" w:hAnsi="楷体_GB2312" w:eastAsia="楷体_GB2312" w:cs="楷体_GB2312"/>
          <w:b/>
          <w:bCs/>
          <w:color w:val="auto"/>
          <w:sz w:val="32"/>
          <w:szCs w:val="32"/>
          <w:highlight w:val="none"/>
          <w:lang w:val="en-US"/>
        </w:rPr>
      </w:pPr>
      <w:r>
        <w:rPr>
          <w:rFonts w:hint="eastAsia" w:ascii="楷体_GB2312" w:hAnsi="楷体_GB2312" w:eastAsia="楷体_GB2312" w:cs="楷体_GB2312"/>
          <w:b w:val="0"/>
          <w:bCs/>
          <w:color w:val="000000"/>
          <w:sz w:val="32"/>
          <w:szCs w:val="32"/>
          <w:highlight w:val="none"/>
          <w:lang w:eastAsia="zh-CN"/>
        </w:rPr>
        <w:t>（九）关于本单位</w:t>
      </w:r>
      <w:r>
        <w:rPr>
          <w:rFonts w:hint="eastAsia" w:ascii="楷体_GB2312" w:hAnsi="楷体_GB2312" w:eastAsia="楷体_GB2312" w:cs="楷体_GB2312"/>
          <w:b w:val="0"/>
          <w:bCs/>
          <w:color w:val="000000"/>
          <w:sz w:val="32"/>
          <w:szCs w:val="32"/>
          <w:highlight w:val="none"/>
          <w:lang w:val="en-US" w:eastAsia="zh-CN"/>
        </w:rPr>
        <w:t>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p>
    <w:p>
      <w:pPr>
        <w:keepNext w:val="0"/>
        <w:keepLines w:val="0"/>
        <w:pageBreakBefore w:val="0"/>
        <w:kinsoku/>
        <w:wordWrap/>
        <w:overflowPunct/>
        <w:topLinePunct w:val="0"/>
        <w:bidi w:val="0"/>
        <w:snapToGrid/>
        <w:spacing w:beforeLines="0" w:afterLines="0" w:line="240" w:lineRule="auto"/>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eastAsia="zh-CN"/>
        </w:rPr>
        <w:t>本单位</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2.27</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，与</w:t>
      </w:r>
      <w:r>
        <w:rPr>
          <w:rFonts w:hint="eastAsia" w:ascii="仿宋_GB2312" w:hAnsi="仿宋_GB2312" w:eastAsia="仿宋_GB2312" w:cs="Times New Roman"/>
          <w:kern w:val="2"/>
          <w:sz w:val="32"/>
          <w:szCs w:val="20"/>
          <w:highlight w:val="none"/>
          <w:shd w:val="clear" w:color="auto" w:fill="FFFFFF"/>
          <w:lang w:val="en-US" w:eastAsia="zh-CN" w:bidi="ar"/>
        </w:rPr>
        <w:t>上年执行数持平。</w:t>
      </w:r>
      <w:r>
        <w:rPr>
          <w:rFonts w:hint="eastAsia" w:ascii="仿宋_GB2312" w:hAnsi="仿宋_GB2312" w:eastAsia="仿宋_GB2312"/>
          <w:sz w:val="32"/>
          <w:highlight w:val="none"/>
          <w:lang w:eastAsia="zh-CN"/>
        </w:rPr>
        <w:t>具体如下：</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1.因公出国（境）费用：根据市外办安排的因公出国计划和实际工作需要，202</w:t>
      </w:r>
      <w:r>
        <w:rPr>
          <w:rFonts w:hint="eastAsia" w:ascii="楷体_GB2312" w:hAnsi="楷体_GB2312" w:eastAsia="楷体_GB2312" w:cs="楷体_GB2312"/>
          <w:b w:val="0"/>
          <w:bCs/>
          <w:sz w:val="32"/>
          <w:szCs w:val="32"/>
          <w:highlight w:val="none"/>
          <w:lang w:val="en-US" w:eastAsia="zh-CN"/>
        </w:rPr>
        <w:t>2</w:t>
      </w:r>
      <w:r>
        <w:rPr>
          <w:rFonts w:hint="eastAsia" w:ascii="楷体_GB2312" w:hAnsi="楷体_GB2312" w:eastAsia="楷体_GB2312" w:cs="楷体_GB2312"/>
          <w:b w:val="0"/>
          <w:bCs/>
          <w:sz w:val="32"/>
          <w:szCs w:val="32"/>
          <w:highlight w:val="none"/>
        </w:rPr>
        <w:t>年安排因公出国（境）费用预算0万元，与上年持平。</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2.公务接待费：202</w:t>
      </w:r>
      <w:r>
        <w:rPr>
          <w:rFonts w:hint="eastAsia" w:ascii="楷体_GB2312" w:hAnsi="楷体_GB2312" w:eastAsia="楷体_GB2312" w:cs="楷体_GB2312"/>
          <w:b w:val="0"/>
          <w:bCs/>
          <w:sz w:val="32"/>
          <w:szCs w:val="32"/>
          <w:highlight w:val="none"/>
          <w:lang w:val="en-US" w:eastAsia="zh-CN"/>
        </w:rPr>
        <w:t>2</w:t>
      </w:r>
      <w:r>
        <w:rPr>
          <w:rFonts w:hint="eastAsia" w:ascii="楷体_GB2312" w:hAnsi="楷体_GB2312" w:eastAsia="楷体_GB2312" w:cs="楷体_GB2312"/>
          <w:b w:val="0"/>
          <w:bCs/>
          <w:sz w:val="32"/>
          <w:szCs w:val="32"/>
          <w:highlight w:val="none"/>
        </w:rPr>
        <w:t>年安排公务接待费预算</w:t>
      </w:r>
      <w:r>
        <w:rPr>
          <w:rFonts w:hint="eastAsia" w:ascii="楷体_GB2312" w:hAnsi="楷体_GB2312" w:eastAsia="楷体_GB2312" w:cs="楷体_GB2312"/>
          <w:b w:val="0"/>
          <w:bCs/>
          <w:sz w:val="32"/>
          <w:szCs w:val="32"/>
          <w:highlight w:val="none"/>
          <w:lang w:val="en-US" w:eastAsia="zh-CN"/>
        </w:rPr>
        <w:t>2.27</w:t>
      </w:r>
      <w:r>
        <w:rPr>
          <w:rFonts w:hint="eastAsia" w:ascii="楷体_GB2312" w:hAnsi="楷体_GB2312" w:eastAsia="楷体_GB2312" w:cs="楷体_GB2312"/>
          <w:b w:val="0"/>
          <w:bCs/>
          <w:sz w:val="32"/>
          <w:szCs w:val="32"/>
          <w:highlight w:val="none"/>
        </w:rPr>
        <w:t>万元，</w:t>
      </w:r>
      <w:r>
        <w:rPr>
          <w:rFonts w:hint="eastAsia" w:ascii="仿宋_GB2312" w:hAnsi="仿宋_GB2312" w:eastAsia="仿宋_GB2312"/>
          <w:sz w:val="32"/>
          <w:highlight w:val="none"/>
          <w:lang w:eastAsia="zh-CN"/>
        </w:rPr>
        <w:t>与</w:t>
      </w:r>
      <w:r>
        <w:rPr>
          <w:rFonts w:hint="eastAsia" w:ascii="仿宋_GB2312" w:hAnsi="仿宋_GB2312" w:eastAsia="仿宋_GB2312" w:cs="Times New Roman"/>
          <w:kern w:val="2"/>
          <w:sz w:val="32"/>
          <w:szCs w:val="20"/>
          <w:highlight w:val="none"/>
          <w:shd w:val="clear" w:color="auto" w:fill="FFFFFF"/>
          <w:lang w:val="en-US" w:eastAsia="zh-CN" w:bidi="ar"/>
        </w:rPr>
        <w:t>上年执行数持平</w:t>
      </w:r>
      <w:r>
        <w:rPr>
          <w:rFonts w:hint="eastAsia" w:ascii="楷体_GB2312" w:hAnsi="楷体_GB2312" w:eastAsia="楷体_GB2312" w:cs="楷体_GB2312"/>
          <w:b w:val="0"/>
          <w:bCs/>
          <w:sz w:val="32"/>
          <w:szCs w:val="32"/>
          <w:highlight w:val="none"/>
        </w:rPr>
        <w:t>。主要用于本单位接待上级、兄弟市、下级等党史、方志部门公务等接待支出。</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3.公务用车购置及运行维护费：202</w:t>
      </w:r>
      <w:r>
        <w:rPr>
          <w:rFonts w:hint="eastAsia" w:ascii="楷体_GB2312" w:hAnsi="楷体_GB2312" w:eastAsia="楷体_GB2312" w:cs="楷体_GB2312"/>
          <w:b w:val="0"/>
          <w:bCs/>
          <w:sz w:val="32"/>
          <w:szCs w:val="32"/>
          <w:highlight w:val="none"/>
          <w:lang w:val="en-US" w:eastAsia="zh-CN"/>
        </w:rPr>
        <w:t>2</w:t>
      </w:r>
      <w:r>
        <w:rPr>
          <w:rFonts w:hint="eastAsia" w:ascii="楷体_GB2312" w:hAnsi="楷体_GB2312" w:eastAsia="楷体_GB2312" w:cs="楷体_GB2312"/>
          <w:b w:val="0"/>
          <w:bCs/>
          <w:sz w:val="32"/>
          <w:szCs w:val="32"/>
          <w:highlight w:val="none"/>
        </w:rPr>
        <w:t>年安排公务用车购置及运行维护费预算0万元，与上年持平。</w:t>
      </w:r>
    </w:p>
    <w:p>
      <w:pPr>
        <w:keepNext w:val="0"/>
        <w:keepLines w:val="0"/>
        <w:pageBreakBefore w:val="0"/>
        <w:kinsoku/>
        <w:wordWrap/>
        <w:overflowPunct/>
        <w:topLinePunct w:val="0"/>
        <w:autoSpaceDE/>
        <w:autoSpaceDN/>
        <w:bidi w:val="0"/>
        <w:adjustRightInd/>
        <w:snapToGrid/>
        <w:spacing w:beforeLines="0" w:afterLines="0" w:line="240" w:lineRule="auto"/>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jc w:val="both"/>
        <w:textAlignment w:val="auto"/>
        <w:outlineLvl w:val="9"/>
        <w:rPr>
          <w:rFonts w:hint="eastAsia" w:ascii="仿宋_GB2312" w:hAnsi="仿宋_GB2312" w:eastAsia="仿宋_GB2312" w:cs="仿宋_GB2312"/>
          <w:b/>
          <w:bCs w:val="0"/>
          <w:color w:val="auto"/>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r>
        <w:rPr>
          <w:rFonts w:hint="eastAsia" w:ascii="仿宋_GB2312" w:hAnsi="仿宋_GB2312" w:eastAsia="仿宋_GB2312" w:cs="仿宋_GB2312"/>
          <w:b/>
          <w:bCs w:val="0"/>
          <w:color w:val="auto"/>
          <w:sz w:val="32"/>
          <w:szCs w:val="32"/>
          <w:highlight w:val="none"/>
          <w:u w:val="none"/>
          <w:lang w:val="en-US" w:eastAsia="zh-CN"/>
        </w:rPr>
        <w:t>。</w:t>
      </w:r>
    </w:p>
    <w:p>
      <w:pPr>
        <w:pStyle w:val="18"/>
        <w:keepNext w:val="0"/>
        <w:keepLines w:val="0"/>
        <w:pageBreakBefore w:val="0"/>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2022年</w:t>
      </w:r>
      <w:r>
        <w:rPr>
          <w:rFonts w:hint="eastAsia" w:ascii="仿宋_GB2312" w:eastAsia="仿宋_GB2312"/>
          <w:color w:val="000000"/>
          <w:sz w:val="32"/>
          <w:szCs w:val="32"/>
          <w:highlight w:val="none"/>
          <w:lang w:eastAsia="zh-CN"/>
        </w:rPr>
        <w:t>本级单位机关运行经费财政拨款预算</w:t>
      </w:r>
      <w:r>
        <w:rPr>
          <w:rFonts w:hint="eastAsia" w:ascii="仿宋_GB2312" w:eastAsia="仿宋_GB2312"/>
          <w:color w:val="000000"/>
          <w:sz w:val="32"/>
          <w:szCs w:val="32"/>
          <w:highlight w:val="none"/>
          <w:lang w:val="en-US" w:eastAsia="zh-CN"/>
        </w:rPr>
        <w:t>91.49万元，比上年预算增加3.34</w:t>
      </w:r>
      <w:r>
        <w:rPr>
          <w:rFonts w:hint="eastAsia" w:ascii="仿宋_GB2312" w:eastAsia="仿宋_GB2312"/>
          <w:sz w:val="32"/>
          <w:szCs w:val="32"/>
          <w:highlight w:val="none"/>
        </w:rPr>
        <w:t>万元</w:t>
      </w:r>
      <w:r>
        <w:rPr>
          <w:rFonts w:hint="eastAsia" w:ascii="仿宋_GB2312" w:hAnsi="仿宋_GB2312" w:eastAsia="仿宋_GB2312" w:cs="Times New Roman"/>
          <w:kern w:val="2"/>
          <w:sz w:val="32"/>
          <w:szCs w:val="20"/>
          <w:highlight w:val="none"/>
          <w:shd w:val="clear" w:color="auto" w:fill="auto"/>
          <w:lang w:val="en-US" w:eastAsia="zh-CN" w:bidi="ar"/>
        </w:rPr>
        <w:t>，增长3.8%，主要是人员增加</w:t>
      </w:r>
      <w:r>
        <w:rPr>
          <w:rFonts w:hint="eastAsia" w:ascii="仿宋_GB2312" w:eastAsia="仿宋_GB2312"/>
          <w:color w:val="000000"/>
          <w:sz w:val="32"/>
          <w:szCs w:val="32"/>
          <w:highlight w:val="none"/>
          <w:lang w:val="en-US" w:eastAsia="zh-CN"/>
        </w:rPr>
        <w:t>。</w:t>
      </w:r>
    </w:p>
    <w:p>
      <w:pPr>
        <w:pStyle w:val="18"/>
        <w:keepNext w:val="0"/>
        <w:keepLines w:val="0"/>
        <w:pageBreakBefore w:val="0"/>
        <w:numPr>
          <w:ilvl w:val="0"/>
          <w:numId w:val="2"/>
        </w:numPr>
        <w:kinsoku/>
        <w:wordWrap/>
        <w:overflowPunct/>
        <w:topLinePunct w:val="0"/>
        <w:autoSpaceDE/>
        <w:autoSpaceDN/>
        <w:bidi w:val="0"/>
        <w:adjustRightInd/>
        <w:snapToGrid/>
        <w:spacing w:beforeLines="0" w:afterLines="0" w:line="240" w:lineRule="auto"/>
        <w:ind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18"/>
        <w:keepNext w:val="0"/>
        <w:keepLines w:val="0"/>
        <w:pageBreakBefore w:val="0"/>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eastAsia="zh-CN"/>
        </w:rPr>
        <w:t>本单位政府采购预算总额</w:t>
      </w:r>
      <w:r>
        <w:rPr>
          <w:rFonts w:hint="eastAsia" w:ascii="仿宋_GB2312" w:eastAsia="仿宋_GB2312"/>
          <w:color w:val="000000"/>
          <w:sz w:val="32"/>
          <w:szCs w:val="32"/>
          <w:highlight w:val="none"/>
          <w:lang w:val="en-US" w:eastAsia="zh-CN"/>
        </w:rPr>
        <w:t>103.48万元，其中：政府采购服务预算103.48万元。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pStyle w:val="18"/>
        <w:keepNext w:val="0"/>
        <w:keepLines w:val="0"/>
        <w:pageBreakBefore w:val="0"/>
        <w:numPr>
          <w:ilvl w:val="0"/>
          <w:numId w:val="0"/>
        </w:numPr>
        <w:kinsoku/>
        <w:wordWrap/>
        <w:overflowPunct/>
        <w:topLinePunct w:val="0"/>
        <w:bidi w:val="0"/>
        <w:snapToGrid/>
        <w:spacing w:beforeLines="0" w:afterLines="0" w:line="240" w:lineRule="auto"/>
        <w:ind w:firstLine="640" w:firstLineChars="20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lang w:val="en-US" w:eastAsia="zh-CN"/>
        </w:rPr>
        <w:t>截至2022年12月31日，</w:t>
      </w:r>
      <w:r>
        <w:rPr>
          <w:rFonts w:hint="eastAsia" w:ascii="仿宋_GB2312" w:eastAsia="仿宋_GB2312"/>
          <w:b w:val="0"/>
          <w:bCs w:val="0"/>
          <w:color w:val="auto"/>
          <w:sz w:val="32"/>
          <w:szCs w:val="32"/>
          <w:highlight w:val="none"/>
          <w:lang w:eastAsia="zh-CN"/>
        </w:rPr>
        <w:t>本单位所属各预算单位共有车辆</w:t>
      </w:r>
      <w:r>
        <w:rPr>
          <w:rFonts w:hint="eastAsia" w:ascii="仿宋_GB2312" w:eastAsia="仿宋_GB2312"/>
          <w:b w:val="0"/>
          <w:bCs w:val="0"/>
          <w:color w:val="auto"/>
          <w:sz w:val="32"/>
          <w:szCs w:val="32"/>
          <w:highlight w:val="none"/>
          <w:lang w:val="en-US" w:eastAsia="zh-CN"/>
        </w:rPr>
        <w:t>0辆。</w:t>
      </w:r>
      <w:r>
        <w:rPr>
          <w:rFonts w:hint="eastAsia" w:ascii="仿宋_GB2312" w:hAnsi="Calibri" w:eastAsia="仿宋_GB2312" w:cs="Times New Roman"/>
          <w:b w:val="0"/>
          <w:bCs w:val="0"/>
          <w:color w:val="auto"/>
          <w:sz w:val="32"/>
          <w:szCs w:val="32"/>
          <w:highlight w:val="none"/>
          <w:lang w:val="en-US" w:eastAsia="zh-CN"/>
        </w:rPr>
        <w:t>单位价值50万元以上通用设备0台（套），单位价值100万元以上专用设备0台（套）。</w:t>
      </w:r>
    </w:p>
    <w:p>
      <w:pPr>
        <w:keepNext w:val="0"/>
        <w:keepLines w:val="0"/>
        <w:pageBreakBefore w:val="0"/>
        <w:kinsoku/>
        <w:wordWrap/>
        <w:overflowPunct/>
        <w:topLinePunct w:val="0"/>
        <w:bidi w:val="0"/>
        <w:snapToGrid/>
        <w:spacing w:beforeLines="0" w:afterLines="0" w:line="240" w:lineRule="auto"/>
        <w:ind w:firstLine="640" w:firstLineChars="200"/>
        <w:textAlignment w:val="auto"/>
        <w:rPr>
          <w:rFonts w:hint="eastAsia" w:ascii="仿宋_GB2312" w:hAnsi="仿宋_GB2312" w:eastAsia="仿宋_GB2312" w:cs="仿宋_GB2312"/>
          <w:b w:val="0"/>
          <w:bCs w:val="0"/>
          <w:color w:val="auto"/>
          <w:sz w:val="32"/>
          <w:szCs w:val="32"/>
          <w:highlight w:val="none"/>
          <w:u w:val="none"/>
        </w:rPr>
      </w:pPr>
      <w:r>
        <w:rPr>
          <w:rFonts w:hint="eastAsia" w:ascii="仿宋_GB2312" w:hAnsi="仿宋_GB2312" w:eastAsia="仿宋_GB2312" w:cs="仿宋_GB2312"/>
          <w:b w:val="0"/>
          <w:bCs w:val="0"/>
          <w:color w:val="auto"/>
          <w:sz w:val="32"/>
          <w:szCs w:val="32"/>
          <w:highlight w:val="none"/>
          <w:lang w:val="en-US" w:eastAsia="zh-CN"/>
        </w:rPr>
        <w:t>2022年本单位预算未安排购置车辆、单位价值50万元以上通用设备及单位价值100万元以上专用设备。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240" w:lineRule="auto"/>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napToGrid/>
        <w:spacing w:beforeLines="0" w:afterLines="0" w:line="240" w:lineRule="auto"/>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2022年本单位其他运转类项目和特定目标类项目均实行绩效目标管理，涉及一般公共预算当年拨款147万元，一级项目1个。</w:t>
      </w:r>
    </w:p>
    <w:p>
      <w:pPr>
        <w:pStyle w:val="18"/>
        <w:keepNext w:val="0"/>
        <w:keepLines w:val="0"/>
        <w:pageBreakBefore w:val="0"/>
        <w:kinsoku/>
        <w:wordWrap/>
        <w:overflowPunct/>
        <w:topLinePunct w:val="0"/>
        <w:autoSpaceDE/>
        <w:autoSpaceDN/>
        <w:bidi w:val="0"/>
        <w:adjustRightInd/>
        <w:snapToGrid/>
        <w:spacing w:beforeLines="0" w:afterLines="0" w:line="240" w:lineRule="auto"/>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1.财政拨款收入：本级财政部门当年拨付的财政预算资金，包括一般公共预算财政拨款、政府性基金预算和国有资本经营预算财政拨款。</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8.基本支出：是预算单位为保障其正常运转，完成日常工作任务所发生的支出，包括人员支出和日常公用支出。</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9.项目支出：是预算单位为完成其特定的行政工作任务或事业发展目标所发生的支出。</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10.经营支出：指事业单位在专业业务活动及其辅助活动之外开展非独立核算经营活动发生的支出。</w:t>
      </w:r>
    </w:p>
    <w:p>
      <w:pPr>
        <w:pStyle w:val="5"/>
        <w:keepNext w:val="0"/>
        <w:keepLines w:val="0"/>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11.“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pStyle w:val="5"/>
        <w:keepNext w:val="0"/>
        <w:keepLines w:val="0"/>
        <w:pageBreakBefore w:val="0"/>
        <w:kinsoku/>
        <w:wordWrap/>
        <w:overflowPunct/>
        <w:topLinePunct w:val="0"/>
        <w:bidi w:val="0"/>
        <w:snapToGrid/>
        <w:spacing w:line="240" w:lineRule="auto"/>
        <w:ind w:firstLine="640" w:firstLineChars="200"/>
        <w:textAlignment w:val="auto"/>
        <w:rPr>
          <w:rFonts w:hint="eastAsia" w:ascii="仿宋_GB2312" w:hAnsi="仿宋_GB2312" w:eastAsia="仿宋_GB2312"/>
          <w:sz w:val="32"/>
        </w:rPr>
      </w:pPr>
      <w:r>
        <w:rPr>
          <w:rFonts w:hint="eastAsia" w:ascii="仿宋_GB2312" w:hAnsi="仿宋_GB2312" w:eastAsia="仿宋_GB2312"/>
          <w:sz w:val="32"/>
          <w:lang w:val="en-US" w:eastAsia="zh-CN"/>
        </w:rPr>
        <w:t>12</w:t>
      </w:r>
      <w:r>
        <w:rPr>
          <w:rFonts w:hint="eastAsia" w:ascii="仿宋_GB2312" w:hAnsi="仿宋_GB2312" w:eastAsia="仿宋_GB2312"/>
          <w:sz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5"/>
        <w:keepNext w:val="0"/>
        <w:keepLines w:val="0"/>
        <w:pageBreakBefore w:val="0"/>
        <w:kinsoku/>
        <w:wordWrap/>
        <w:overflowPunct/>
        <w:topLinePunct w:val="0"/>
        <w:bidi w:val="0"/>
        <w:snapToGrid/>
        <w:spacing w:line="240" w:lineRule="auto"/>
        <w:ind w:firstLine="640" w:firstLineChars="200"/>
        <w:jc w:val="both"/>
        <w:textAlignment w:val="auto"/>
        <w:rPr>
          <w:rFonts w:hint="default" w:ascii="仿宋_GB2312" w:hAnsi="仿宋_GB2312" w:eastAsia="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13.</w:t>
      </w:r>
      <w:r>
        <w:rPr>
          <w:rFonts w:hint="eastAsia" w:ascii="仿宋_GB2312" w:hAnsi="仿宋_GB2312" w:eastAsia="仿宋_GB2312" w:cs="仿宋_GB2312"/>
          <w:color w:val="auto"/>
          <w:kern w:val="2"/>
          <w:sz w:val="32"/>
          <w:szCs w:val="32"/>
          <w:highlight w:val="none"/>
          <w:lang w:val="en-US" w:eastAsia="zh-CN" w:bidi="ar-SA"/>
        </w:rPr>
        <w:t>一般公共服务支出（类）其他共产党事务支出（款）行政运行（项）:指其他共产党事务行政运行。</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sz w:val="32"/>
          <w:szCs w:val="32"/>
          <w:highlight w:val="none"/>
          <w:lang w:val="en-US" w:eastAsia="zh-CN"/>
        </w:rPr>
        <w:t>14.</w:t>
      </w:r>
      <w:r>
        <w:rPr>
          <w:rFonts w:hint="eastAsia" w:ascii="仿宋_GB2312" w:hAnsi="仿宋_GB2312" w:eastAsia="仿宋_GB2312" w:cs="仿宋_GB2312"/>
          <w:color w:val="auto"/>
          <w:kern w:val="2"/>
          <w:sz w:val="32"/>
          <w:szCs w:val="32"/>
          <w:highlight w:val="none"/>
          <w:lang w:val="en-US" w:eastAsia="zh-CN" w:bidi="ar-SA"/>
        </w:rPr>
        <w:t>社会保障和就业支出（类）行政事业单位养老支出（款）机关事业单位基本养老保险缴费支出（项）：反映机关事业单位实施养老保险制度由单位缴纳的基本养老保险费支出。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15.社会保障和就业支出（类）行政事业单位养老支出（款）机关事业单位职业年金缴费支出（项）：反映机关事业单位实施养老保险制度由单位实际缴纳的职业年金支出。  </w:t>
      </w:r>
    </w:p>
    <w:p>
      <w:pPr>
        <w:keepNext w:val="0"/>
        <w:keepLines w:val="0"/>
        <w:pageBreakBefore w:val="0"/>
        <w:widowControl/>
        <w:kinsoku/>
        <w:wordWrap/>
        <w:overflowPunct/>
        <w:topLinePunct w:val="0"/>
        <w:autoSpaceDE/>
        <w:autoSpaceDN/>
        <w:bidi w:val="0"/>
        <w:adjustRightInd/>
        <w:snapToGrid/>
        <w:spacing w:beforeAutospacing="0" w:afterAutospacing="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cs="仿宋_GB2312"/>
          <w:color w:val="auto"/>
          <w:kern w:val="2"/>
          <w:sz w:val="32"/>
          <w:szCs w:val="32"/>
          <w:highlight w:val="none"/>
          <w:lang w:val="en-US" w:eastAsia="zh-CN" w:bidi="ar-SA"/>
        </w:rPr>
        <w:t>16.</w:t>
      </w:r>
      <w:r>
        <w:rPr>
          <w:rFonts w:hint="eastAsia" w:ascii="仿宋_GB2312" w:hAnsi="仿宋_GB2312" w:eastAsia="仿宋_GB2312" w:cs="仿宋_GB2312"/>
          <w:color w:val="auto"/>
          <w:kern w:val="2"/>
          <w:sz w:val="32"/>
          <w:szCs w:val="32"/>
          <w:highlight w:val="none"/>
          <w:lang w:val="en-US" w:eastAsia="zh-CN" w:bidi="ar-SA"/>
        </w:rPr>
        <w:t>社会保障和就业支出（类）其他社会保障和就业支出（款）其他社会保障和就业支出（项）：反映除上述项目以外其他用于社会保障和就业的支出。 </w:t>
      </w:r>
    </w:p>
    <w:p>
      <w:pPr>
        <w:keepNext w:val="0"/>
        <w:keepLines w:val="0"/>
        <w:pageBreakBefore w:val="0"/>
        <w:kinsoku/>
        <w:wordWrap/>
        <w:overflowPunct/>
        <w:topLinePunct w:val="0"/>
        <w:bidi w:val="0"/>
        <w:snapToGrid/>
        <w:spacing w:beforeLines="0" w:afterLines="0" w:line="240" w:lineRule="auto"/>
        <w:ind w:firstLine="640" w:firstLineChars="200"/>
        <w:jc w:val="both"/>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cs="仿宋_GB2312"/>
          <w:color w:val="auto"/>
          <w:sz w:val="32"/>
          <w:szCs w:val="32"/>
          <w:highlight w:val="none"/>
          <w:lang w:val="en-US" w:eastAsia="zh-CN"/>
        </w:rPr>
        <w:t>17.</w:t>
      </w:r>
      <w:r>
        <w:rPr>
          <w:rFonts w:hint="eastAsia" w:ascii="仿宋_GB2312" w:hAnsi="仿宋_GB2312" w:eastAsia="仿宋_GB2312" w:cs="仿宋_GB2312"/>
          <w:color w:val="auto"/>
          <w:kern w:val="2"/>
          <w:sz w:val="32"/>
          <w:szCs w:val="32"/>
          <w:highlight w:val="none"/>
          <w:lang w:val="en-US" w:eastAsia="zh-CN" w:bidi="ar-SA"/>
        </w:rPr>
        <w:t>卫生健康支出（类）行政事业单位医疗（款）</w:t>
      </w:r>
      <w:r>
        <w:rPr>
          <w:rFonts w:hint="eastAsia" w:ascii="仿宋_GB2312" w:hAnsi="仿宋_GB2312" w:cs="仿宋_GB2312"/>
          <w:color w:val="auto"/>
          <w:kern w:val="2"/>
          <w:sz w:val="32"/>
          <w:szCs w:val="32"/>
          <w:highlight w:val="none"/>
          <w:lang w:val="en-US" w:eastAsia="zh-CN" w:bidi="ar-SA"/>
        </w:rPr>
        <w:t>行政</w:t>
      </w:r>
      <w:r>
        <w:rPr>
          <w:rFonts w:hint="eastAsia" w:ascii="仿宋_GB2312" w:hAnsi="仿宋_GB2312" w:eastAsia="仿宋_GB2312" w:cs="仿宋_GB2312"/>
          <w:color w:val="auto"/>
          <w:kern w:val="2"/>
          <w:sz w:val="32"/>
          <w:szCs w:val="32"/>
          <w:highlight w:val="none"/>
          <w:lang w:val="en-US" w:eastAsia="zh-CN" w:bidi="ar-SA"/>
        </w:rPr>
        <w:t>单位医疗（项）：反映财政部门安排的</w:t>
      </w:r>
      <w:r>
        <w:rPr>
          <w:rFonts w:hint="eastAsia" w:ascii="仿宋_GB2312" w:hAnsi="仿宋_GB2312" w:cs="仿宋_GB2312"/>
          <w:color w:val="auto"/>
          <w:kern w:val="2"/>
          <w:sz w:val="32"/>
          <w:szCs w:val="32"/>
          <w:highlight w:val="none"/>
          <w:lang w:val="en-US" w:eastAsia="zh-CN" w:bidi="ar-SA"/>
        </w:rPr>
        <w:t>行政单位</w:t>
      </w:r>
      <w:r>
        <w:rPr>
          <w:rFonts w:hint="eastAsia" w:ascii="仿宋_GB2312" w:hAnsi="仿宋_GB2312" w:eastAsia="仿宋_GB2312" w:cs="仿宋_GB2312"/>
          <w:color w:val="auto"/>
          <w:kern w:val="2"/>
          <w:sz w:val="32"/>
          <w:szCs w:val="32"/>
          <w:highlight w:val="none"/>
          <w:lang w:val="en-US" w:eastAsia="zh-CN" w:bidi="ar-SA"/>
        </w:rPr>
        <w:t>基本医疗保险缴费经费。</w:t>
      </w:r>
    </w:p>
    <w:p>
      <w:pPr>
        <w:pStyle w:val="2"/>
      </w:pPr>
    </w:p>
    <w:sectPr>
      <w:footerReference r:id="rId3" w:type="default"/>
      <w:pgSz w:w="11906" w:h="16838"/>
      <w:pgMar w:top="1440" w:right="1463" w:bottom="1440" w:left="1463"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2D86EE-FA12-4400-BB22-C73880539E56}"/>
  </w:font>
  <w:font w:name="Courier New">
    <w:panose1 w:val="02070309020205020404"/>
    <w:charset w:val="01"/>
    <w:family w:val="modern"/>
    <w:pitch w:val="default"/>
    <w:sig w:usb0="E0002AFF" w:usb1="C0007843" w:usb2="00000009" w:usb3="00000000" w:csb0="400001FF" w:csb1="FFFF0000"/>
    <w:embedRegular r:id="rId2" w:fontKey="{E2E5EFDA-32BD-440E-8F82-D636DB0EB7E2}"/>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92E81DD4-27B8-4E64-B25A-44D803F06E84}"/>
  </w:font>
  <w:font w:name="仿宋_GB2312">
    <w:altName w:val="仿宋"/>
    <w:panose1 w:val="02010609030101010101"/>
    <w:charset w:val="86"/>
    <w:family w:val="modern"/>
    <w:pitch w:val="default"/>
    <w:sig w:usb0="00000000" w:usb1="00000000" w:usb2="00000000" w:usb3="00000000" w:csb0="00040000" w:csb1="00000000"/>
    <w:embedRegular r:id="rId4" w:fontKey="{FAE17FEF-B5C5-44D6-BC11-AD197169C806}"/>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00000001" w:usb1="08000000" w:usb2="00000000" w:usb3="00000000" w:csb0="00040000" w:csb1="00000000"/>
    <w:embedRegular r:id="rId5" w:fontKey="{2D40CB9A-55F2-48DC-8062-3E68BB141837}"/>
  </w:font>
  <w:font w:name="创艺简标宋">
    <w:altName w:val="Times New Roman"/>
    <w:panose1 w:val="00000000000000000000"/>
    <w:charset w:val="00"/>
    <w:family w:val="auto"/>
    <w:pitch w:val="default"/>
    <w:sig w:usb0="00000000" w:usb1="00000000" w:usb2="00000000" w:usb3="00000000" w:csb0="00000000" w:csb1="00000000"/>
    <w:embedRegular r:id="rId6" w:fontKey="{0F3C200A-9555-46BD-A366-AAEEBC3D5E34}"/>
  </w:font>
  <w:font w:name="楷体_GB2312">
    <w:altName w:val="楷体"/>
    <w:panose1 w:val="02010609030101010101"/>
    <w:charset w:val="86"/>
    <w:family w:val="auto"/>
    <w:pitch w:val="default"/>
    <w:sig w:usb0="00000000" w:usb1="00000000" w:usb2="00000000" w:usb3="00000000" w:csb0="00040000" w:csb1="00000000"/>
    <w:embedRegular r:id="rId7" w:fontKey="{2F28424C-0D3A-44CF-BE41-D3DB4B063E07}"/>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6</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NTgxNjlhMjdhMjVhYjFhMzg5OWFiZDcwNDY3NDkifQ=="/>
  </w:docVars>
  <w:rsids>
    <w:rsidRoot w:val="00000000"/>
    <w:rsid w:val="0432483D"/>
    <w:rsid w:val="0C014F6D"/>
    <w:rsid w:val="0D047617"/>
    <w:rsid w:val="11641E21"/>
    <w:rsid w:val="125B4450"/>
    <w:rsid w:val="16EF5067"/>
    <w:rsid w:val="170A0726"/>
    <w:rsid w:val="1AF75136"/>
    <w:rsid w:val="1C4328FC"/>
    <w:rsid w:val="1ED74D17"/>
    <w:rsid w:val="245B3CCB"/>
    <w:rsid w:val="255258CA"/>
    <w:rsid w:val="25871DC6"/>
    <w:rsid w:val="27AF99D0"/>
    <w:rsid w:val="2A7D4CE3"/>
    <w:rsid w:val="32FF21F7"/>
    <w:rsid w:val="3787034C"/>
    <w:rsid w:val="39C7B2DC"/>
    <w:rsid w:val="3B73ECAC"/>
    <w:rsid w:val="3E054CA0"/>
    <w:rsid w:val="3E663D4F"/>
    <w:rsid w:val="3FF778EB"/>
    <w:rsid w:val="407F779A"/>
    <w:rsid w:val="41260B4E"/>
    <w:rsid w:val="4413460B"/>
    <w:rsid w:val="479F1816"/>
    <w:rsid w:val="4AFA32A4"/>
    <w:rsid w:val="4C964CC1"/>
    <w:rsid w:val="53DB2A71"/>
    <w:rsid w:val="548B0053"/>
    <w:rsid w:val="54C31518"/>
    <w:rsid w:val="56432923"/>
    <w:rsid w:val="5BF9A05E"/>
    <w:rsid w:val="5CA47F6C"/>
    <w:rsid w:val="68BC3AAF"/>
    <w:rsid w:val="6E9572F2"/>
    <w:rsid w:val="753064B9"/>
    <w:rsid w:val="759C24D2"/>
    <w:rsid w:val="76442312"/>
    <w:rsid w:val="76DFF3BC"/>
    <w:rsid w:val="77FF0865"/>
    <w:rsid w:val="77FFC04D"/>
    <w:rsid w:val="79AD5421"/>
    <w:rsid w:val="7BAF2D93"/>
    <w:rsid w:val="7CFB18E8"/>
    <w:rsid w:val="7DBFC2EB"/>
    <w:rsid w:val="7EFFAD84"/>
    <w:rsid w:val="7FE3062C"/>
    <w:rsid w:val="7FE533F5"/>
    <w:rsid w:val="8FCBCDA8"/>
    <w:rsid w:val="A4EFBF90"/>
    <w:rsid w:val="AFFD9F88"/>
    <w:rsid w:val="BA7D2319"/>
    <w:rsid w:val="BBBFE1BE"/>
    <w:rsid w:val="C7EC0F46"/>
    <w:rsid w:val="DEFFEF20"/>
    <w:rsid w:val="DFAFC5B6"/>
    <w:rsid w:val="E66AD4B1"/>
    <w:rsid w:val="E7FF0B81"/>
    <w:rsid w:val="EBFCAC2C"/>
    <w:rsid w:val="EFFE56DC"/>
    <w:rsid w:val="F2F9A87E"/>
    <w:rsid w:val="FC35808B"/>
    <w:rsid w:val="FF7333E8"/>
    <w:rsid w:val="FFF7A5F1"/>
    <w:rsid w:val="FFFD7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customStyle="1" w:styleId="8">
    <w:name w:val=" Char"/>
    <w:basedOn w:val="1"/>
    <w:link w:val="7"/>
    <w:qFormat/>
    <w:uiPriority w:val="0"/>
    <w:rPr>
      <w:rFonts w:ascii="宋体" w:hAnsi="宋体" w:cs="Courier New"/>
      <w:sz w:val="32"/>
      <w:szCs w:val="32"/>
    </w:rPr>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Char"/>
    <w:basedOn w:val="1"/>
    <w:link w:val="7"/>
    <w:qFormat/>
    <w:uiPriority w:val="0"/>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 w:type="character" w:customStyle="1" w:styleId="43">
    <w:name w:val="15"/>
    <w:basedOn w:val="7"/>
    <w:qFormat/>
    <w:uiPriority w:val="0"/>
    <w:rPr>
      <w:rFonts w:hint="eastAsia" w:ascii="宋体" w:hAnsi="宋体" w:eastAsia="宋体" w:cs="Courier New"/>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2014-11-05T04:08:00Z</dcterms:created>
  <dc:creator>chengws</dc:creator>
  <cp:lastModifiedBy>Icarus</cp:lastModifiedBy>
  <cp:lastPrinted>2022-02-13T18:36:00Z</cp:lastPrinted>
  <dcterms:modified xsi:type="dcterms:W3CDTF">2022-09-07T08:09:42Z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C1AAABA0EFB6463190C769A73E49D457</vt:lpwstr>
  </property>
</Properties>
</file>