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《丽水市人民政府关于公布丽水市综合行政执法事项扩展目录的通告》起草说明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制定背景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贯彻落实《浙江省人民政府关于各设区市“大综合一体”行政执法改革方案的批复》（浙政函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，根据《浙江省司法厅关于审定丽水市综合行政执法事项扩展目录的复函》（</w:t>
      </w:r>
      <w:bookmarkStart w:id="0" w:name="字A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浙司函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bookmarkStart w:id="1" w:name="字C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文件要求，《丽水市综合行政执法事项扩展目录》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按程序向社会公告后实施。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制定依据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《浙江省人民政府关于各设区市“大综合一体”行政执法改革方案的批复》（浙政函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《浙江省司法厅关于审定丽水市综合行政执法事项扩展目录的复函》（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浙司函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起草情况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批复精神，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《浙江省人民政府关于各设区市“大综合一体”行政执法改革方案的批复》（浙政函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《浙江省司法厅关于审定丽水市综合行政执法事项扩展目录的复函》（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浙司函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在明确丽水市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综合行政执法事项地方扩展目录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的基础上，丽水市综合行政执法指导办公室代起草了《丽水市人民政府关于公布丽水市综合行政执法事项扩展目录的通告》（征求意见稿）。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丽水市综合行政执法指</w:t>
      </w:r>
      <w:r>
        <w:rPr>
          <w:rFonts w:hint="eastAsia"/>
          <w:sz w:val="32"/>
          <w:szCs w:val="32"/>
          <w:lang w:val="en-US" w:eastAsia="zh-CN"/>
        </w:rPr>
        <w:t>导办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3B64B"/>
    <w:multiLevelType w:val="singleLevel"/>
    <w:tmpl w:val="7FC3B6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0F74"/>
    <w:rsid w:val="15730448"/>
    <w:rsid w:val="3B00734E"/>
    <w:rsid w:val="4A160F74"/>
    <w:rsid w:val="7A6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491</Characters>
  <Lines>0</Lines>
  <Paragraphs>0</Paragraphs>
  <TotalTime>1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2022-04-14T08:30:00Z</dcterms:created>
  <dc:creator>韧</dc:creator>
  <cp:lastModifiedBy>韧</cp:lastModifiedBy>
  <dcterms:modified xsi:type="dcterms:W3CDTF">2022-04-14T08:47:52Z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088B92163DBA4E5D802E26571230819B</vt:lpwstr>
  </property>
</Properties>
</file>