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auto"/>
          <w:szCs w:val="32"/>
          <w:shd w:val="clear" w:color="auto" w:fill="auto"/>
        </w:rPr>
      </w:pPr>
      <w:r>
        <w:rPr>
          <w:rFonts w:hint="eastAsia" w:eastAsia="黑体"/>
          <w:color w:val="auto"/>
          <w:szCs w:val="32"/>
          <w:shd w:val="clear" w:color="auto" w:fill="auto"/>
        </w:rPr>
        <w:t>附件</w:t>
      </w:r>
      <w:r>
        <w:rPr>
          <w:rFonts w:eastAsia="黑体"/>
          <w:color w:val="auto"/>
          <w:szCs w:val="32"/>
          <w:shd w:val="clear" w:color="auto" w:fill="auto"/>
        </w:rPr>
        <w:t xml:space="preserve">      </w:t>
      </w:r>
      <w:r>
        <w:rPr>
          <w:rFonts w:hint="eastAsia" w:eastAsia="黑体"/>
          <w:color w:val="auto"/>
          <w:szCs w:val="32"/>
          <w:shd w:val="clear" w:color="auto" w:fill="auto"/>
        </w:rPr>
        <w:t xml:space="preserve">                        </w:t>
      </w:r>
    </w:p>
    <w:p>
      <w:pPr>
        <w:jc w:val="center"/>
        <w:rPr>
          <w:rFonts w:hint="default" w:eastAsia="方正小标宋简体"/>
          <w:color w:val="auto"/>
          <w:sz w:val="36"/>
          <w:szCs w:val="32"/>
          <w:shd w:val="clear" w:color="auto" w:fill="auto"/>
          <w:lang w:val="en-US" w:eastAsia="zh-CN"/>
        </w:rPr>
      </w:pPr>
      <w:r>
        <w:rPr>
          <w:rFonts w:hint="eastAsia" w:eastAsia="方正小标宋简体"/>
          <w:color w:val="auto"/>
          <w:sz w:val="36"/>
          <w:szCs w:val="32"/>
          <w:shd w:val="clear" w:color="auto" w:fill="auto"/>
        </w:rPr>
        <w:t>丽水市</w:t>
      </w:r>
      <w:r>
        <w:rPr>
          <w:rFonts w:hint="default" w:eastAsia="方正小标宋简体"/>
          <w:color w:val="auto"/>
          <w:sz w:val="36"/>
          <w:szCs w:val="32"/>
          <w:shd w:val="clear" w:color="auto" w:fill="auto"/>
          <w:lang w:val="en-US" w:eastAsia="zh-CN"/>
        </w:rPr>
        <w:t>第二轮中央生态环境保护督察反馈问题整改进展情况</w:t>
      </w:r>
      <w:r>
        <w:rPr>
          <w:rFonts w:hint="eastAsia" w:eastAsia="方正小标宋简体"/>
          <w:color w:val="auto"/>
          <w:sz w:val="36"/>
          <w:szCs w:val="32"/>
          <w:shd w:val="clear" w:color="auto" w:fill="auto"/>
          <w:lang w:val="en-US" w:eastAsia="zh-CN"/>
        </w:rPr>
        <w:t>表</w:t>
      </w:r>
    </w:p>
    <w:tbl>
      <w:tblPr>
        <w:tblStyle w:val="13"/>
        <w:tblpPr w:leftFromText="180" w:rightFromText="180" w:vertAnchor="text" w:horzAnchor="margin" w:tblpXSpec="center" w:tblpY="773"/>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19"/>
        <w:gridCol w:w="3365"/>
        <w:gridCol w:w="4706"/>
        <w:gridCol w:w="772"/>
        <w:gridCol w:w="3548"/>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564" w:type="dxa"/>
            <w:vAlign w:val="center"/>
          </w:tcPr>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地市名称</w:t>
            </w:r>
          </w:p>
        </w:tc>
        <w:tc>
          <w:tcPr>
            <w:tcW w:w="519" w:type="dxa"/>
            <w:vAlign w:val="center"/>
          </w:tcPr>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序号</w:t>
            </w:r>
          </w:p>
        </w:tc>
        <w:tc>
          <w:tcPr>
            <w:tcW w:w="3365" w:type="dxa"/>
            <w:vAlign w:val="center"/>
          </w:tcPr>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整改任务名称</w:t>
            </w:r>
          </w:p>
        </w:tc>
        <w:tc>
          <w:tcPr>
            <w:tcW w:w="4706" w:type="dxa"/>
            <w:vAlign w:val="center"/>
          </w:tcPr>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整改目标和措施</w:t>
            </w:r>
          </w:p>
        </w:tc>
        <w:tc>
          <w:tcPr>
            <w:tcW w:w="772" w:type="dxa"/>
            <w:vAlign w:val="center"/>
          </w:tcPr>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完成时限</w:t>
            </w:r>
          </w:p>
        </w:tc>
        <w:tc>
          <w:tcPr>
            <w:tcW w:w="3548" w:type="dxa"/>
            <w:vAlign w:val="center"/>
          </w:tcPr>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目前进展情况</w:t>
            </w:r>
          </w:p>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及存在问题</w:t>
            </w:r>
          </w:p>
        </w:tc>
        <w:tc>
          <w:tcPr>
            <w:tcW w:w="700" w:type="dxa"/>
            <w:vAlign w:val="center"/>
          </w:tcPr>
          <w:p>
            <w:pPr>
              <w:widowControl/>
              <w:spacing w:line="300" w:lineRule="exact"/>
              <w:jc w:val="center"/>
              <w:rPr>
                <w:rFonts w:ascii="Calibri" w:hAnsi="Calibri" w:eastAsia="黑体"/>
                <w:color w:val="auto"/>
                <w:sz w:val="28"/>
                <w:szCs w:val="32"/>
                <w:shd w:val="clear" w:color="auto" w:fill="auto"/>
              </w:rPr>
            </w:pPr>
            <w:r>
              <w:rPr>
                <w:rFonts w:hint="eastAsia" w:ascii="Calibri" w:hAnsi="Calibri" w:eastAsia="黑体"/>
                <w:color w:val="auto"/>
                <w:sz w:val="28"/>
                <w:szCs w:val="32"/>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4"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丽水</w:t>
            </w:r>
          </w:p>
        </w:tc>
        <w:tc>
          <w:tcPr>
            <w:tcW w:w="519"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一</w:t>
            </w:r>
          </w:p>
        </w:tc>
        <w:tc>
          <w:tcPr>
            <w:tcW w:w="3365" w:type="dxa"/>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第一项：</w:t>
            </w:r>
            <w:r>
              <w:rPr>
                <w:color w:val="auto"/>
                <w:sz w:val="21"/>
                <w:szCs w:val="21"/>
                <w:shd w:val="clear" w:color="auto" w:fill="auto"/>
              </w:rPr>
              <w:t>浙江省生态环境保护工作仍存在短板，一些突出生态环境问题亟待解决。一些地方和部门在推进生态环境保护工作中存在放松心理，有的工作抓得不够紧，有的工作推进不够实，有的“新官不理旧账”。特别在统筹协调、严格要求、责任担当和久久为功方面还存在差距。统筹协调不够，一些地方和部门统筹经济社会发展和生态环境保护自觉性不够，在推进高水平保护和高质量发展方面谋划不多，举措不力。工作开展不够平衡，尤其是固体废物污染防治、海洋生态环境保护和一些地方环境基础设施建设等工作还存在较大差距，成为美丽浙江大花园建设的突出短板。一些地方和部门落实环保责任不到位，“管生产必须管环保、管行业必须管环保”的机制尚未真正落地，一些领域和行业生态环境问题亟待引起重视，特别是部分生态涵养区毁林垦地问题突出，生态破坏严重，必须严肃查处，加快推进整改。</w:t>
            </w:r>
          </w:p>
        </w:tc>
        <w:tc>
          <w:tcPr>
            <w:tcW w:w="4706" w:type="dxa"/>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整改目标：</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学懂弄通做实习近平生态文明思想，以建设“重要窗口”的使命担当，推动美丽浙江建设再上新台阶。</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整改措施：</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1.坚定践行习近平生态文明思想。各级党委、政府把深入学习贯彻落实习近平生态文明思想作为重要政治任务，通过党委（党组）理论学习中心组学习等形式深入学习，做到学懂弄通做实。牢固树立新发展理念，统筹推进经济高质量发展与生态环境高水平保护，坚定不移地走高质量发展之路，深入打好污染防治攻坚战。</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2.2021年，按照省委、省政府工作要求，对各县（市、区）党委、政府开展污染防治攻坚战成效考核，持续加大领导干部生态环境保护和建设工作考核力度，加强考核结果运用。</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3.2021年，按照省委、省政府工作要求，进一步完善市直部门生态环境保护责任清单，进一步健全职责清晰、分工合理的生态环境保护工作责任体系。市直相关部门每年向市委、市政府报告生态环境保护责任落实情况。</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4.针对毁林垦地问题，市里已成立整改专班，同时要求各县（市、区）党委、政府成立相应整改机构，制定整改方案，坚决按相关整改要求处置到位。详见清单第七项。</w:t>
            </w:r>
          </w:p>
        </w:tc>
        <w:tc>
          <w:tcPr>
            <w:tcW w:w="772" w:type="dxa"/>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立行立改，长期坚持。</w:t>
            </w:r>
          </w:p>
          <w:p>
            <w:pPr>
              <w:widowControl/>
              <w:adjustRightInd w:val="0"/>
              <w:snapToGrid w:val="0"/>
              <w:spacing w:line="300" w:lineRule="exact"/>
              <w:rPr>
                <w:color w:val="auto"/>
                <w:sz w:val="21"/>
                <w:szCs w:val="21"/>
                <w:shd w:val="clear" w:color="auto" w:fill="auto"/>
              </w:rPr>
            </w:pPr>
            <w:bookmarkStart w:id="0" w:name="_GoBack"/>
            <w:bookmarkEnd w:id="0"/>
          </w:p>
        </w:tc>
        <w:tc>
          <w:tcPr>
            <w:tcW w:w="3548" w:type="dxa"/>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1.坚定践行习近平生态文明思想。丽水市政府党组</w:t>
            </w:r>
            <w:r>
              <w:rPr>
                <w:rFonts w:hint="eastAsia"/>
                <w:color w:val="auto"/>
                <w:sz w:val="21"/>
                <w:szCs w:val="21"/>
                <w:shd w:val="clear" w:color="auto" w:fill="auto"/>
                <w:lang w:eastAsia="zh-CN"/>
              </w:rPr>
              <w:t>每年</w:t>
            </w:r>
            <w:r>
              <w:rPr>
                <w:rFonts w:hint="eastAsia"/>
                <w:color w:val="auto"/>
                <w:sz w:val="21"/>
                <w:szCs w:val="21"/>
                <w:shd w:val="clear" w:color="auto" w:fill="auto"/>
              </w:rPr>
              <w:t>召开</w:t>
            </w:r>
            <w:r>
              <w:rPr>
                <w:rFonts w:hint="eastAsia"/>
                <w:color w:val="auto"/>
                <w:sz w:val="21"/>
                <w:szCs w:val="21"/>
                <w:shd w:val="clear" w:color="auto" w:fill="auto"/>
                <w:lang w:eastAsia="zh-CN"/>
              </w:rPr>
              <w:t>理论学习中心组</w:t>
            </w:r>
            <w:r>
              <w:rPr>
                <w:rFonts w:hint="eastAsia"/>
                <w:color w:val="auto"/>
                <w:sz w:val="21"/>
                <w:szCs w:val="21"/>
                <w:shd w:val="clear" w:color="auto" w:fill="auto"/>
              </w:rPr>
              <w:t>专题学习，强调要把党史学习教育同解决实际问题紧密结合起来，加强对中央环保督察，长江经济带等相关问题的整改和举一反三，系统构建问题快速发现、核实、报送、处置的闭环管控机制。</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2.持续加大领导干部生态环境保护和建设工作考核力度。</w:t>
            </w:r>
            <w:r>
              <w:rPr>
                <w:rFonts w:hint="eastAsia"/>
                <w:color w:val="auto"/>
                <w:sz w:val="21"/>
                <w:szCs w:val="21"/>
                <w:shd w:val="clear" w:color="auto" w:fill="auto"/>
                <w:lang w:val="zh-CN"/>
              </w:rPr>
              <w:t>市美丽办编制印发《丽水市深入打好污染防治攻坚战工作推进机制》。</w:t>
            </w:r>
            <w:r>
              <w:rPr>
                <w:rFonts w:hint="eastAsia"/>
                <w:color w:val="auto"/>
                <w:sz w:val="21"/>
                <w:szCs w:val="21"/>
                <w:shd w:val="clear" w:color="auto" w:fill="auto"/>
              </w:rPr>
              <w:t xml:space="preserve">      </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3.落实完善市直部门生态环境保护责任清单。中共丽水市委办公室 丽水市人民政府办公室印发《丽水市市直有关单位生态环境保护工作职责清单》。各县</w:t>
            </w:r>
            <w:r>
              <w:rPr>
                <w:rFonts w:hint="eastAsia"/>
                <w:color w:val="auto"/>
                <w:sz w:val="21"/>
                <w:szCs w:val="21"/>
                <w:shd w:val="clear" w:color="auto" w:fill="auto"/>
                <w:lang w:eastAsia="zh-CN"/>
              </w:rPr>
              <w:t>（</w:t>
            </w:r>
            <w:r>
              <w:rPr>
                <w:rFonts w:hint="eastAsia"/>
                <w:color w:val="auto"/>
                <w:sz w:val="21"/>
                <w:szCs w:val="21"/>
                <w:shd w:val="clear" w:color="auto" w:fill="auto"/>
              </w:rPr>
              <w:t>市</w:t>
            </w:r>
            <w:r>
              <w:rPr>
                <w:rFonts w:hint="eastAsia"/>
                <w:color w:val="auto"/>
                <w:sz w:val="21"/>
                <w:szCs w:val="21"/>
                <w:shd w:val="clear" w:color="auto" w:fill="auto"/>
                <w:lang w:eastAsia="zh-CN"/>
              </w:rPr>
              <w:t>、</w:t>
            </w:r>
            <w:r>
              <w:rPr>
                <w:rFonts w:hint="eastAsia"/>
                <w:color w:val="auto"/>
                <w:sz w:val="21"/>
                <w:szCs w:val="21"/>
                <w:shd w:val="clear" w:color="auto" w:fill="auto"/>
              </w:rPr>
              <w:t>区</w:t>
            </w:r>
            <w:r>
              <w:rPr>
                <w:rFonts w:hint="eastAsia"/>
                <w:color w:val="auto"/>
                <w:sz w:val="21"/>
                <w:szCs w:val="21"/>
                <w:shd w:val="clear" w:color="auto" w:fill="auto"/>
                <w:lang w:eastAsia="zh-CN"/>
              </w:rPr>
              <w:t>）</w:t>
            </w:r>
            <w:r>
              <w:rPr>
                <w:rFonts w:hint="eastAsia"/>
                <w:color w:val="auto"/>
                <w:sz w:val="21"/>
                <w:szCs w:val="21"/>
                <w:shd w:val="clear" w:color="auto" w:fill="auto"/>
              </w:rPr>
              <w:t>按照要求也已印发各地的生态环境保护工作职责清单。</w:t>
            </w:r>
          </w:p>
          <w:p>
            <w:pPr>
              <w:widowControl/>
              <w:adjustRightInd w:val="0"/>
              <w:snapToGrid w:val="0"/>
              <w:spacing w:line="300" w:lineRule="exact"/>
              <w:rPr>
                <w:color w:val="auto"/>
                <w:shd w:val="clear" w:color="auto" w:fill="auto"/>
              </w:rPr>
            </w:pPr>
            <w:r>
              <w:rPr>
                <w:rFonts w:hint="eastAsia"/>
                <w:color w:val="auto"/>
                <w:sz w:val="21"/>
                <w:szCs w:val="21"/>
                <w:shd w:val="clear" w:color="auto" w:fill="auto"/>
              </w:rPr>
              <w:t>4.详见第7项</w:t>
            </w:r>
          </w:p>
        </w:tc>
        <w:tc>
          <w:tcPr>
            <w:tcW w:w="700" w:type="dxa"/>
            <w:vAlign w:val="center"/>
          </w:tcPr>
          <w:p>
            <w:pPr>
              <w:widowControl/>
              <w:adjustRightInd w:val="0"/>
              <w:snapToGrid w:val="0"/>
              <w:spacing w:line="300" w:lineRule="exact"/>
              <w:rPr>
                <w:color w:val="auto"/>
                <w:sz w:val="21"/>
                <w:szCs w:val="21"/>
                <w:shd w:val="clear" w:color="auto" w:fill="auto"/>
              </w:rPr>
            </w:pPr>
            <w:r>
              <w:rPr>
                <w:color w:val="auto"/>
                <w:sz w:val="21"/>
                <w:szCs w:val="21"/>
                <w:shd w:val="clear" w:color="auto" w:fill="auto"/>
              </w:rPr>
              <w:sym w:font="Wingdings 2" w:char="00A3"/>
            </w:r>
            <w:r>
              <w:rPr>
                <w:rFonts w:hint="eastAsia"/>
                <w:color w:val="auto"/>
                <w:sz w:val="21"/>
                <w:szCs w:val="21"/>
                <w:shd w:val="clear" w:color="auto" w:fill="auto"/>
              </w:rPr>
              <w:t>已完成</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sym w:font="Wingdings 2" w:char="0052"/>
            </w:r>
            <w:r>
              <w:rPr>
                <w:rFonts w:hint="eastAsia"/>
                <w:color w:val="auto"/>
                <w:sz w:val="21"/>
                <w:szCs w:val="21"/>
                <w:shd w:val="clear" w:color="auto" w:fill="auto"/>
              </w:rPr>
              <w:t>达到序时进度</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□未达序时进度</w:t>
            </w:r>
          </w:p>
          <w:p>
            <w:pPr>
              <w:widowControl/>
              <w:adjustRightInd w:val="0"/>
              <w:snapToGrid w:val="0"/>
              <w:spacing w:line="300" w:lineRule="exact"/>
              <w:rPr>
                <w:color w:val="auto"/>
                <w:sz w:val="24"/>
                <w:shd w:val="clear" w:color="auto" w:fill="auto"/>
              </w:rPr>
            </w:pPr>
            <w:r>
              <w:rPr>
                <w:rFonts w:hint="eastAsia"/>
                <w:color w:val="auto"/>
                <w:sz w:val="21"/>
                <w:szCs w:val="21"/>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564"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丽水</w:t>
            </w:r>
          </w:p>
        </w:tc>
        <w:tc>
          <w:tcPr>
            <w:tcW w:w="519"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二</w:t>
            </w:r>
          </w:p>
        </w:tc>
        <w:tc>
          <w:tcPr>
            <w:tcW w:w="3365" w:type="dxa"/>
            <w:vAlign w:val="center"/>
          </w:tcPr>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t>第三项：</w:t>
            </w:r>
            <w:r>
              <w:rPr>
                <w:color w:val="auto"/>
                <w:sz w:val="21"/>
                <w:szCs w:val="21"/>
                <w:highlight w:val="none"/>
                <w:shd w:val="clear" w:color="auto" w:fill="auto"/>
              </w:rPr>
              <w:t>近年来浙江省城市用地普遍紧张，一定程度上制约经济发展和城市建设。面对这种矛盾，有的地方不是在提高土地综合利用率上下功夫，而是瞄上生态用地，既降了成本，又走了捷径，但牺牲了环境。</w:t>
            </w:r>
          </w:p>
        </w:tc>
        <w:tc>
          <w:tcPr>
            <w:tcW w:w="4706" w:type="dxa"/>
            <w:vAlign w:val="center"/>
          </w:tcPr>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t>整改目标：</w:t>
            </w:r>
          </w:p>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t>加强自然保护地监督管理，加快推进自然保护地优化整合，确保全省自然保护地保护面积不减少、保护强度不降低、保护性质不改变。</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t>整改措施：</w:t>
            </w:r>
          </w:p>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t>1.大力推进自然保护地优化整合</w:t>
            </w:r>
            <w:r>
              <w:rPr>
                <w:rFonts w:hint="eastAsia"/>
                <w:color w:val="auto"/>
                <w:sz w:val="21"/>
                <w:szCs w:val="21"/>
                <w:highlight w:val="none"/>
                <w:shd w:val="clear" w:color="auto" w:fill="auto"/>
              </w:rPr>
              <w:t>。</w:t>
            </w:r>
            <w:r>
              <w:rPr>
                <w:color w:val="auto"/>
                <w:sz w:val="21"/>
                <w:szCs w:val="21"/>
                <w:highlight w:val="none"/>
                <w:shd w:val="clear" w:color="auto" w:fill="auto"/>
              </w:rPr>
              <w:t>2021年12月底前，编制完成丽水市自然保护地专项规划，监督指导各地编制总体规划。</w:t>
            </w:r>
          </w:p>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t>2.加大自然保护地执法监管力度</w:t>
            </w:r>
            <w:r>
              <w:rPr>
                <w:rFonts w:hint="eastAsia"/>
                <w:color w:val="auto"/>
                <w:sz w:val="21"/>
                <w:szCs w:val="21"/>
                <w:highlight w:val="none"/>
                <w:shd w:val="clear" w:color="auto" w:fill="auto"/>
              </w:rPr>
              <w:t>。</w:t>
            </w:r>
            <w:r>
              <w:rPr>
                <w:color w:val="auto"/>
                <w:sz w:val="21"/>
                <w:szCs w:val="21"/>
                <w:highlight w:val="none"/>
                <w:shd w:val="clear" w:color="auto" w:fill="auto"/>
              </w:rPr>
              <w:t>开展“绿盾”自然保护地监督检查专项行动，督促各地及时发现、制止和查处各类违法违规行为。</w:t>
            </w:r>
          </w:p>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t>3.强化自然保护地长效管理</w:t>
            </w:r>
            <w:r>
              <w:rPr>
                <w:rFonts w:hint="eastAsia"/>
                <w:color w:val="auto"/>
                <w:sz w:val="21"/>
                <w:szCs w:val="21"/>
                <w:highlight w:val="none"/>
                <w:shd w:val="clear" w:color="auto" w:fill="auto"/>
              </w:rPr>
              <w:t>。</w:t>
            </w:r>
            <w:r>
              <w:rPr>
                <w:color w:val="auto"/>
                <w:sz w:val="21"/>
                <w:szCs w:val="21"/>
                <w:highlight w:val="none"/>
                <w:shd w:val="clear" w:color="auto" w:fill="auto"/>
              </w:rPr>
              <w:t>加快推进自然保护地勘界立标等工作。</w:t>
            </w:r>
          </w:p>
        </w:tc>
        <w:tc>
          <w:tcPr>
            <w:tcW w:w="772" w:type="dxa"/>
            <w:shd w:val="clear" w:color="auto" w:fill="auto"/>
            <w:vAlign w:val="center"/>
          </w:tcPr>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t>2021年12月底前</w:t>
            </w:r>
          </w:p>
        </w:tc>
        <w:tc>
          <w:tcPr>
            <w:tcW w:w="3548" w:type="dxa"/>
            <w:shd w:val="clear" w:color="auto" w:fill="auto"/>
            <w:vAlign w:val="center"/>
          </w:tcPr>
          <w:p>
            <w:pPr>
              <w:widowControl/>
              <w:adjustRightInd w:val="0"/>
              <w:snapToGrid w:val="0"/>
              <w:spacing w:line="320" w:lineRule="exact"/>
              <w:rPr>
                <w:color w:val="auto"/>
                <w:sz w:val="21"/>
                <w:szCs w:val="21"/>
                <w:highlight w:val="none"/>
                <w:shd w:val="clear" w:color="auto" w:fill="auto"/>
              </w:rPr>
            </w:pPr>
            <w:r>
              <w:rPr>
                <w:rFonts w:hint="eastAsia"/>
                <w:color w:val="auto"/>
                <w:sz w:val="21"/>
                <w:szCs w:val="21"/>
                <w:highlight w:val="none"/>
                <w:shd w:val="clear" w:color="auto" w:fill="auto"/>
              </w:rPr>
              <w:t>1.推进自然保护地优化整合，完成</w:t>
            </w:r>
            <w:r>
              <w:rPr>
                <w:rFonts w:hint="eastAsia"/>
                <w:color w:val="auto"/>
                <w:sz w:val="21"/>
                <w:szCs w:val="21"/>
                <w:highlight w:val="none"/>
                <w:shd w:val="clear" w:color="auto" w:fill="auto"/>
                <w:lang w:eastAsia="zh-CN"/>
              </w:rPr>
              <w:t>编制</w:t>
            </w:r>
            <w:r>
              <w:rPr>
                <w:rFonts w:hint="eastAsia"/>
                <w:color w:val="auto"/>
                <w:sz w:val="21"/>
                <w:szCs w:val="21"/>
                <w:highlight w:val="none"/>
                <w:shd w:val="clear" w:color="auto" w:fill="auto"/>
              </w:rPr>
              <w:t>《丽水市自然保护地发展规划》。</w:t>
            </w:r>
            <w:r>
              <w:rPr>
                <w:rFonts w:hint="eastAsia"/>
                <w:color w:val="auto"/>
                <w:sz w:val="21"/>
                <w:szCs w:val="21"/>
                <w:highlight w:val="none"/>
                <w:shd w:val="clear" w:color="auto" w:fill="auto"/>
              </w:rPr>
              <w:br w:type="textWrapping"/>
            </w:r>
            <w:r>
              <w:rPr>
                <w:rFonts w:hint="eastAsia"/>
                <w:color w:val="auto"/>
                <w:sz w:val="21"/>
                <w:szCs w:val="21"/>
                <w:highlight w:val="none"/>
                <w:shd w:val="clear" w:color="auto" w:fill="auto"/>
              </w:rPr>
              <w:t>2.强化自然保护地监督管理，开展“绿盾2021”自然保护地强化监督专项行动，及时发现、制止和查处各类违法违规行为。</w:t>
            </w:r>
            <w:r>
              <w:rPr>
                <w:rFonts w:hint="eastAsia"/>
                <w:color w:val="auto"/>
                <w:sz w:val="21"/>
                <w:szCs w:val="21"/>
                <w:highlight w:val="none"/>
                <w:shd w:val="clear" w:color="auto" w:fill="auto"/>
              </w:rPr>
              <w:br w:type="textWrapping"/>
            </w:r>
            <w:r>
              <w:rPr>
                <w:rFonts w:hint="eastAsia"/>
                <w:color w:val="auto"/>
                <w:sz w:val="21"/>
                <w:szCs w:val="21"/>
                <w:highlight w:val="none"/>
                <w:shd w:val="clear" w:color="auto" w:fill="auto"/>
              </w:rPr>
              <w:t>3.结合自然保护地整合优化进展，监督指导各地编制总体规划，适时开展自然保护地勘界立标工作。</w:t>
            </w:r>
          </w:p>
        </w:tc>
        <w:tc>
          <w:tcPr>
            <w:tcW w:w="700" w:type="dxa"/>
            <w:vAlign w:val="center"/>
          </w:tcPr>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sym w:font="Wingdings 2" w:char="0052"/>
            </w:r>
            <w:r>
              <w:rPr>
                <w:rFonts w:hint="eastAsia"/>
                <w:color w:val="auto"/>
                <w:sz w:val="21"/>
                <w:szCs w:val="21"/>
                <w:highlight w:val="none"/>
                <w:shd w:val="clear" w:color="auto" w:fill="auto"/>
              </w:rPr>
              <w:t>已完成</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sym w:font="Wingdings 2" w:char="00A3"/>
            </w:r>
            <w:r>
              <w:rPr>
                <w:rFonts w:hint="eastAsia"/>
                <w:color w:val="auto"/>
                <w:sz w:val="21"/>
                <w:szCs w:val="21"/>
                <w:highlight w:val="none"/>
                <w:shd w:val="clear" w:color="auto" w:fill="auto"/>
              </w:rPr>
              <w:t>达到序时进度</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t>□未达序时进度</w:t>
            </w:r>
          </w:p>
          <w:p>
            <w:pPr>
              <w:widowControl/>
              <w:adjustRightInd w:val="0"/>
              <w:snapToGrid w:val="0"/>
              <w:spacing w:line="300" w:lineRule="exact"/>
              <w:rPr>
                <w:color w:val="auto"/>
                <w:sz w:val="24"/>
                <w:highlight w:val="none"/>
                <w:shd w:val="clear" w:color="auto" w:fill="auto"/>
              </w:rPr>
            </w:pPr>
            <w:r>
              <w:rPr>
                <w:rFonts w:hint="eastAsia"/>
                <w:color w:val="auto"/>
                <w:sz w:val="21"/>
                <w:szCs w:val="21"/>
                <w:highlight w:val="none"/>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4"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丽水</w:t>
            </w:r>
          </w:p>
        </w:tc>
        <w:tc>
          <w:tcPr>
            <w:tcW w:w="519"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三</w:t>
            </w:r>
          </w:p>
        </w:tc>
        <w:tc>
          <w:tcPr>
            <w:tcW w:w="3365" w:type="dxa"/>
            <w:vAlign w:val="center"/>
          </w:tcPr>
          <w:p>
            <w:pPr>
              <w:widowControl/>
              <w:adjustRightInd w:val="0"/>
              <w:snapToGrid w:val="0"/>
              <w:spacing w:line="300" w:lineRule="exact"/>
              <w:rPr>
                <w:color w:val="auto"/>
                <w:sz w:val="24"/>
                <w:shd w:val="clear" w:color="auto" w:fill="auto"/>
              </w:rPr>
            </w:pPr>
            <w:r>
              <w:rPr>
                <w:rFonts w:hint="eastAsia"/>
                <w:color w:val="auto"/>
                <w:sz w:val="21"/>
                <w:szCs w:val="21"/>
                <w:shd w:val="clear" w:color="auto" w:fill="auto"/>
              </w:rPr>
              <w:t>第八项：</w:t>
            </w:r>
            <w:r>
              <w:rPr>
                <w:color w:val="auto"/>
                <w:sz w:val="21"/>
                <w:szCs w:val="21"/>
                <w:shd w:val="clear" w:color="auto" w:fill="auto"/>
              </w:rPr>
              <w:t>丽水市松阳县和龙泉市放松不锈钢行业总氮排放监管，龙泉市不锈钢产业集聚区污水处理厂出水总氮浓度高达2420毫克/升，超过《钢铁工业水污染物排放标准》表2标准160倍。</w:t>
            </w:r>
          </w:p>
        </w:tc>
        <w:tc>
          <w:tcPr>
            <w:tcW w:w="4706" w:type="dxa"/>
            <w:vAlign w:val="center"/>
          </w:tcPr>
          <w:p>
            <w:pPr>
              <w:widowControl/>
              <w:adjustRightInd w:val="0"/>
              <w:snapToGrid w:val="0"/>
              <w:spacing w:line="300" w:lineRule="exact"/>
              <w:rPr>
                <w:b/>
                <w:bCs/>
                <w:color w:val="auto"/>
                <w:sz w:val="21"/>
                <w:szCs w:val="21"/>
                <w:shd w:val="clear" w:color="auto" w:fill="auto"/>
              </w:rPr>
            </w:pPr>
            <w:r>
              <w:rPr>
                <w:rFonts w:hint="eastAsia"/>
                <w:b/>
                <w:bCs/>
                <w:color w:val="auto"/>
                <w:sz w:val="21"/>
                <w:szCs w:val="21"/>
                <w:shd w:val="clear" w:color="auto" w:fill="auto"/>
              </w:rPr>
              <w:t>松阳县</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整改目标：</w:t>
            </w:r>
          </w:p>
          <w:p>
            <w:pPr>
              <w:widowControl/>
              <w:adjustRightInd w:val="0"/>
              <w:snapToGrid w:val="0"/>
              <w:spacing w:line="300" w:lineRule="exact"/>
              <w:rPr>
                <w:color w:val="auto"/>
                <w:sz w:val="21"/>
                <w:szCs w:val="21"/>
                <w:shd w:val="clear" w:color="auto" w:fill="auto"/>
              </w:rPr>
            </w:pPr>
            <w:r>
              <w:rPr>
                <w:color w:val="auto"/>
                <w:sz w:val="21"/>
                <w:szCs w:val="21"/>
                <w:shd w:val="clear" w:color="auto" w:fill="auto"/>
              </w:rPr>
              <w:t>到2021年底，全面完成</w:t>
            </w:r>
            <w:r>
              <w:rPr>
                <w:rFonts w:hint="eastAsia"/>
                <w:color w:val="auto"/>
                <w:sz w:val="21"/>
                <w:szCs w:val="21"/>
                <w:shd w:val="clear" w:color="auto" w:fill="auto"/>
              </w:rPr>
              <w:t>3</w:t>
            </w:r>
            <w:r>
              <w:rPr>
                <w:color w:val="auto"/>
                <w:sz w:val="21"/>
                <w:szCs w:val="21"/>
                <w:shd w:val="clear" w:color="auto" w:fill="auto"/>
              </w:rPr>
              <w:t>家不锈钢废水处理厂改造提升，出水水质达到《钢铁工业水污染物排放标准》（GB13456-2012）间接排放标准要求（总氮小于35mg/L）。</w:t>
            </w:r>
            <w:r>
              <w:rPr>
                <w:rFonts w:hint="eastAsia"/>
                <w:color w:val="auto"/>
                <w:sz w:val="21"/>
                <w:szCs w:val="21"/>
                <w:shd w:val="clear" w:color="auto" w:fill="auto"/>
              </w:rPr>
              <w:t>3</w:t>
            </w:r>
            <w:r>
              <w:rPr>
                <w:color w:val="auto"/>
                <w:sz w:val="21"/>
                <w:szCs w:val="21"/>
                <w:shd w:val="clear" w:color="auto" w:fill="auto"/>
              </w:rPr>
              <w:t>家不锈钢废水处理厂出水纳入县城污水处理厂达标排放。</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整改措施：</w:t>
            </w:r>
          </w:p>
          <w:p>
            <w:pPr>
              <w:widowControl/>
              <w:adjustRightInd w:val="0"/>
              <w:snapToGrid w:val="0"/>
              <w:spacing w:line="300" w:lineRule="exact"/>
              <w:rPr>
                <w:color w:val="auto"/>
                <w:sz w:val="21"/>
                <w:szCs w:val="21"/>
                <w:shd w:val="clear" w:color="auto" w:fill="auto"/>
              </w:rPr>
            </w:pPr>
            <w:r>
              <w:rPr>
                <w:color w:val="auto"/>
                <w:sz w:val="21"/>
                <w:szCs w:val="21"/>
                <w:shd w:val="clear" w:color="auto" w:fill="auto"/>
              </w:rPr>
              <w:t>1.制定整改方案，对松阳县不锈钢管集中生产区域内的新星、绿洁、环洁3家不锈钢废水处理厂进行提升改造。</w:t>
            </w:r>
          </w:p>
          <w:p>
            <w:pPr>
              <w:widowControl/>
              <w:adjustRightInd w:val="0"/>
              <w:snapToGrid w:val="0"/>
              <w:spacing w:line="300" w:lineRule="exact"/>
              <w:rPr>
                <w:color w:val="auto"/>
                <w:sz w:val="21"/>
                <w:szCs w:val="21"/>
                <w:shd w:val="clear" w:color="auto" w:fill="auto"/>
              </w:rPr>
            </w:pPr>
            <w:r>
              <w:rPr>
                <w:color w:val="auto"/>
                <w:sz w:val="21"/>
                <w:szCs w:val="21"/>
                <w:shd w:val="clear" w:color="auto" w:fill="auto"/>
              </w:rPr>
              <w:t>2.在保证施工安全和工程质量的前提下，倒排工期，加紧施工。2021年3月动工建设，2021年10月底完工，2021年12月底前全部完成改造提升。</w:t>
            </w:r>
          </w:p>
          <w:p>
            <w:pPr>
              <w:widowControl/>
              <w:adjustRightInd w:val="0"/>
              <w:snapToGrid w:val="0"/>
              <w:spacing w:line="300" w:lineRule="exact"/>
              <w:rPr>
                <w:color w:val="auto"/>
                <w:sz w:val="21"/>
                <w:szCs w:val="21"/>
                <w:shd w:val="clear" w:color="auto" w:fill="auto"/>
              </w:rPr>
            </w:pPr>
            <w:r>
              <w:rPr>
                <w:color w:val="auto"/>
                <w:sz w:val="21"/>
                <w:szCs w:val="21"/>
                <w:shd w:val="clear" w:color="auto" w:fill="auto"/>
              </w:rPr>
              <w:t>3.加强日常监管，确保出水水质达到《钢铁工业水污染物排放标准》（GB13456-2012）要求。</w:t>
            </w:r>
          </w:p>
          <w:p>
            <w:pPr>
              <w:autoSpaceDE w:val="0"/>
              <w:autoSpaceDN w:val="0"/>
              <w:adjustRightInd w:val="0"/>
              <w:spacing w:line="300" w:lineRule="exact"/>
              <w:contextualSpacing/>
              <w:rPr>
                <w:b/>
                <w:bCs/>
                <w:color w:val="auto"/>
                <w:sz w:val="21"/>
                <w:szCs w:val="21"/>
                <w:shd w:val="clear" w:color="auto" w:fill="auto"/>
              </w:rPr>
            </w:pPr>
            <w:r>
              <w:rPr>
                <w:rFonts w:hint="eastAsia"/>
                <w:b/>
                <w:bCs/>
                <w:color w:val="auto"/>
                <w:sz w:val="21"/>
                <w:szCs w:val="21"/>
                <w:shd w:val="clear" w:color="auto" w:fill="auto"/>
              </w:rPr>
              <w:t>龙泉市</w:t>
            </w:r>
          </w:p>
          <w:p>
            <w:pPr>
              <w:autoSpaceDE w:val="0"/>
              <w:autoSpaceDN w:val="0"/>
              <w:adjustRightInd w:val="0"/>
              <w:spacing w:line="300" w:lineRule="exact"/>
              <w:contextualSpacing/>
              <w:rPr>
                <w:rFonts w:eastAsia="楷体_GB2312"/>
                <w:color w:val="auto"/>
                <w:sz w:val="21"/>
                <w:szCs w:val="21"/>
                <w:shd w:val="clear" w:color="auto" w:fill="auto"/>
              </w:rPr>
            </w:pPr>
            <w:r>
              <w:rPr>
                <w:rFonts w:eastAsia="楷体_GB2312"/>
                <w:color w:val="auto"/>
                <w:sz w:val="21"/>
                <w:szCs w:val="21"/>
                <w:shd w:val="clear" w:color="auto" w:fill="auto"/>
              </w:rPr>
              <w:t>整改目标：</w:t>
            </w:r>
          </w:p>
          <w:p>
            <w:pPr>
              <w:autoSpaceDE w:val="0"/>
              <w:autoSpaceDN w:val="0"/>
              <w:adjustRightInd w:val="0"/>
              <w:spacing w:line="300" w:lineRule="exact"/>
              <w:contextualSpacing/>
              <w:rPr>
                <w:color w:val="auto"/>
                <w:sz w:val="21"/>
                <w:szCs w:val="21"/>
                <w:shd w:val="clear" w:color="auto" w:fill="auto"/>
              </w:rPr>
            </w:pPr>
            <w:r>
              <w:rPr>
                <w:color w:val="auto"/>
                <w:sz w:val="21"/>
                <w:szCs w:val="21"/>
                <w:shd w:val="clear" w:color="auto" w:fill="auto"/>
              </w:rPr>
              <w:t>开展塔石金岗</w:t>
            </w:r>
            <w:r>
              <w:rPr>
                <w:rFonts w:hint="eastAsia"/>
                <w:color w:val="auto"/>
                <w:sz w:val="21"/>
                <w:szCs w:val="21"/>
                <w:shd w:val="clear" w:color="auto" w:fill="auto"/>
              </w:rPr>
              <w:t>工业</w:t>
            </w:r>
            <w:r>
              <w:rPr>
                <w:color w:val="auto"/>
                <w:sz w:val="21"/>
                <w:szCs w:val="21"/>
                <w:shd w:val="clear" w:color="auto" w:fill="auto"/>
              </w:rPr>
              <w:t>园区不锈钢企业综合整治行动，实施污水处理厂提升改造工程，</w:t>
            </w:r>
            <w:r>
              <w:rPr>
                <w:rFonts w:hint="eastAsia"/>
                <w:color w:val="auto"/>
                <w:sz w:val="21"/>
                <w:szCs w:val="21"/>
                <w:shd w:val="clear" w:color="auto" w:fill="auto"/>
              </w:rPr>
              <w:t>确保出水水质达到</w:t>
            </w:r>
            <w:r>
              <w:rPr>
                <w:color w:val="auto"/>
                <w:sz w:val="21"/>
                <w:szCs w:val="21"/>
                <w:shd w:val="clear" w:color="auto" w:fill="auto"/>
              </w:rPr>
              <w:t>《钢铁工业水污染物排放标准》（GB13456-2012）。</w:t>
            </w:r>
          </w:p>
          <w:p>
            <w:pPr>
              <w:autoSpaceDE w:val="0"/>
              <w:autoSpaceDN w:val="0"/>
              <w:adjustRightInd w:val="0"/>
              <w:spacing w:line="300" w:lineRule="exact"/>
              <w:contextualSpacing/>
              <w:rPr>
                <w:rFonts w:eastAsia="楷体_GB2312"/>
                <w:color w:val="auto"/>
                <w:sz w:val="21"/>
                <w:szCs w:val="21"/>
                <w:shd w:val="clear" w:color="auto" w:fill="auto"/>
              </w:rPr>
            </w:pPr>
            <w:r>
              <w:rPr>
                <w:rFonts w:eastAsia="楷体_GB2312"/>
                <w:color w:val="auto"/>
                <w:sz w:val="21"/>
                <w:szCs w:val="21"/>
                <w:shd w:val="clear" w:color="auto" w:fill="auto"/>
              </w:rPr>
              <w:t>整改措施：</w:t>
            </w:r>
          </w:p>
          <w:p>
            <w:pPr>
              <w:autoSpaceDE w:val="0"/>
              <w:autoSpaceDN w:val="0"/>
              <w:adjustRightInd w:val="0"/>
              <w:spacing w:line="300" w:lineRule="exact"/>
              <w:contextualSpacing/>
              <w:rPr>
                <w:color w:val="auto"/>
                <w:sz w:val="21"/>
                <w:szCs w:val="21"/>
                <w:shd w:val="clear" w:color="auto" w:fill="auto"/>
              </w:rPr>
            </w:pPr>
            <w:r>
              <w:rPr>
                <w:color w:val="auto"/>
                <w:sz w:val="21"/>
                <w:szCs w:val="21"/>
                <w:shd w:val="clear" w:color="auto" w:fill="auto"/>
              </w:rPr>
              <w:t>1.制定实施龙泉市《塔石金岗工业园区综合整治提升实施方案》，以全面推进清洁生产、完善治理设施设备、引导推动整合兼并、强化企业园区管理为重点，细化整治清单，抓实整治项目，全面推进</w:t>
            </w:r>
            <w:r>
              <w:rPr>
                <w:rFonts w:hint="eastAsia"/>
                <w:color w:val="auto"/>
                <w:sz w:val="21"/>
                <w:szCs w:val="21"/>
                <w:shd w:val="clear" w:color="auto" w:fill="auto"/>
              </w:rPr>
              <w:t>塔石</w:t>
            </w:r>
            <w:r>
              <w:rPr>
                <w:color w:val="auto"/>
                <w:sz w:val="21"/>
                <w:szCs w:val="21"/>
                <w:shd w:val="clear" w:color="auto" w:fill="auto"/>
              </w:rPr>
              <w:t>金岗工业园区综合整治提升。</w:t>
            </w:r>
          </w:p>
          <w:p>
            <w:pPr>
              <w:autoSpaceDE w:val="0"/>
              <w:autoSpaceDN w:val="0"/>
              <w:adjustRightInd w:val="0"/>
              <w:spacing w:line="300" w:lineRule="exact"/>
              <w:contextualSpacing/>
              <w:rPr>
                <w:color w:val="auto"/>
                <w:sz w:val="21"/>
                <w:szCs w:val="21"/>
                <w:shd w:val="clear" w:color="auto" w:fill="auto"/>
              </w:rPr>
            </w:pPr>
            <w:r>
              <w:rPr>
                <w:color w:val="auto"/>
                <w:sz w:val="21"/>
                <w:szCs w:val="21"/>
                <w:shd w:val="clear" w:color="auto" w:fill="auto"/>
              </w:rPr>
              <w:t>2.园区污水处理厂出水严格执行最新的《钢铁工业水污染物排放标准》，实施污水处理厂提升改造工程，计划投资额2300万元，重点增加处理总氮项目。2021年4月中旬动工建设，2021年12月底前全面完成。</w:t>
            </w:r>
          </w:p>
          <w:p>
            <w:pPr>
              <w:autoSpaceDE w:val="0"/>
              <w:autoSpaceDN w:val="0"/>
              <w:adjustRightInd w:val="0"/>
              <w:spacing w:line="300" w:lineRule="exact"/>
              <w:contextualSpacing/>
              <w:rPr>
                <w:color w:val="auto"/>
                <w:shd w:val="clear" w:color="auto" w:fill="auto"/>
              </w:rPr>
            </w:pPr>
            <w:r>
              <w:rPr>
                <w:color w:val="auto"/>
                <w:sz w:val="21"/>
                <w:szCs w:val="21"/>
                <w:shd w:val="clear" w:color="auto" w:fill="auto"/>
              </w:rPr>
              <w:t>3.加强日常监管，确保出水水质达到《钢铁工业水污染物排放标准》（GB13456-2012）要求。</w:t>
            </w:r>
          </w:p>
        </w:tc>
        <w:tc>
          <w:tcPr>
            <w:tcW w:w="772" w:type="dxa"/>
            <w:shd w:val="clear" w:color="auto" w:fill="auto"/>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松阳县</w:t>
            </w:r>
          </w:p>
          <w:p>
            <w:pPr>
              <w:widowControl/>
              <w:adjustRightInd w:val="0"/>
              <w:snapToGrid w:val="0"/>
              <w:spacing w:line="300" w:lineRule="exact"/>
              <w:rPr>
                <w:color w:val="auto"/>
                <w:sz w:val="21"/>
                <w:szCs w:val="21"/>
                <w:shd w:val="clear" w:color="auto" w:fill="auto"/>
              </w:rPr>
            </w:pPr>
            <w:r>
              <w:rPr>
                <w:color w:val="auto"/>
                <w:sz w:val="21"/>
                <w:szCs w:val="21"/>
                <w:shd w:val="clear" w:color="auto" w:fill="auto"/>
              </w:rPr>
              <w:t>2021年12月底前</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龙泉市</w:t>
            </w:r>
          </w:p>
          <w:p>
            <w:pPr>
              <w:widowControl/>
              <w:adjustRightInd w:val="0"/>
              <w:snapToGrid w:val="0"/>
              <w:spacing w:line="300" w:lineRule="exact"/>
              <w:rPr>
                <w:color w:val="auto"/>
                <w:sz w:val="24"/>
                <w:shd w:val="clear" w:color="auto" w:fill="auto"/>
              </w:rPr>
            </w:pPr>
            <w:r>
              <w:rPr>
                <w:color w:val="auto"/>
                <w:sz w:val="21"/>
                <w:szCs w:val="21"/>
                <w:shd w:val="clear" w:color="auto" w:fill="auto"/>
              </w:rPr>
              <w:t>2021年12月底前</w:t>
            </w:r>
          </w:p>
        </w:tc>
        <w:tc>
          <w:tcPr>
            <w:tcW w:w="3548" w:type="dxa"/>
            <w:shd w:val="clear" w:color="auto" w:fill="auto"/>
            <w:vAlign w:val="center"/>
          </w:tcPr>
          <w:p>
            <w:pPr>
              <w:widowControl/>
              <w:adjustRightInd w:val="0"/>
              <w:snapToGrid w:val="0"/>
              <w:spacing w:line="300" w:lineRule="exact"/>
              <w:rPr>
                <w:b/>
                <w:bCs/>
                <w:color w:val="auto"/>
                <w:sz w:val="21"/>
                <w:szCs w:val="21"/>
                <w:shd w:val="clear" w:color="auto" w:fill="auto"/>
              </w:rPr>
            </w:pPr>
            <w:r>
              <w:rPr>
                <w:rFonts w:hint="eastAsia"/>
                <w:b/>
                <w:bCs/>
                <w:color w:val="auto"/>
                <w:sz w:val="21"/>
                <w:szCs w:val="21"/>
                <w:shd w:val="clear" w:color="auto" w:fill="auto"/>
              </w:rPr>
              <w:t>松阳县：</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 xml:space="preserve">1.松阳县新星、绿洁、环洁三家不锈钢废水处理厂进行提升改造，制定《松阳县不锈钢废水处理厂改造提升实施方案》。 </w:t>
            </w:r>
          </w:p>
          <w:p>
            <w:pPr>
              <w:widowControl/>
              <w:adjustRightInd w:val="0"/>
              <w:snapToGrid w:val="0"/>
              <w:spacing w:line="300" w:lineRule="exact"/>
              <w:rPr>
                <w:rFonts w:hint="eastAsia"/>
                <w:color w:val="auto"/>
                <w:sz w:val="21"/>
                <w:szCs w:val="21"/>
                <w:shd w:val="clear" w:color="auto" w:fill="auto"/>
              </w:rPr>
            </w:pPr>
            <w:r>
              <w:rPr>
                <w:rFonts w:hint="eastAsia"/>
                <w:color w:val="auto"/>
                <w:sz w:val="21"/>
                <w:szCs w:val="21"/>
                <w:shd w:val="clear" w:color="auto" w:fill="auto"/>
              </w:rPr>
              <w:t>2.</w:t>
            </w:r>
            <w:r>
              <w:rPr>
                <w:rFonts w:hint="eastAsia"/>
                <w:color w:val="auto"/>
                <w:sz w:val="21"/>
                <w:szCs w:val="21"/>
                <w:shd w:val="clear" w:color="auto" w:fill="auto"/>
                <w:lang w:val="en-US" w:eastAsia="zh-CN"/>
              </w:rPr>
              <w:t>2021年12</w:t>
            </w:r>
            <w:r>
              <w:rPr>
                <w:rFonts w:hint="eastAsia"/>
                <w:color w:val="auto"/>
                <w:sz w:val="21"/>
                <w:szCs w:val="21"/>
                <w:shd w:val="clear" w:color="auto" w:fill="auto"/>
              </w:rPr>
              <w:t>月底</w:t>
            </w:r>
            <w:r>
              <w:rPr>
                <w:rFonts w:hint="eastAsia"/>
                <w:color w:val="auto"/>
                <w:sz w:val="21"/>
                <w:szCs w:val="21"/>
                <w:shd w:val="clear" w:color="auto" w:fill="auto"/>
                <w:lang w:val="en-US" w:eastAsia="zh-CN"/>
              </w:rPr>
              <w:t>前</w:t>
            </w:r>
            <w:r>
              <w:rPr>
                <w:rFonts w:hint="eastAsia"/>
                <w:color w:val="auto"/>
                <w:sz w:val="21"/>
                <w:szCs w:val="21"/>
                <w:shd w:val="clear" w:color="auto" w:fill="auto"/>
              </w:rPr>
              <w:t>，绿洁</w:t>
            </w:r>
            <w:r>
              <w:rPr>
                <w:rFonts w:hint="eastAsia"/>
                <w:color w:val="auto"/>
                <w:sz w:val="21"/>
                <w:szCs w:val="21"/>
                <w:shd w:val="clear" w:color="auto" w:fill="auto"/>
                <w:lang w:eastAsia="zh-CN"/>
              </w:rPr>
              <w:t>、</w:t>
            </w:r>
            <w:r>
              <w:rPr>
                <w:rFonts w:hint="eastAsia"/>
                <w:color w:val="auto"/>
                <w:sz w:val="21"/>
                <w:szCs w:val="21"/>
                <w:shd w:val="clear" w:color="auto" w:fill="auto"/>
              </w:rPr>
              <w:t>新星</w:t>
            </w:r>
            <w:r>
              <w:rPr>
                <w:rFonts w:hint="eastAsia"/>
                <w:color w:val="auto"/>
                <w:sz w:val="21"/>
                <w:szCs w:val="21"/>
                <w:shd w:val="clear" w:color="auto" w:fill="auto"/>
                <w:lang w:eastAsia="zh-CN"/>
              </w:rPr>
              <w:t>、</w:t>
            </w:r>
            <w:r>
              <w:rPr>
                <w:rFonts w:hint="eastAsia"/>
                <w:color w:val="auto"/>
                <w:sz w:val="21"/>
                <w:szCs w:val="21"/>
                <w:shd w:val="clear" w:color="auto" w:fill="auto"/>
              </w:rPr>
              <w:t>环洁不锈钢废水处理</w:t>
            </w:r>
            <w:r>
              <w:rPr>
                <w:rFonts w:hint="eastAsia"/>
                <w:color w:val="auto"/>
                <w:sz w:val="21"/>
                <w:szCs w:val="21"/>
                <w:shd w:val="clear" w:color="auto" w:fill="auto"/>
                <w:lang w:eastAsia="zh-CN"/>
              </w:rPr>
              <w:t>厂</w:t>
            </w:r>
            <w:r>
              <w:rPr>
                <w:rFonts w:hint="eastAsia"/>
                <w:color w:val="auto"/>
                <w:sz w:val="21"/>
                <w:szCs w:val="21"/>
                <w:shd w:val="clear" w:color="auto" w:fill="auto"/>
              </w:rPr>
              <w:t>提升改造项目完成改造，废水经处理后达标进入县城污水处理厂。</w:t>
            </w:r>
          </w:p>
          <w:p>
            <w:pPr>
              <w:widowControl/>
              <w:adjustRightInd w:val="0"/>
              <w:snapToGrid w:val="0"/>
              <w:spacing w:line="300" w:lineRule="exact"/>
              <w:rPr>
                <w:rFonts w:hint="eastAsia"/>
                <w:color w:val="auto"/>
                <w:sz w:val="21"/>
                <w:szCs w:val="21"/>
                <w:shd w:val="clear" w:color="auto" w:fill="auto"/>
              </w:rPr>
            </w:pPr>
            <w:r>
              <w:rPr>
                <w:rFonts w:hint="eastAsia"/>
                <w:color w:val="auto"/>
                <w:sz w:val="21"/>
                <w:szCs w:val="21"/>
                <w:shd w:val="clear" w:color="auto" w:fill="auto"/>
              </w:rPr>
              <w:t>3.安装在线电导率监测仪，严格控制各企业排水总氮浓度，以保证不锈钢废水处理厂总氮处理能力。开发“护绿盾”系统，应用工业企业护绿盾系统，借助信息化手段，强化人防技防，帮助企业提高环保管理水平和工作效率。</w:t>
            </w:r>
          </w:p>
          <w:p>
            <w:pPr>
              <w:widowControl/>
              <w:adjustRightInd w:val="0"/>
              <w:snapToGrid w:val="0"/>
              <w:spacing w:line="300" w:lineRule="exact"/>
              <w:rPr>
                <w:b/>
                <w:bCs/>
                <w:color w:val="auto"/>
                <w:sz w:val="21"/>
                <w:szCs w:val="21"/>
                <w:shd w:val="clear" w:color="auto" w:fill="auto"/>
              </w:rPr>
            </w:pPr>
            <w:r>
              <w:rPr>
                <w:rFonts w:hint="eastAsia"/>
                <w:b/>
                <w:bCs/>
                <w:color w:val="auto"/>
                <w:sz w:val="21"/>
                <w:szCs w:val="21"/>
                <w:shd w:val="clear" w:color="auto" w:fill="auto"/>
              </w:rPr>
              <w:t>龙泉市：</w:t>
            </w:r>
          </w:p>
          <w:p>
            <w:pPr>
              <w:widowControl/>
              <w:adjustRightInd w:val="0"/>
              <w:snapToGrid w:val="0"/>
              <w:spacing w:line="300" w:lineRule="exact"/>
              <w:rPr>
                <w:color w:val="auto"/>
                <w:sz w:val="21"/>
                <w:szCs w:val="21"/>
                <w:shd w:val="clear" w:color="auto" w:fill="auto"/>
                <w:lang w:val="zh-CN"/>
              </w:rPr>
            </w:pPr>
            <w:r>
              <w:rPr>
                <w:rFonts w:hint="eastAsia"/>
                <w:color w:val="auto"/>
                <w:sz w:val="21"/>
                <w:szCs w:val="21"/>
                <w:shd w:val="clear" w:color="auto" w:fill="auto"/>
              </w:rPr>
              <w:t>1.</w:t>
            </w:r>
            <w:r>
              <w:rPr>
                <w:rFonts w:hint="eastAsia"/>
                <w:color w:val="auto"/>
                <w:sz w:val="21"/>
                <w:szCs w:val="21"/>
                <w:shd w:val="clear" w:color="auto" w:fill="auto"/>
                <w:lang w:val="zh-CN"/>
              </w:rPr>
              <w:t>制定《塔石金岗工业园区综合整治提升实施方案》。</w:t>
            </w:r>
          </w:p>
          <w:p>
            <w:pPr>
              <w:autoSpaceDE w:val="0"/>
              <w:autoSpaceDN w:val="0"/>
              <w:snapToGrid w:val="0"/>
              <w:spacing w:line="300" w:lineRule="exact"/>
              <w:jc w:val="left"/>
              <w:outlineLvl w:val="0"/>
              <w:rPr>
                <w:rFonts w:hint="default" w:eastAsia="仿宋_GB2312"/>
                <w:color w:val="auto"/>
                <w:sz w:val="21"/>
                <w:szCs w:val="21"/>
                <w:shd w:val="clear" w:color="auto" w:fill="auto"/>
                <w:lang w:val="en-US" w:eastAsia="zh-CN"/>
              </w:rPr>
            </w:pPr>
            <w:r>
              <w:rPr>
                <w:rFonts w:hint="eastAsia"/>
                <w:color w:val="auto"/>
                <w:sz w:val="21"/>
                <w:szCs w:val="21"/>
                <w:shd w:val="clear" w:color="auto" w:fill="auto"/>
              </w:rPr>
              <w:t>2.龙泉市塔石污水处理厂总氮处理工程总投资2300万元，设计处理规模500吨/天。该工程于2021年1月27日获立项批复，</w:t>
            </w:r>
            <w:r>
              <w:rPr>
                <w:rFonts w:hint="eastAsia"/>
                <w:color w:val="auto"/>
                <w:sz w:val="21"/>
                <w:szCs w:val="21"/>
                <w:shd w:val="clear" w:color="auto" w:fill="auto"/>
                <w:lang w:val="en-US" w:eastAsia="zh-CN"/>
              </w:rPr>
              <w:t>于12月底前</w:t>
            </w:r>
            <w:r>
              <w:rPr>
                <w:rFonts w:hint="eastAsia"/>
                <w:color w:val="auto"/>
                <w:sz w:val="21"/>
                <w:szCs w:val="21"/>
                <w:shd w:val="clear" w:color="auto" w:fill="auto"/>
              </w:rPr>
              <w:t>完成工程建设</w:t>
            </w:r>
            <w:r>
              <w:rPr>
                <w:rFonts w:hint="eastAsia"/>
                <w:color w:val="auto"/>
                <w:sz w:val="21"/>
                <w:szCs w:val="21"/>
                <w:shd w:val="clear" w:color="auto" w:fill="auto"/>
                <w:lang w:val="en-US" w:eastAsia="zh-CN"/>
              </w:rPr>
              <w:t>和进水调试，出水总氮达标排放。</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3.针对金岗工业园区21家企业，试点示范一批9家、整治提升一批8家、兼并重组一批4家，分类跟进、分线督查。目前试点示范企业</w:t>
            </w:r>
            <w:r>
              <w:rPr>
                <w:rFonts w:hint="eastAsia"/>
                <w:color w:val="auto"/>
                <w:sz w:val="21"/>
                <w:szCs w:val="21"/>
                <w:shd w:val="clear" w:color="auto" w:fill="auto"/>
                <w:lang w:val="en-US" w:eastAsia="zh-CN"/>
              </w:rPr>
              <w:t>和</w:t>
            </w:r>
            <w:r>
              <w:rPr>
                <w:rFonts w:hint="eastAsia"/>
                <w:color w:val="auto"/>
                <w:sz w:val="21"/>
                <w:szCs w:val="21"/>
                <w:shd w:val="clear" w:color="auto" w:fill="auto"/>
              </w:rPr>
              <w:t>整治提升企业全部通过验收，兼并重组企业有4家已关停整顿。同时实施总氮处理工程，出水按《钢铁工业水污染物排放标准》稳定达标。</w:t>
            </w:r>
          </w:p>
        </w:tc>
        <w:tc>
          <w:tcPr>
            <w:tcW w:w="700" w:type="dxa"/>
            <w:vAlign w:val="center"/>
          </w:tcPr>
          <w:p>
            <w:pPr>
              <w:widowControl/>
              <w:adjustRightInd w:val="0"/>
              <w:snapToGrid w:val="0"/>
              <w:spacing w:line="300" w:lineRule="exact"/>
              <w:rPr>
                <w:color w:val="auto"/>
                <w:sz w:val="21"/>
                <w:szCs w:val="21"/>
                <w:shd w:val="clear" w:color="auto" w:fill="auto"/>
              </w:rPr>
            </w:pPr>
            <w:r>
              <w:rPr>
                <w:color w:val="auto"/>
                <w:sz w:val="21"/>
                <w:szCs w:val="21"/>
                <w:shd w:val="clear" w:color="auto" w:fill="auto"/>
              </w:rPr>
              <w:sym w:font="Wingdings 2" w:char="0052"/>
            </w:r>
            <w:r>
              <w:rPr>
                <w:rFonts w:hint="eastAsia"/>
                <w:color w:val="auto"/>
                <w:sz w:val="21"/>
                <w:szCs w:val="21"/>
                <w:shd w:val="clear" w:color="auto" w:fill="auto"/>
              </w:rPr>
              <w:t>已完成</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sym w:font="Wingdings 2" w:char="00A3"/>
            </w:r>
            <w:r>
              <w:rPr>
                <w:rFonts w:hint="eastAsia"/>
                <w:color w:val="auto"/>
                <w:sz w:val="21"/>
                <w:szCs w:val="21"/>
                <w:shd w:val="clear" w:color="auto" w:fill="auto"/>
              </w:rPr>
              <w:t>达到序时进度</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□未达序时进度</w:t>
            </w:r>
          </w:p>
          <w:p>
            <w:pPr>
              <w:widowControl/>
              <w:adjustRightInd w:val="0"/>
              <w:snapToGrid w:val="0"/>
              <w:spacing w:line="300" w:lineRule="exact"/>
              <w:rPr>
                <w:color w:val="auto"/>
                <w:sz w:val="24"/>
                <w:shd w:val="clear" w:color="auto" w:fill="auto"/>
              </w:rPr>
            </w:pPr>
            <w:r>
              <w:rPr>
                <w:rFonts w:hint="eastAsia"/>
                <w:color w:val="auto"/>
                <w:sz w:val="21"/>
                <w:szCs w:val="21"/>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5" w:hRule="atLeast"/>
        </w:trPr>
        <w:tc>
          <w:tcPr>
            <w:tcW w:w="564"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丽水</w:t>
            </w:r>
          </w:p>
        </w:tc>
        <w:tc>
          <w:tcPr>
            <w:tcW w:w="519"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四</w:t>
            </w:r>
          </w:p>
        </w:tc>
        <w:tc>
          <w:tcPr>
            <w:tcW w:w="3365" w:type="dxa"/>
            <w:vAlign w:val="center"/>
          </w:tcPr>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第</w:t>
            </w:r>
            <w:r>
              <w:rPr>
                <w:color w:val="auto"/>
                <w:sz w:val="21"/>
                <w:szCs w:val="21"/>
                <w:highlight w:val="none"/>
                <w:shd w:val="clear" w:color="auto" w:fill="auto"/>
              </w:rPr>
              <w:t>十二</w:t>
            </w:r>
            <w:r>
              <w:rPr>
                <w:rFonts w:hint="eastAsia"/>
                <w:color w:val="auto"/>
                <w:sz w:val="21"/>
                <w:szCs w:val="21"/>
                <w:highlight w:val="none"/>
                <w:shd w:val="clear" w:color="auto" w:fill="auto"/>
              </w:rPr>
              <w:t>项：</w:t>
            </w:r>
            <w:r>
              <w:rPr>
                <w:color w:val="auto"/>
                <w:sz w:val="21"/>
                <w:szCs w:val="21"/>
                <w:highlight w:val="none"/>
                <w:shd w:val="clear" w:color="auto" w:fill="auto"/>
              </w:rPr>
              <w:t>浙江省大气污染防治行动计划明确，对已关闭废弃矿山进行生态治理，到2017年年底，治理率达到90%以上。但原国土资源厅以制定大气污染防治行动计划未征询意见为由，两年多时间没有推进落实矿山治理任务。直到2016年10月，才对废弃矿山治理工作进行部署，并将治理范围擅自缩减为“铁路、县级以上公路、河道两侧可视范围现存1223个废弃矿山”。即便如此，任务完成情况也不乐观，应于2018年年底前完成的531个重点治理废弃矿山，至督察时仍有164个未完成治理，其中33个尚未开工。</w:t>
            </w:r>
          </w:p>
        </w:tc>
        <w:tc>
          <w:tcPr>
            <w:tcW w:w="4706" w:type="dxa"/>
            <w:vAlign w:val="center"/>
          </w:tcPr>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整改目标：</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对全市已关闭的废弃矿山进行全面的生态治理。</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整改措施：</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1.开展回头看，摸清底数，形成丽水市废弃矿山问题清单。对全市79个废弃矿山进行全面排查，进一步夯实废弃矿山治理基础。通过前期工作，排查出有问题的废弃矿山3个：分别是莲都区老竹镇西子山采石场、青田县仁川石料场、青田县东南管桩有限公司占岙石料加工厂。</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2.落实责任，全面推进废弃矿山系统治理。对于排查出的问题废弃矿山，分别由莲都区和青田县政府负责整改到位，莲都区的1个废弃矿山计划2021年12月底前完成，青田县的2个废弃矿山计划2022年12月底前完成。</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3.建立废弃矿山治理台账，完成一个验收一个，销号一个，确保整改实效。</w:t>
            </w:r>
          </w:p>
        </w:tc>
        <w:tc>
          <w:tcPr>
            <w:tcW w:w="772" w:type="dxa"/>
            <w:shd w:val="clear" w:color="auto" w:fill="auto"/>
            <w:vAlign w:val="center"/>
          </w:tcPr>
          <w:p>
            <w:pPr>
              <w:widowControl/>
              <w:adjustRightInd w:val="0"/>
              <w:snapToGrid w:val="0"/>
              <w:spacing w:line="300" w:lineRule="exact"/>
              <w:jc w:val="center"/>
              <w:rPr>
                <w:color w:val="auto"/>
                <w:sz w:val="24"/>
                <w:highlight w:val="none"/>
                <w:shd w:val="clear" w:color="auto" w:fill="auto"/>
              </w:rPr>
            </w:pPr>
            <w:r>
              <w:rPr>
                <w:color w:val="auto"/>
                <w:sz w:val="21"/>
                <w:szCs w:val="21"/>
                <w:highlight w:val="none"/>
                <w:shd w:val="clear" w:color="auto" w:fill="auto"/>
              </w:rPr>
              <w:t>2022年12月底前</w:t>
            </w:r>
          </w:p>
        </w:tc>
        <w:tc>
          <w:tcPr>
            <w:tcW w:w="3548" w:type="dxa"/>
            <w:shd w:val="clear" w:color="auto" w:fill="auto"/>
            <w:vAlign w:val="center"/>
          </w:tcPr>
          <w:p>
            <w:pPr>
              <w:numPr>
                <w:ilvl w:val="0"/>
                <w:numId w:val="0"/>
              </w:numPr>
              <w:autoSpaceDE w:val="0"/>
              <w:autoSpaceDN w:val="0"/>
              <w:adjustRightInd w:val="0"/>
              <w:spacing w:line="280" w:lineRule="exact"/>
              <w:contextualSpacing/>
              <w:rPr>
                <w:rFonts w:hint="eastAsia"/>
                <w:color w:val="auto"/>
                <w:sz w:val="21"/>
                <w:szCs w:val="21"/>
                <w:highlight w:val="none"/>
                <w:shd w:val="clear" w:color="auto" w:fill="auto"/>
              </w:rPr>
            </w:pPr>
            <w:r>
              <w:rPr>
                <w:rFonts w:hint="eastAsia"/>
                <w:color w:val="auto"/>
                <w:sz w:val="21"/>
                <w:szCs w:val="21"/>
                <w:highlight w:val="none"/>
                <w:shd w:val="clear" w:color="auto" w:fill="auto"/>
                <w:lang w:val="en-US" w:eastAsia="zh-CN"/>
              </w:rPr>
              <w:t>1.</w:t>
            </w:r>
            <w:r>
              <w:rPr>
                <w:rFonts w:hint="eastAsia"/>
                <w:color w:val="auto"/>
                <w:sz w:val="21"/>
                <w:szCs w:val="21"/>
                <w:highlight w:val="none"/>
                <w:shd w:val="clear" w:color="auto" w:fill="auto"/>
              </w:rPr>
              <w:t xml:space="preserve">开展回头看，摸清底数，形成丽水市废弃矿山问题清单。对全市79个废弃矿山进行全面排查，进一步夯实废弃矿山治理基础。通过前期工作，排查出有问题的废弃矿山3个：分别是莲都区老竹镇西子山采石场、青田县仁川石料场、青田县东南管桩有限公司占岙石料加工厂。            </w:t>
            </w:r>
          </w:p>
          <w:p>
            <w:pPr>
              <w:numPr>
                <w:ilvl w:val="0"/>
                <w:numId w:val="0"/>
              </w:numPr>
              <w:shd w:val="clear"/>
              <w:autoSpaceDE w:val="0"/>
              <w:autoSpaceDN w:val="0"/>
              <w:adjustRightInd w:val="0"/>
              <w:spacing w:line="280" w:lineRule="exact"/>
              <w:contextualSpacing/>
              <w:rPr>
                <w:rFonts w:hint="eastAsia"/>
                <w:color w:val="auto"/>
                <w:sz w:val="21"/>
                <w:szCs w:val="21"/>
                <w:highlight w:val="none"/>
                <w:shd w:val="clear" w:color="auto" w:fill="auto"/>
              </w:rPr>
            </w:pPr>
            <w:r>
              <w:rPr>
                <w:rFonts w:hint="eastAsia"/>
                <w:color w:val="auto"/>
                <w:sz w:val="21"/>
                <w:szCs w:val="21"/>
                <w:highlight w:val="none"/>
                <w:shd w:val="clear" w:color="auto" w:fill="auto"/>
              </w:rPr>
              <w:t>2.落实责任，全面推进废弃矿山系统治理。对排查出的问题废弃矿山，分别由莲都区和青田县政府负责整改到位，莲都区的1个废弃矿山</w:t>
            </w:r>
            <w:r>
              <w:rPr>
                <w:rFonts w:hint="eastAsia"/>
                <w:color w:val="auto"/>
                <w:sz w:val="21"/>
                <w:szCs w:val="21"/>
                <w:highlight w:val="none"/>
                <w:shd w:val="clear" w:color="auto" w:fill="auto"/>
                <w:lang w:eastAsia="zh-CN"/>
              </w:rPr>
              <w:t>于</w:t>
            </w:r>
            <w:r>
              <w:rPr>
                <w:rFonts w:hint="eastAsia"/>
                <w:color w:val="auto"/>
                <w:sz w:val="21"/>
                <w:szCs w:val="21"/>
                <w:highlight w:val="none"/>
                <w:shd w:val="clear" w:color="auto" w:fill="auto"/>
              </w:rPr>
              <w:t>2021年12月底前完成，青田县的2个废弃矿山</w:t>
            </w:r>
            <w:r>
              <w:rPr>
                <w:rFonts w:hint="eastAsia"/>
                <w:color w:val="auto"/>
                <w:sz w:val="21"/>
                <w:szCs w:val="21"/>
                <w:highlight w:val="none"/>
                <w:shd w:val="clear" w:color="auto" w:fill="auto"/>
                <w:lang w:eastAsia="zh-CN"/>
              </w:rPr>
              <w:t>于</w:t>
            </w:r>
            <w:r>
              <w:rPr>
                <w:rFonts w:hint="eastAsia"/>
                <w:color w:val="auto"/>
                <w:sz w:val="21"/>
                <w:szCs w:val="21"/>
                <w:highlight w:val="none"/>
                <w:shd w:val="clear" w:color="auto" w:fill="auto"/>
              </w:rPr>
              <w:t>2022年12月底前完成。</w:t>
            </w:r>
          </w:p>
          <w:p>
            <w:pPr>
              <w:shd w:val="clear"/>
              <w:autoSpaceDE w:val="0"/>
              <w:autoSpaceDN w:val="0"/>
              <w:adjustRightInd w:val="0"/>
              <w:spacing w:line="280" w:lineRule="exact"/>
              <w:contextualSpacing/>
              <w:rPr>
                <w:rFonts w:hint="eastAsia" w:eastAsia="仿宋_GB2312"/>
                <w:color w:val="auto"/>
                <w:sz w:val="21"/>
                <w:szCs w:val="21"/>
                <w:highlight w:val="none"/>
                <w:shd w:val="clear" w:color="auto"/>
                <w:lang w:val="en-US" w:eastAsia="zh-CN"/>
              </w:rPr>
            </w:pPr>
            <w:r>
              <w:rPr>
                <w:rFonts w:hint="eastAsia"/>
                <w:color w:val="auto"/>
                <w:sz w:val="21"/>
                <w:szCs w:val="21"/>
                <w:highlight w:val="none"/>
                <w:shd w:val="clear" w:color="auto" w:fill="auto"/>
              </w:rPr>
              <w:t>3.</w:t>
            </w:r>
            <w:r>
              <w:rPr>
                <w:rFonts w:hint="eastAsia"/>
                <w:color w:val="auto"/>
                <w:sz w:val="21"/>
                <w:szCs w:val="21"/>
                <w:highlight w:val="none"/>
                <w:shd w:val="clear" w:color="auto"/>
              </w:rPr>
              <w:t>截至目前，</w:t>
            </w:r>
            <w:r>
              <w:rPr>
                <w:rFonts w:hint="default"/>
                <w:color w:val="auto"/>
                <w:sz w:val="21"/>
                <w:szCs w:val="21"/>
                <w:highlight w:val="none"/>
                <w:shd w:val="clear" w:color="auto"/>
              </w:rPr>
              <w:t>3个废弃矿山已全部完成市、县两级</w:t>
            </w:r>
            <w:r>
              <w:rPr>
                <w:rFonts w:hint="default"/>
                <w:color w:val="auto"/>
                <w:sz w:val="21"/>
                <w:szCs w:val="21"/>
                <w:highlight w:val="none"/>
                <w:shd w:val="clear" w:color="auto" w:fill="auto"/>
              </w:rPr>
              <w:t>交工验收、销号公示</w:t>
            </w:r>
            <w:r>
              <w:rPr>
                <w:rFonts w:hint="eastAsia"/>
                <w:color w:val="auto"/>
                <w:sz w:val="21"/>
                <w:szCs w:val="21"/>
                <w:highlight w:val="none"/>
                <w:shd w:val="clear" w:color="auto" w:fill="auto"/>
                <w:lang w:eastAsia="zh-CN"/>
              </w:rPr>
              <w:t>。</w:t>
            </w:r>
          </w:p>
          <w:p>
            <w:pPr>
              <w:autoSpaceDE w:val="0"/>
              <w:autoSpaceDN w:val="0"/>
              <w:adjustRightInd w:val="0"/>
              <w:spacing w:line="280" w:lineRule="exact"/>
              <w:contextualSpacing/>
              <w:rPr>
                <w:color w:val="auto"/>
                <w:sz w:val="21"/>
                <w:szCs w:val="21"/>
                <w:highlight w:val="none"/>
                <w:shd w:val="clear" w:color="auto" w:fill="auto"/>
              </w:rPr>
            </w:pPr>
          </w:p>
          <w:p>
            <w:pPr>
              <w:pStyle w:val="10"/>
              <w:ind w:left="0" w:leftChars="0" w:firstLine="0" w:firstLineChars="0"/>
              <w:rPr>
                <w:color w:val="auto"/>
                <w:highlight w:val="none"/>
                <w:shd w:val="clear" w:color="auto" w:fill="auto"/>
                <w:lang w:val="zh-CN"/>
              </w:rPr>
            </w:pPr>
          </w:p>
          <w:p>
            <w:pPr>
              <w:pStyle w:val="10"/>
              <w:ind w:left="3200"/>
              <w:rPr>
                <w:color w:val="auto"/>
                <w:highlight w:val="none"/>
                <w:shd w:val="clear" w:color="auto" w:fill="auto"/>
              </w:rPr>
            </w:pPr>
          </w:p>
        </w:tc>
        <w:tc>
          <w:tcPr>
            <w:tcW w:w="700" w:type="dxa"/>
            <w:vAlign w:val="center"/>
          </w:tcPr>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sym w:font="Wingdings 2" w:char="0052"/>
            </w:r>
            <w:r>
              <w:rPr>
                <w:rFonts w:hint="eastAsia"/>
                <w:color w:val="auto"/>
                <w:sz w:val="21"/>
                <w:szCs w:val="21"/>
                <w:highlight w:val="none"/>
                <w:shd w:val="clear" w:color="auto" w:fill="auto"/>
              </w:rPr>
              <w:t>已完成</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sym w:font="Wingdings 2" w:char="00A3"/>
            </w:r>
            <w:r>
              <w:rPr>
                <w:rFonts w:hint="eastAsia"/>
                <w:color w:val="auto"/>
                <w:sz w:val="21"/>
                <w:szCs w:val="21"/>
                <w:highlight w:val="none"/>
                <w:shd w:val="clear" w:color="auto" w:fill="auto"/>
              </w:rPr>
              <w:t>达到序时进度</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t>□未达序时进度</w:t>
            </w:r>
          </w:p>
          <w:p>
            <w:pPr>
              <w:widowControl/>
              <w:adjustRightInd w:val="0"/>
              <w:snapToGrid w:val="0"/>
              <w:spacing w:line="300" w:lineRule="exact"/>
              <w:rPr>
                <w:color w:val="auto"/>
                <w:sz w:val="24"/>
                <w:highlight w:val="none"/>
                <w:shd w:val="clear" w:color="auto" w:fill="auto"/>
              </w:rPr>
            </w:pPr>
            <w:r>
              <w:rPr>
                <w:rFonts w:hint="eastAsia"/>
                <w:color w:val="auto"/>
                <w:sz w:val="21"/>
                <w:szCs w:val="21"/>
                <w:highlight w:val="none"/>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64"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丽水</w:t>
            </w:r>
          </w:p>
        </w:tc>
        <w:tc>
          <w:tcPr>
            <w:tcW w:w="519"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五</w:t>
            </w:r>
          </w:p>
        </w:tc>
        <w:tc>
          <w:tcPr>
            <w:tcW w:w="3365"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第十六项：丽水经开区管委会对水阁园区污水管网塌陷破损修复不到位，仅在龙石溪沿线建设1.65公里截污沟。现场督察时适逢下雨，截污沟内大量污水喷涌而出，直排龙石溪，最终汇入瓯江。采样监测显示，直排污水COD、氨氮和二甲基甲酰胺浓度为294毫克/升、98.2毫克/升和204毫克/升，分别超过相关行业排放标准2.7倍、11.3倍和39.8倍。</w:t>
            </w:r>
          </w:p>
        </w:tc>
        <w:tc>
          <w:tcPr>
            <w:tcW w:w="4706"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整改目标：</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园区管网雨污分流到位，排水管道健康运行，污水处理基础设施得到全面提升，确保稳定达标排放</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整改措施：</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1.实施开发区地下管网修复三年行动计划。对建成区约250公里市政排水管网进行全面检测和修复，共分三期实施。一期为东扩区块惠民街以南区域58.95公里排水管网，2021年12月底前完工；二期为水阁区块约110公里排水管网，2022年12月底前完工；三期为东扩区块惠民街以北区域约80公里排水管网，2023年12月底前完成修复。</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 xml:space="preserve">2.做好管网管理维护。委托第三方专业服务单位做好排水管网清淤和养护，每年定期对管网进行检测，及时处理管道堵塞和破损问题。探索实施信息化管理，按照智慧城市管理要求，依托科技创新，逐步推进地下管网信息化建设，及时发现问题，保障市政排水管道健康运行。  </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3.加快推进水阁污水处理厂二期工程和泵站项目建设，2022年底前实现园区日污水处理量达到10万吨，提升污水终端处理能力和应急处置水平。</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4.开展龙石溪截污沟应急改造工程。2021年底前对截污沟进行科学设计改造，提升雨天截污能力，减少外溢情况，在管网修复改造完成前，发挥好临时截污作用。</w:t>
            </w:r>
          </w:p>
        </w:tc>
        <w:tc>
          <w:tcPr>
            <w:tcW w:w="772" w:type="dxa"/>
            <w:shd w:val="clear" w:color="auto" w:fill="auto"/>
            <w:vAlign w:val="center"/>
          </w:tcPr>
          <w:p>
            <w:pPr>
              <w:autoSpaceDE w:val="0"/>
              <w:autoSpaceDN w:val="0"/>
              <w:adjustRightInd w:val="0"/>
              <w:spacing w:line="300" w:lineRule="exact"/>
              <w:contextualSpacing/>
              <w:jc w:val="left"/>
              <w:rPr>
                <w:color w:val="auto"/>
                <w:sz w:val="21"/>
                <w:szCs w:val="21"/>
                <w:shd w:val="clear" w:color="auto" w:fill="auto"/>
              </w:rPr>
            </w:pPr>
            <w:r>
              <w:rPr>
                <w:color w:val="auto"/>
                <w:sz w:val="21"/>
                <w:szCs w:val="21"/>
                <w:shd w:val="clear" w:color="auto" w:fill="auto"/>
              </w:rPr>
              <w:t>2023年12月底前</w:t>
            </w:r>
          </w:p>
        </w:tc>
        <w:tc>
          <w:tcPr>
            <w:tcW w:w="3548" w:type="dxa"/>
            <w:shd w:val="clear" w:color="auto" w:fill="auto"/>
            <w:vAlign w:val="center"/>
          </w:tcPr>
          <w:p>
            <w:pPr>
              <w:autoSpaceDE w:val="0"/>
              <w:autoSpaceDN w:val="0"/>
              <w:adjustRightInd w:val="0"/>
              <w:spacing w:line="300" w:lineRule="exact"/>
              <w:contextualSpacing/>
              <w:rPr>
                <w:rFonts w:hint="eastAsia" w:eastAsia="仿宋_GB2312"/>
                <w:color w:val="auto"/>
                <w:sz w:val="21"/>
                <w:szCs w:val="21"/>
                <w:shd w:val="clear" w:color="auto" w:fill="auto"/>
                <w:lang w:eastAsia="zh-CN"/>
              </w:rPr>
            </w:pPr>
            <w:r>
              <w:rPr>
                <w:rFonts w:hint="eastAsia"/>
                <w:color w:val="000000"/>
                <w:sz w:val="21"/>
                <w:szCs w:val="21"/>
                <w:highlight w:val="none"/>
              </w:rPr>
              <w:t>1.在管网修复方面，一期东扩南部区块雨、污水管网已于2021年于12月7日完工，并完成验收。</w:t>
            </w:r>
            <w:r>
              <w:rPr>
                <w:rFonts w:hint="eastAsia"/>
                <w:color w:val="000000"/>
                <w:sz w:val="21"/>
                <w:szCs w:val="21"/>
                <w:highlight w:val="none"/>
                <w:shd w:val="clear"/>
              </w:rPr>
              <w:t>二期水阁区块管网2021年已全部完成清淤、检测，于2022年3月底动工修复，截至</w:t>
            </w:r>
            <w:r>
              <w:rPr>
                <w:rFonts w:hint="eastAsia"/>
                <w:color w:val="000000"/>
                <w:sz w:val="21"/>
                <w:szCs w:val="21"/>
                <w:highlight w:val="none"/>
                <w:shd w:val="clear"/>
                <w:lang w:eastAsia="zh-CN"/>
              </w:rPr>
              <w:t>目前</w:t>
            </w:r>
            <w:r>
              <w:rPr>
                <w:rFonts w:hint="eastAsia"/>
                <w:color w:val="000000"/>
                <w:sz w:val="21"/>
                <w:szCs w:val="21"/>
                <w:highlight w:val="none"/>
                <w:shd w:val="clear"/>
              </w:rPr>
              <w:t>，已完成管网修复17040米</w:t>
            </w:r>
            <w:r>
              <w:rPr>
                <w:rFonts w:hint="eastAsia"/>
                <w:color w:val="0000FF"/>
                <w:sz w:val="21"/>
                <w:szCs w:val="21"/>
                <w:highlight w:val="none"/>
                <w:shd w:val="clear"/>
              </w:rPr>
              <w:t>，</w:t>
            </w:r>
            <w:r>
              <w:rPr>
                <w:rFonts w:hint="eastAsia"/>
                <w:color w:val="auto"/>
                <w:sz w:val="21"/>
                <w:szCs w:val="21"/>
                <w:highlight w:val="none"/>
                <w:shd w:val="clear"/>
              </w:rPr>
              <w:t>点状修复909处，</w:t>
            </w:r>
            <w:r>
              <w:rPr>
                <w:rFonts w:hint="eastAsia"/>
                <w:color w:val="auto"/>
                <w:sz w:val="21"/>
                <w:szCs w:val="21"/>
                <w:highlight w:val="none"/>
                <w:shd w:val="clear"/>
                <w:lang w:eastAsia="zh-CN"/>
              </w:rPr>
              <w:t>完成投资约</w:t>
            </w:r>
            <w:r>
              <w:rPr>
                <w:rFonts w:hint="eastAsia"/>
                <w:color w:val="auto"/>
                <w:sz w:val="21"/>
                <w:szCs w:val="21"/>
                <w:highlight w:val="none"/>
                <w:shd w:val="clear"/>
                <w:lang w:val="en-US" w:eastAsia="zh-CN"/>
              </w:rPr>
              <w:t>5500万元</w:t>
            </w:r>
            <w:r>
              <w:rPr>
                <w:rFonts w:hint="eastAsia"/>
                <w:color w:val="auto"/>
                <w:sz w:val="21"/>
                <w:szCs w:val="21"/>
                <w:highlight w:val="none"/>
                <w:shd w:val="clear"/>
              </w:rPr>
              <w:t>，重点排水企业污水专管已进场施工</w:t>
            </w:r>
            <w:r>
              <w:rPr>
                <w:rFonts w:hint="eastAsia"/>
                <w:color w:val="000000"/>
                <w:sz w:val="21"/>
                <w:szCs w:val="21"/>
                <w:highlight w:val="none"/>
                <w:shd w:val="clear"/>
              </w:rPr>
              <w:t>；</w:t>
            </w:r>
            <w:r>
              <w:rPr>
                <w:rFonts w:hint="eastAsia"/>
                <w:color w:val="000000"/>
                <w:sz w:val="21"/>
                <w:szCs w:val="21"/>
                <w:highlight w:val="none"/>
              </w:rPr>
              <w:t>三期东扩北部区块管网综合改造项目-清淤检测于2021年12月24日完成招标，共完成清淤检测110公里，修复改造设计已于9月8日完成招标。</w:t>
            </w:r>
            <w:r>
              <w:rPr>
                <w:rFonts w:hint="eastAsia"/>
                <w:color w:val="000000"/>
                <w:sz w:val="21"/>
                <w:szCs w:val="21"/>
                <w:highlight w:val="none"/>
              </w:rPr>
              <w:br w:type="textWrapping"/>
            </w:r>
            <w:r>
              <w:rPr>
                <w:rFonts w:hint="eastAsia"/>
                <w:color w:val="000000"/>
                <w:sz w:val="21"/>
                <w:szCs w:val="21"/>
                <w:highlight w:val="none"/>
              </w:rPr>
              <w:t>2.在管网管理维护方面，水阁区块清污分流改造已完成基本情况排摸，已试点实施污水管道水位监测系统，在通济街、龙庆路、绿谷大道等路段共设置12个监测设备，定期收集水位数据，分析一定时期内水位变化情况，为开展特定区域排水情况检查提供支撑。同时具备液位超限预警功能，从而协调企业错峰排水。</w:t>
            </w:r>
            <w:r>
              <w:rPr>
                <w:rFonts w:hint="eastAsia"/>
                <w:color w:val="000000"/>
                <w:sz w:val="21"/>
                <w:szCs w:val="21"/>
                <w:highlight w:val="none"/>
                <w:lang w:eastAsia="zh-CN"/>
              </w:rPr>
              <w:t>地下管网智慧监测系统已进行采购阶段，投资约</w:t>
            </w:r>
            <w:r>
              <w:rPr>
                <w:rFonts w:hint="eastAsia"/>
                <w:color w:val="000000"/>
                <w:sz w:val="21"/>
                <w:szCs w:val="21"/>
                <w:highlight w:val="none"/>
                <w:lang w:val="en-US" w:eastAsia="zh-CN"/>
              </w:rPr>
              <w:t>1800万元，政府采购招标已完成。</w:t>
            </w:r>
            <w:r>
              <w:rPr>
                <w:rFonts w:hint="eastAsia"/>
                <w:color w:val="000000"/>
                <w:sz w:val="21"/>
                <w:szCs w:val="21"/>
                <w:highlight w:val="none"/>
                <w:shd w:val="clear"/>
              </w:rPr>
              <w:t>3.水阁污水处理厂二期于2020年6月18日开工建设，目前已完成初步验收工作。污水处理厂二期已基本建设完</w:t>
            </w:r>
            <w:r>
              <w:rPr>
                <w:rFonts w:hint="default"/>
                <w:color w:val="000000"/>
                <w:sz w:val="21"/>
                <w:szCs w:val="21"/>
                <w:highlight w:val="none"/>
                <w:shd w:val="clear"/>
              </w:rPr>
              <w:t>，</w:t>
            </w:r>
            <w:r>
              <w:rPr>
                <w:rFonts w:hint="default"/>
                <w:color w:val="auto"/>
                <w:sz w:val="21"/>
                <w:szCs w:val="21"/>
                <w:highlight w:val="none"/>
                <w:shd w:val="clear"/>
              </w:rPr>
              <w:t>正在进行清水调试</w:t>
            </w:r>
            <w:r>
              <w:rPr>
                <w:rFonts w:hint="eastAsia"/>
                <w:color w:val="auto"/>
                <w:sz w:val="21"/>
                <w:szCs w:val="21"/>
                <w:highlight w:val="none"/>
                <w:shd w:val="clear"/>
              </w:rPr>
              <w:t>，累计完成投资33</w:t>
            </w:r>
            <w:r>
              <w:rPr>
                <w:rFonts w:hint="default"/>
                <w:color w:val="auto"/>
                <w:sz w:val="21"/>
                <w:szCs w:val="21"/>
                <w:highlight w:val="none"/>
                <w:shd w:val="clear"/>
              </w:rPr>
              <w:t>5</w:t>
            </w:r>
            <w:r>
              <w:rPr>
                <w:rFonts w:hint="eastAsia"/>
                <w:color w:val="auto"/>
                <w:sz w:val="21"/>
                <w:szCs w:val="21"/>
                <w:highlight w:val="none"/>
                <w:shd w:val="clear"/>
              </w:rPr>
              <w:t>20万元。（</w:t>
            </w:r>
            <w:r>
              <w:rPr>
                <w:rFonts w:hint="eastAsia"/>
                <w:color w:val="000000"/>
                <w:sz w:val="21"/>
                <w:szCs w:val="21"/>
                <w:highlight w:val="none"/>
                <w:shd w:val="clear"/>
              </w:rPr>
              <w:t>不含土地费用）</w:t>
            </w:r>
            <w:r>
              <w:rPr>
                <w:rFonts w:hint="eastAsia"/>
                <w:color w:val="000000"/>
                <w:sz w:val="21"/>
                <w:szCs w:val="21"/>
                <w:highlight w:val="none"/>
                <w:shd w:val="clear"/>
                <w:lang w:val="en-US" w:eastAsia="zh-CN"/>
              </w:rPr>
              <w:t>.</w:t>
            </w:r>
            <w:r>
              <w:rPr>
                <w:rFonts w:hint="eastAsia"/>
                <w:color w:val="000000"/>
                <w:sz w:val="21"/>
                <w:szCs w:val="21"/>
                <w:highlight w:val="none"/>
              </w:rPr>
              <w:br w:type="textWrapping"/>
            </w:r>
            <w:r>
              <w:rPr>
                <w:rFonts w:hint="eastAsia"/>
                <w:color w:val="000000"/>
                <w:sz w:val="21"/>
                <w:szCs w:val="21"/>
                <w:highlight w:val="none"/>
              </w:rPr>
              <w:t>4.龙石溪截污沟提升改造项目已完成验收并投入使用。</w:t>
            </w:r>
          </w:p>
        </w:tc>
        <w:tc>
          <w:tcPr>
            <w:tcW w:w="700" w:type="dxa"/>
            <w:vAlign w:val="center"/>
          </w:tcPr>
          <w:p>
            <w:pPr>
              <w:widowControl/>
              <w:adjustRightInd w:val="0"/>
              <w:snapToGrid w:val="0"/>
              <w:spacing w:line="300" w:lineRule="exact"/>
              <w:rPr>
                <w:color w:val="auto"/>
                <w:sz w:val="21"/>
                <w:szCs w:val="21"/>
                <w:shd w:val="clear" w:color="auto" w:fill="auto"/>
              </w:rPr>
            </w:pPr>
            <w:r>
              <w:rPr>
                <w:color w:val="auto"/>
                <w:sz w:val="21"/>
                <w:szCs w:val="21"/>
                <w:shd w:val="clear" w:color="auto" w:fill="auto"/>
              </w:rPr>
              <w:sym w:font="Wingdings 2" w:char="00A3"/>
            </w:r>
            <w:r>
              <w:rPr>
                <w:rFonts w:hint="eastAsia"/>
                <w:color w:val="auto"/>
                <w:sz w:val="21"/>
                <w:szCs w:val="21"/>
                <w:shd w:val="clear" w:color="auto" w:fill="auto"/>
              </w:rPr>
              <w:t>已完成</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sym w:font="Wingdings 2" w:char="0052"/>
            </w:r>
            <w:r>
              <w:rPr>
                <w:rFonts w:hint="eastAsia"/>
                <w:color w:val="auto"/>
                <w:sz w:val="21"/>
                <w:szCs w:val="21"/>
                <w:shd w:val="clear" w:color="auto" w:fill="auto"/>
              </w:rPr>
              <w:t>达到序时进度</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□未达序时进度</w:t>
            </w:r>
          </w:p>
          <w:p>
            <w:pPr>
              <w:widowControl/>
              <w:adjustRightInd w:val="0"/>
              <w:snapToGrid w:val="0"/>
              <w:spacing w:line="300" w:lineRule="exact"/>
              <w:rPr>
                <w:color w:val="auto"/>
                <w:sz w:val="24"/>
                <w:shd w:val="clear" w:color="auto" w:fill="auto"/>
              </w:rPr>
            </w:pPr>
            <w:r>
              <w:rPr>
                <w:rFonts w:hint="eastAsia"/>
                <w:color w:val="auto"/>
                <w:sz w:val="21"/>
                <w:szCs w:val="21"/>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4"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丽水</w:t>
            </w:r>
          </w:p>
        </w:tc>
        <w:tc>
          <w:tcPr>
            <w:tcW w:w="519"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六</w:t>
            </w:r>
          </w:p>
        </w:tc>
        <w:tc>
          <w:tcPr>
            <w:tcW w:w="3365" w:type="dxa"/>
            <w:vAlign w:val="center"/>
          </w:tcPr>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第十八项：固体废物污染防治不到位。浙江省地少人多、产业发达，以生活垃圾、建筑垃圾、一般工业固体废物和危险废物为主的固体废物产生量较大。一些历史遗留问题整治不彻底，一些新的违规倾倒问题仍在发生。2017年以来，国家多次出台文件，要求彻底排查整治非正规垃圾堆放点。但浙江省有的地方排查整治流于形式，甚至瞒报历史形成的垃圾堆放点，导致污染问题解决不到位。</w:t>
            </w:r>
          </w:p>
        </w:tc>
        <w:tc>
          <w:tcPr>
            <w:tcW w:w="4706" w:type="dxa"/>
            <w:vAlign w:val="center"/>
          </w:tcPr>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整改目标：</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压实属地管理责任，举一反三，开展非正规垃圾堆放点排查整治工作，建立非正规垃圾堆放点常态化监管机制。</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整改措施：</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1.认真开展新一轮排查整治。举一反三，按照2021年1月省建设厅、省生态环境厅、省农业农村厅、省水利厅联合印发的《关于做好2021年非正规垃圾堆放点整治的通知》要求，切实开展全市非正规垃圾堆放点排查整治工作。同时，计划于2021年4月下发通知，针对不在上轮排查范围内的堆放规模较小、时限较短的垃圾堆放点进行排查整治。对排查出的问题点位，及时做好上报和整治工作，建立整治督导清单，到2022年12月底前完成整治。</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2.建立常态化监管机制。2021年9月底前，按照省建设厅、省生态环境厅、省农业农村厅、省水利厅制订的全省非正规垃圾堆放点常态化监管制度，制订我市非正规垃圾堆放点常态化监管制度，压实属地管理责任，建立以属地及时发现、及时治理为主的非正规垃圾堆放点常态化监管机制。市建设局会同市生态环境局、市农业农村局、市水利局加强部门联动督导，对全市非正规垃圾堆放点治理情况联合开展检查，督促各地将常态化监管制度落实到位。</w:t>
            </w:r>
          </w:p>
        </w:tc>
        <w:tc>
          <w:tcPr>
            <w:tcW w:w="772" w:type="dxa"/>
            <w:shd w:val="clear" w:color="auto" w:fill="auto"/>
            <w:vAlign w:val="center"/>
          </w:tcPr>
          <w:p>
            <w:pPr>
              <w:autoSpaceDE w:val="0"/>
              <w:autoSpaceDN w:val="0"/>
              <w:adjustRightInd w:val="0"/>
              <w:spacing w:line="300" w:lineRule="exact"/>
              <w:contextualSpacing/>
              <w:rPr>
                <w:color w:val="auto"/>
                <w:sz w:val="21"/>
                <w:szCs w:val="21"/>
                <w:highlight w:val="none"/>
                <w:shd w:val="clear" w:color="auto" w:fill="auto"/>
              </w:rPr>
            </w:pPr>
            <w:r>
              <w:rPr>
                <w:color w:val="auto"/>
                <w:sz w:val="21"/>
                <w:szCs w:val="21"/>
                <w:highlight w:val="none"/>
                <w:shd w:val="clear" w:color="auto" w:fill="auto"/>
              </w:rPr>
              <w:t>2022年12月底前</w:t>
            </w:r>
          </w:p>
        </w:tc>
        <w:tc>
          <w:tcPr>
            <w:tcW w:w="3548" w:type="dxa"/>
            <w:shd w:val="clear" w:color="auto" w:fill="auto"/>
            <w:vAlign w:val="center"/>
          </w:tcPr>
          <w:p>
            <w:pPr>
              <w:widowControl/>
              <w:adjustRightInd w:val="0"/>
              <w:snapToGrid w:val="0"/>
              <w:spacing w:line="320" w:lineRule="exact"/>
              <w:rPr>
                <w:rFonts w:hint="eastAsia"/>
                <w:color w:val="auto"/>
                <w:sz w:val="21"/>
                <w:szCs w:val="21"/>
                <w:highlight w:val="none"/>
                <w:shd w:val="clear" w:color="auto" w:fill="auto"/>
              </w:rPr>
            </w:pPr>
            <w:r>
              <w:rPr>
                <w:rFonts w:hint="eastAsia"/>
                <w:color w:val="auto"/>
                <w:sz w:val="21"/>
                <w:szCs w:val="21"/>
                <w:highlight w:val="none"/>
                <w:shd w:val="clear" w:color="auto" w:fill="auto"/>
                <w:lang w:val="en-US" w:eastAsia="zh-CN"/>
              </w:rPr>
              <w:t>1.</w:t>
            </w:r>
            <w:r>
              <w:rPr>
                <w:rFonts w:hint="eastAsia"/>
                <w:color w:val="auto"/>
                <w:sz w:val="21"/>
                <w:szCs w:val="21"/>
                <w:highlight w:val="none"/>
                <w:shd w:val="clear" w:color="auto" w:fill="auto"/>
              </w:rPr>
              <w:t>认真开展新一轮排查整治。举一反三，按照2021年1月省建设厅、省生态环境厅、省农业农村厅、省水利厅联合印发的《关于做好2021年非正规垃圾堆放点整治的通知》要求，切实开展全市非正规垃圾堆放点排查整治工作。</w:t>
            </w:r>
          </w:p>
          <w:p>
            <w:pPr>
              <w:widowControl/>
              <w:adjustRightInd w:val="0"/>
              <w:snapToGrid w:val="0"/>
              <w:spacing w:line="320" w:lineRule="exact"/>
              <w:rPr>
                <w:rFonts w:hint="eastAsia"/>
                <w:color w:val="auto"/>
                <w:sz w:val="21"/>
                <w:szCs w:val="21"/>
                <w:highlight w:val="none"/>
                <w:shd w:val="clear" w:color="auto" w:fill="auto"/>
              </w:rPr>
            </w:pPr>
            <w:r>
              <w:rPr>
                <w:rFonts w:hint="eastAsia"/>
                <w:color w:val="auto"/>
                <w:sz w:val="21"/>
                <w:szCs w:val="21"/>
                <w:highlight w:val="none"/>
                <w:shd w:val="clear" w:color="auto" w:fill="auto"/>
                <w:lang w:val="en-US" w:eastAsia="zh-CN"/>
              </w:rPr>
              <w:t>2.</w:t>
            </w:r>
            <w:r>
              <w:rPr>
                <w:rFonts w:hint="eastAsia"/>
                <w:color w:val="auto"/>
                <w:sz w:val="21"/>
                <w:szCs w:val="21"/>
                <w:highlight w:val="none"/>
                <w:shd w:val="clear" w:color="auto" w:fill="auto"/>
              </w:rPr>
              <w:t>按照省里统一部署，市建设、生态环境、农业农村、水利等四部门于2021年4月下发了《丽水市关于第二轮中央环保督察反馈非正规垃圾堆放点问题整改工作方案》，开展新一轮排查，并公布了举报电话，截至目前，共排查发现非正规垃圾堆放点83个，已完成整改83个。</w:t>
            </w:r>
          </w:p>
          <w:p>
            <w:pPr>
              <w:widowControl/>
              <w:adjustRightInd w:val="0"/>
              <w:snapToGrid w:val="0"/>
              <w:spacing w:line="320" w:lineRule="exact"/>
              <w:rPr>
                <w:color w:val="auto"/>
                <w:sz w:val="21"/>
                <w:szCs w:val="21"/>
                <w:highlight w:val="none"/>
                <w:shd w:val="clear" w:color="auto" w:fill="auto"/>
              </w:rPr>
            </w:pPr>
            <w:r>
              <w:rPr>
                <w:rFonts w:hint="eastAsia"/>
                <w:color w:val="auto"/>
                <w:sz w:val="21"/>
                <w:szCs w:val="21"/>
                <w:highlight w:val="none"/>
                <w:shd w:val="clear" w:color="auto" w:fill="auto"/>
                <w:lang w:val="en-US" w:eastAsia="zh-CN"/>
              </w:rPr>
              <w:t>3.</w:t>
            </w:r>
            <w:r>
              <w:rPr>
                <w:rFonts w:hint="eastAsia"/>
                <w:color w:val="auto"/>
                <w:sz w:val="21"/>
                <w:szCs w:val="21"/>
                <w:highlight w:val="none"/>
                <w:shd w:val="clear" w:color="auto" w:fill="auto"/>
              </w:rPr>
              <w:t>联合生态环境、水利、农业农村等部门制定《丽水市生活垃圾非正规堆放点常态化监管机制》，建立整治督导清单，定期汇总上报，发现一起整治一起。</w:t>
            </w:r>
          </w:p>
        </w:tc>
        <w:tc>
          <w:tcPr>
            <w:tcW w:w="700" w:type="dxa"/>
            <w:vAlign w:val="center"/>
          </w:tcPr>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sym w:font="Wingdings 2" w:char="0052"/>
            </w:r>
            <w:r>
              <w:rPr>
                <w:rFonts w:hint="eastAsia"/>
                <w:color w:val="auto"/>
                <w:sz w:val="21"/>
                <w:szCs w:val="21"/>
                <w:highlight w:val="none"/>
                <w:shd w:val="clear" w:color="auto" w:fill="auto"/>
              </w:rPr>
              <w:t>已完成</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sym w:font="Wingdings 2" w:char="00A3"/>
            </w:r>
            <w:r>
              <w:rPr>
                <w:rFonts w:hint="eastAsia"/>
                <w:color w:val="auto"/>
                <w:sz w:val="21"/>
                <w:szCs w:val="21"/>
                <w:highlight w:val="none"/>
                <w:shd w:val="clear" w:color="auto" w:fill="auto"/>
              </w:rPr>
              <w:t>达到序时进度</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t>□未达序时进度</w:t>
            </w:r>
          </w:p>
          <w:p>
            <w:pPr>
              <w:widowControl/>
              <w:adjustRightInd w:val="0"/>
              <w:snapToGrid w:val="0"/>
              <w:spacing w:line="300" w:lineRule="exact"/>
              <w:rPr>
                <w:color w:val="auto"/>
                <w:sz w:val="24"/>
                <w:highlight w:val="yellow"/>
                <w:shd w:val="clear" w:color="auto" w:fill="auto"/>
              </w:rPr>
            </w:pPr>
            <w:r>
              <w:rPr>
                <w:rFonts w:hint="eastAsia"/>
                <w:color w:val="auto"/>
                <w:sz w:val="21"/>
                <w:szCs w:val="21"/>
                <w:highlight w:val="none"/>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64"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丽水</w:t>
            </w:r>
          </w:p>
        </w:tc>
        <w:tc>
          <w:tcPr>
            <w:tcW w:w="519"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七</w:t>
            </w:r>
          </w:p>
        </w:tc>
        <w:tc>
          <w:tcPr>
            <w:tcW w:w="3365"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第三十九项：毁林垦地严重破坏生态。2015年4月，浙江省《关于切实加强涉林垦造耕地监管工作的通知》(浙发改农经〔2015〕252号)明确了涉林垦造耕地的有关要求。但督察发现，近年来，全省部分县(市、区)坚持绿色发展理念还不够坚定，违规在省级以上公益林、生态保护红线、高山顶部等禁止选址范围立项审批涉林造地项目，导致大量林地破坏，局部水土流失严重。省市两级自然资源部门验收抽查复核把关不严。2018年9月，浙江省原国土资源厅、原林业厅发文要求对涉林造地项目开展全面自查清理，对2018年8月31日前已经立项且已动工但不符合选址要求的涉林造地项目，要予以撤销并做好复绿和生态修复工作。但两部门对清理整治工作督导不够，部分市县继续我行我素。</w:t>
            </w:r>
          </w:p>
        </w:tc>
        <w:tc>
          <w:tcPr>
            <w:tcW w:w="4706" w:type="dxa"/>
            <w:vAlign w:val="center"/>
          </w:tcPr>
          <w:p>
            <w:pPr>
              <w:autoSpaceDE w:val="0"/>
              <w:autoSpaceDN w:val="0"/>
              <w:adjustRightInd w:val="0"/>
              <w:spacing w:line="280" w:lineRule="exact"/>
              <w:contextualSpacing/>
              <w:rPr>
                <w:color w:val="auto"/>
                <w:sz w:val="21"/>
                <w:szCs w:val="21"/>
                <w:shd w:val="clear" w:color="auto" w:fill="auto"/>
              </w:rPr>
            </w:pPr>
            <w:r>
              <w:rPr>
                <w:rFonts w:hint="eastAsia"/>
                <w:color w:val="auto"/>
                <w:sz w:val="21"/>
                <w:szCs w:val="21"/>
                <w:shd w:val="clear" w:color="auto" w:fill="auto"/>
              </w:rPr>
              <w:t>整改目标：对2015年1月1日以来立项的垦造耕地项目进行全面梳理，对不符合要求的项目进行撤销或核减，落实生态修复措施。建立长效管理机制，完善垦造耕地“一件事”全生命周期管理。</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整改措施：</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1.全面开展涉林垦造耕地自查自纠。对2015年1月1日以来立项的涉林垦造耕地项目进行全面自查自纠。制定涉林垦造耕地问题整改工作方案。</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2.组织开展整改工作。一是抓好选址不当问题整改。2021年6月底前，对涉及生态保护红线、坡度25度以上</w:t>
            </w:r>
            <w:r>
              <w:rPr>
                <w:rFonts w:hint="eastAsia"/>
                <w:color w:val="auto"/>
                <w:sz w:val="21"/>
                <w:szCs w:val="21"/>
                <w:shd w:val="clear" w:color="auto" w:fill="auto"/>
                <w:lang w:eastAsia="zh-CN"/>
              </w:rPr>
              <w:t>以及</w:t>
            </w:r>
            <w:r>
              <w:rPr>
                <w:rFonts w:hint="eastAsia"/>
                <w:color w:val="auto"/>
                <w:sz w:val="21"/>
                <w:szCs w:val="21"/>
                <w:shd w:val="clear" w:color="auto" w:fill="auto"/>
              </w:rPr>
              <w:t>在生态公益林等“十个范围”林地违规选址的要撤销项目或调整项目实施范围，已经验收入库的要相应核减补充耕地指标。二是抓好水土保持不力问题整改。2021年6月底前，对存在水土流失的项目，落实水土保持措施。加强项目施工管理，科学组织施工，防止引起水土流失。三是开展生态修复。2021年6月底前，对要求退耕地还林、植树造林或采取生态修复措施、恢复森林植被的项目，按照“一项目一方案”的要求，制订生态保护修复方案，开展植树造林、生态修复。</w:t>
            </w:r>
          </w:p>
          <w:p>
            <w:pPr>
              <w:autoSpaceDE w:val="0"/>
              <w:autoSpaceDN w:val="0"/>
              <w:adjustRightInd w:val="0"/>
              <w:spacing w:line="280" w:lineRule="exact"/>
              <w:contextualSpacing/>
              <w:rPr>
                <w:color w:val="auto"/>
                <w:sz w:val="21"/>
                <w:szCs w:val="21"/>
                <w:shd w:val="clear" w:color="auto" w:fill="auto"/>
              </w:rPr>
            </w:pPr>
            <w:r>
              <w:rPr>
                <w:rFonts w:hint="eastAsia"/>
                <w:color w:val="auto"/>
                <w:sz w:val="21"/>
                <w:szCs w:val="21"/>
                <w:shd w:val="clear" w:color="auto" w:fill="auto"/>
              </w:rPr>
              <w:t>3.建立健全监管长效机制。修订完善项目市级抽查复核办法，做到内业全覆盖，外业按验收报备入库项目40%开展实地抽查，严把项目报备抽查复核关。市级林业主管部门强化森林督查，及时发现并查处破坏森林资源问题，维护森林生态安全。</w:t>
            </w:r>
          </w:p>
        </w:tc>
        <w:tc>
          <w:tcPr>
            <w:tcW w:w="772" w:type="dxa"/>
            <w:shd w:val="clear" w:color="auto" w:fill="auto"/>
            <w:vAlign w:val="center"/>
          </w:tcPr>
          <w:p>
            <w:pPr>
              <w:autoSpaceDE w:val="0"/>
              <w:autoSpaceDN w:val="0"/>
              <w:adjustRightInd w:val="0"/>
              <w:spacing w:line="300" w:lineRule="exact"/>
              <w:contextualSpacing/>
              <w:rPr>
                <w:color w:val="auto"/>
                <w:sz w:val="21"/>
                <w:szCs w:val="21"/>
                <w:shd w:val="clear" w:color="auto" w:fill="auto"/>
              </w:rPr>
            </w:pPr>
            <w:r>
              <w:rPr>
                <w:color w:val="auto"/>
                <w:sz w:val="21"/>
                <w:szCs w:val="21"/>
                <w:shd w:val="clear" w:color="auto" w:fill="auto"/>
              </w:rPr>
              <w:t>2021年12月底前</w:t>
            </w:r>
          </w:p>
        </w:tc>
        <w:tc>
          <w:tcPr>
            <w:tcW w:w="3548" w:type="dxa"/>
            <w:shd w:val="clear" w:color="auto" w:fill="auto"/>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中央环保督察涉及的392个省级督导整改项目和496个市级督导项目已全部完成市级验收，并完成市级“一台一报一网”公示，公示无异议。省级已开展现场核查验收</w:t>
            </w:r>
            <w:r>
              <w:rPr>
                <w:rFonts w:hint="eastAsia"/>
                <w:color w:val="auto"/>
                <w:sz w:val="21"/>
                <w:szCs w:val="21"/>
                <w:shd w:val="clear" w:color="auto" w:fill="auto"/>
                <w:lang w:val="en-US" w:eastAsia="zh-CN"/>
              </w:rPr>
              <w:t>并通过</w:t>
            </w:r>
            <w:r>
              <w:rPr>
                <w:rFonts w:hint="eastAsia"/>
                <w:color w:val="auto"/>
                <w:sz w:val="21"/>
                <w:szCs w:val="21"/>
                <w:shd w:val="clear" w:color="auto" w:fill="auto"/>
              </w:rPr>
              <w:t>。</w:t>
            </w:r>
          </w:p>
        </w:tc>
        <w:tc>
          <w:tcPr>
            <w:tcW w:w="700" w:type="dxa"/>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sym w:font="Wingdings 2" w:char="0052"/>
            </w:r>
            <w:r>
              <w:rPr>
                <w:rFonts w:hint="eastAsia"/>
                <w:color w:val="auto"/>
                <w:sz w:val="21"/>
                <w:szCs w:val="21"/>
                <w:shd w:val="clear" w:color="auto" w:fill="auto"/>
              </w:rPr>
              <w:t>已完成</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sym w:font="Wingdings 2" w:char="00A3"/>
            </w:r>
            <w:r>
              <w:rPr>
                <w:rFonts w:hint="eastAsia"/>
                <w:color w:val="auto"/>
                <w:sz w:val="21"/>
                <w:szCs w:val="21"/>
                <w:shd w:val="clear" w:color="auto" w:fill="auto"/>
              </w:rPr>
              <w:t>达到序时进度</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□未达序时进度</w:t>
            </w:r>
          </w:p>
          <w:p>
            <w:pPr>
              <w:widowControl/>
              <w:adjustRightInd w:val="0"/>
              <w:snapToGrid w:val="0"/>
              <w:spacing w:line="300" w:lineRule="exact"/>
              <w:rPr>
                <w:color w:val="auto"/>
                <w:sz w:val="24"/>
                <w:shd w:val="clear" w:color="auto" w:fill="auto"/>
              </w:rPr>
            </w:pPr>
            <w:r>
              <w:rPr>
                <w:rFonts w:hint="eastAsia"/>
                <w:color w:val="auto"/>
                <w:sz w:val="21"/>
                <w:szCs w:val="21"/>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4"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丽水</w:t>
            </w:r>
          </w:p>
        </w:tc>
        <w:tc>
          <w:tcPr>
            <w:tcW w:w="519"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八</w:t>
            </w:r>
          </w:p>
        </w:tc>
        <w:tc>
          <w:tcPr>
            <w:tcW w:w="3365"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第四十项、随机抽查衢州、金华、丽水等地33个涉林造地项目，26个项目部分区块位于禁止选址范围。</w:t>
            </w:r>
          </w:p>
          <w:p>
            <w:pPr>
              <w:autoSpaceDE w:val="0"/>
              <w:autoSpaceDN w:val="0"/>
              <w:adjustRightInd w:val="0"/>
              <w:spacing w:line="300" w:lineRule="exact"/>
              <w:contextualSpacing/>
              <w:rPr>
                <w:color w:val="auto"/>
                <w:sz w:val="21"/>
                <w:szCs w:val="21"/>
                <w:shd w:val="clear" w:color="auto" w:fill="auto"/>
              </w:rPr>
            </w:pPr>
          </w:p>
        </w:tc>
        <w:tc>
          <w:tcPr>
            <w:tcW w:w="4706"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整改目标：对2015年1月1日以来立项的垦造耕地项目进行全面梳理，对不符合要求的项目进行撤销或核减，落实生态修复措施。建立长效管理机制，完善垦造耕地“一件事”全生命周期管理。</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整改措施：</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1.全面开展涉林垦造耕地自查自纠。对2015年1月1日以来立项的涉林垦造耕地项目进行全面自查自纠。制定涉林垦造耕地问题整改工作方案。</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2.组织开展整改工作。一是抓好选址不当问题整改。2021年6月底前，对涉及生态保护红线、坡度25度以上</w:t>
            </w:r>
            <w:r>
              <w:rPr>
                <w:rFonts w:hint="eastAsia"/>
                <w:color w:val="auto"/>
                <w:sz w:val="21"/>
                <w:szCs w:val="21"/>
                <w:shd w:val="clear" w:color="auto" w:fill="auto"/>
                <w:lang w:eastAsia="zh-CN"/>
              </w:rPr>
              <w:t>以及</w:t>
            </w:r>
            <w:r>
              <w:rPr>
                <w:rFonts w:hint="eastAsia"/>
                <w:color w:val="auto"/>
                <w:sz w:val="21"/>
                <w:szCs w:val="21"/>
                <w:shd w:val="clear" w:color="auto" w:fill="auto"/>
              </w:rPr>
              <w:t>在生态公益林等“十个范围”林地违规选址的要撤销项目或调整项目实施范围，已经验收入库的要相应核减补充耕地指标。二是抓好水土保持不力问题整改。2021年6月底前，对存在水土流失的项目，落实水土保持措施。加强项目施工管理，科学组织施工，防止引起水土流失。三是开展生态修复。2021年6月底前，对要求退耕地还林、植树造林或采取生态修复措施、恢复森林植被的项目，按照“一项目一方案”的要求，制订生态保护修复方案，开展植树造林、生态修复。</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3.建立健全监管长效机制。修订完善项目市级抽查复核办法，做到内业全覆盖，外业按验收报备入库项目40%开展实地抽查，严把项目报备抽查复核关。市级林业主管部门强化森林督查，及时发现并查处破坏森林资源问题，维护森林生态安全。</w:t>
            </w:r>
          </w:p>
        </w:tc>
        <w:tc>
          <w:tcPr>
            <w:tcW w:w="772" w:type="dxa"/>
            <w:shd w:val="clear" w:color="auto" w:fill="auto"/>
            <w:vAlign w:val="center"/>
          </w:tcPr>
          <w:p>
            <w:pPr>
              <w:autoSpaceDE w:val="0"/>
              <w:autoSpaceDN w:val="0"/>
              <w:adjustRightInd w:val="0"/>
              <w:spacing w:line="300" w:lineRule="exact"/>
              <w:contextualSpacing/>
              <w:rPr>
                <w:color w:val="auto"/>
                <w:sz w:val="21"/>
                <w:szCs w:val="21"/>
                <w:shd w:val="clear" w:color="auto" w:fill="auto"/>
              </w:rPr>
            </w:pPr>
            <w:r>
              <w:rPr>
                <w:color w:val="auto"/>
                <w:sz w:val="21"/>
                <w:szCs w:val="21"/>
                <w:shd w:val="clear" w:color="auto" w:fill="auto"/>
              </w:rPr>
              <w:t>2021年12月底前</w:t>
            </w:r>
          </w:p>
        </w:tc>
        <w:tc>
          <w:tcPr>
            <w:tcW w:w="3548" w:type="dxa"/>
            <w:shd w:val="clear" w:color="auto" w:fill="auto"/>
            <w:vAlign w:val="center"/>
          </w:tcPr>
          <w:p>
            <w:pPr>
              <w:widowControl/>
              <w:adjustRightInd w:val="0"/>
              <w:snapToGrid w:val="0"/>
              <w:spacing w:line="300" w:lineRule="exact"/>
              <w:rPr>
                <w:color w:val="auto"/>
                <w:shd w:val="clear" w:color="auto" w:fill="auto"/>
              </w:rPr>
            </w:pPr>
          </w:p>
          <w:p>
            <w:pPr>
              <w:bidi w:val="0"/>
              <w:jc w:val="center"/>
              <w:rPr>
                <w:rFonts w:ascii="Times New Roman" w:hAnsi="Times New Roman" w:eastAsia="仿宋_GB2312" w:cs="Times New Roman"/>
                <w:color w:val="auto"/>
                <w:kern w:val="2"/>
                <w:sz w:val="32"/>
                <w:szCs w:val="24"/>
                <w:shd w:val="clear" w:color="auto" w:fill="auto"/>
                <w:lang w:val="en-US" w:eastAsia="zh-CN" w:bidi="ar-SA"/>
              </w:rPr>
            </w:pPr>
            <w:r>
              <w:rPr>
                <w:rFonts w:hint="eastAsia"/>
                <w:color w:val="auto"/>
                <w:sz w:val="21"/>
                <w:szCs w:val="21"/>
                <w:shd w:val="clear" w:color="auto" w:fill="auto"/>
                <w:lang w:val="en-US" w:eastAsia="zh-CN"/>
              </w:rPr>
              <w:t>截至目前，中央督察组下沉丽水抽查的18个问题点位已完成整改，并通过市、县、乡验收和市、县“一报一台一网”公示，省级已开展现场核查验收并通过。</w:t>
            </w:r>
          </w:p>
        </w:tc>
        <w:tc>
          <w:tcPr>
            <w:tcW w:w="700" w:type="dxa"/>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sym w:font="Wingdings 2" w:char="0052"/>
            </w:r>
            <w:r>
              <w:rPr>
                <w:rFonts w:hint="eastAsia"/>
                <w:color w:val="auto"/>
                <w:sz w:val="21"/>
                <w:szCs w:val="21"/>
                <w:shd w:val="clear" w:color="auto" w:fill="auto"/>
              </w:rPr>
              <w:t>已完成</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□达到序时进度</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□未达序时进度</w:t>
            </w:r>
          </w:p>
          <w:p>
            <w:pPr>
              <w:widowControl/>
              <w:adjustRightInd w:val="0"/>
              <w:snapToGrid w:val="0"/>
              <w:spacing w:line="300" w:lineRule="exact"/>
              <w:rPr>
                <w:color w:val="auto"/>
                <w:sz w:val="24"/>
                <w:shd w:val="clear" w:color="auto" w:fill="auto"/>
              </w:rPr>
            </w:pPr>
            <w:r>
              <w:rPr>
                <w:rFonts w:hint="eastAsia"/>
                <w:color w:val="auto"/>
                <w:sz w:val="21"/>
                <w:szCs w:val="21"/>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4"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丽水</w:t>
            </w:r>
          </w:p>
        </w:tc>
        <w:tc>
          <w:tcPr>
            <w:tcW w:w="519"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九</w:t>
            </w:r>
          </w:p>
        </w:tc>
        <w:tc>
          <w:tcPr>
            <w:tcW w:w="3365"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第四十一项：金华157个和丽水444个造地项目在清查过程中无一因不符合选址而撤销。随机抽查发现，金华市磐安县尖山镇新宅村等7个项目和丽水市庆元县五大堡乡北坑村等14个项目，均存在违规选址问题，部分项目已通过县级验收。</w:t>
            </w:r>
          </w:p>
        </w:tc>
        <w:tc>
          <w:tcPr>
            <w:tcW w:w="4706"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整改目标：对2015年1月1日以来立项的垦造耕地项目进行全面梳理，对不符合要求的项目进行撤销或核减，落实生态修复措施。建立长效管理机制，完善垦造耕地“一件事”全生命周期管理。</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整改措施：</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1.全面开展涉林垦造耕地自查自纠。对2015年1月1日以来立项的涉林垦造耕地项目进行全面自查自纠。制定涉林垦造耕地问题整改工作方案。</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2.组织开展整改工作。一是抓好选址不当问题整改。2021年6月底前，对涉及生态保护红线、坡度25度以上</w:t>
            </w:r>
            <w:r>
              <w:rPr>
                <w:rFonts w:hint="eastAsia"/>
                <w:color w:val="auto"/>
                <w:sz w:val="21"/>
                <w:szCs w:val="21"/>
                <w:shd w:val="clear" w:color="auto" w:fill="auto"/>
                <w:lang w:eastAsia="zh-CN"/>
              </w:rPr>
              <w:t>以及</w:t>
            </w:r>
            <w:r>
              <w:rPr>
                <w:rFonts w:hint="eastAsia"/>
                <w:color w:val="auto"/>
                <w:sz w:val="21"/>
                <w:szCs w:val="21"/>
                <w:shd w:val="clear" w:color="auto" w:fill="auto"/>
              </w:rPr>
              <w:t>在生态公益林等“十个范围”林地违规选址的要撤销项目或调整项目实施范围，已经验收入库的要相应核减补充耕地指标。二是抓好水土保持不力问题整改。2021年6月底前，对存在水土流失的项目，落实水土保持措施。加强项目施工管理，科学组织施工，防止引起水土流失。三是开展生态修复。2021年6月底前，对要求退耕地还林、植树造林或采取生态修复措施、恢复森林植被的项目，按照“一项目一方案”的要求，制订生态保护修复方案，开展植树造林、生态修复。</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3.建立健全监管长效机制。修订完善项目市级抽查复核办法，做到内业全覆盖，外业按验收报备入库项目40%开展实地抽查，严把项目报备抽查复核关。市级林业主管部门强化森林督查，及时发现并查处破坏森林资源问题，维护森林生态安全。</w:t>
            </w:r>
          </w:p>
        </w:tc>
        <w:tc>
          <w:tcPr>
            <w:tcW w:w="772" w:type="dxa"/>
            <w:shd w:val="clear" w:color="auto" w:fill="auto"/>
            <w:vAlign w:val="center"/>
          </w:tcPr>
          <w:p>
            <w:pPr>
              <w:autoSpaceDE w:val="0"/>
              <w:autoSpaceDN w:val="0"/>
              <w:adjustRightInd w:val="0"/>
              <w:spacing w:line="300" w:lineRule="exact"/>
              <w:contextualSpacing/>
              <w:rPr>
                <w:color w:val="auto"/>
                <w:sz w:val="21"/>
                <w:szCs w:val="21"/>
                <w:shd w:val="clear" w:color="auto" w:fill="auto"/>
              </w:rPr>
            </w:pPr>
            <w:r>
              <w:rPr>
                <w:color w:val="auto"/>
                <w:sz w:val="21"/>
                <w:szCs w:val="21"/>
                <w:shd w:val="clear" w:color="auto" w:fill="auto"/>
              </w:rPr>
              <w:t>2021年12月底前</w:t>
            </w:r>
          </w:p>
        </w:tc>
        <w:tc>
          <w:tcPr>
            <w:tcW w:w="3548" w:type="dxa"/>
            <w:shd w:val="clear" w:color="auto" w:fill="auto"/>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中央环保督察涉及的392个省级督导整改项目和496个市级督导项目已全部完成市级验收，并完成市级“一台一报一网”公示，公示无异议。省级已开展现场核查验收</w:t>
            </w:r>
            <w:r>
              <w:rPr>
                <w:rFonts w:hint="eastAsia"/>
                <w:color w:val="auto"/>
                <w:sz w:val="21"/>
                <w:szCs w:val="21"/>
                <w:shd w:val="clear" w:color="auto" w:fill="auto"/>
                <w:lang w:val="en-US" w:eastAsia="zh-CN"/>
              </w:rPr>
              <w:t>并通过</w:t>
            </w:r>
            <w:r>
              <w:rPr>
                <w:rFonts w:hint="eastAsia"/>
                <w:color w:val="auto"/>
                <w:sz w:val="21"/>
                <w:szCs w:val="21"/>
                <w:shd w:val="clear" w:color="auto" w:fill="auto"/>
              </w:rPr>
              <w:t>。</w:t>
            </w:r>
          </w:p>
        </w:tc>
        <w:tc>
          <w:tcPr>
            <w:tcW w:w="700"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sym w:font="Wingdings 2" w:char="0052"/>
            </w:r>
            <w:r>
              <w:rPr>
                <w:rFonts w:hint="eastAsia"/>
                <w:color w:val="auto"/>
                <w:sz w:val="21"/>
                <w:szCs w:val="21"/>
                <w:shd w:val="clear" w:color="auto" w:fill="auto"/>
              </w:rPr>
              <w:t>已完成</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□达到序时进度</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□未达序时进度</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64"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丽水</w:t>
            </w:r>
          </w:p>
        </w:tc>
        <w:tc>
          <w:tcPr>
            <w:tcW w:w="519" w:type="dxa"/>
            <w:vAlign w:val="center"/>
          </w:tcPr>
          <w:p>
            <w:pPr>
              <w:widowControl/>
              <w:adjustRightInd w:val="0"/>
              <w:snapToGrid w:val="0"/>
              <w:spacing w:line="360" w:lineRule="exact"/>
              <w:rPr>
                <w:color w:val="auto"/>
                <w:sz w:val="24"/>
                <w:highlight w:val="none"/>
                <w:shd w:val="clear" w:color="auto" w:fill="auto"/>
              </w:rPr>
            </w:pPr>
            <w:r>
              <w:rPr>
                <w:rFonts w:hint="eastAsia"/>
                <w:color w:val="auto"/>
                <w:sz w:val="24"/>
                <w:highlight w:val="none"/>
                <w:shd w:val="clear" w:color="auto" w:fill="auto"/>
              </w:rPr>
              <w:t>十</w:t>
            </w:r>
          </w:p>
        </w:tc>
        <w:tc>
          <w:tcPr>
            <w:tcW w:w="3365" w:type="dxa"/>
            <w:vAlign w:val="center"/>
          </w:tcPr>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第四十三项：减肥减药不严不实。2015年以来，国家有关部门相继发文，要求持续推进化肥、农药减量化工作；2018年国家出台《关于加快推进长江经济带农业面源污染治理的指导意见》，明确太湖流域等重点区域“主要农作物测土配方施肥覆盖率达到93%以上”。但督察发现，浙江省取土检测数量明显不足， 2019年全省配方肥及按方施肥覆盖率不到50%，各级农业部门上报覆盖率普遍在90%以上。另外，农药减量工作缺乏资金保障，专业化统防统治组织数量大幅萎缩。一些地方在上报专业化统防统治覆盖率时还偷换概念，以规模种植大户自主防治代替专业化统防统治，数据严重失实。2019年，杭州市萧山区水稻种植面积10万亩，由专业化统防统治组织实施病虫害防治的不足5000亩，实际覆盖率仅5%，但上报覆盖率却为60%。</w:t>
            </w:r>
          </w:p>
        </w:tc>
        <w:tc>
          <w:tcPr>
            <w:tcW w:w="4706" w:type="dxa"/>
            <w:vAlign w:val="center"/>
          </w:tcPr>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整改目标：</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2022年12月底前，以取土化验、配方肥推广为抓手，实现全市主要农作物测土配方施肥覆盖率达到90%以上；加大农作物病虫害绿色防控技术推广力度，病虫害统防统治覆盖率达到43%以上。</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整改措施：</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1.加大取土测土工作和配方肥推广力度。按照《测土配方施肥技术规范》，主要农作物每年取土测土2000个以上，到2022年底，实现全市主要农作物取土测土全覆盖。鼓励肥料生产企业按“方”生产，完善“大配方小调整”技术措施，持续推进施肥建议卡入户工程，主要农作物年推广配方肥和按方施肥4万吨，全市主要农作物测土配方施肥覆盖率达到90%以上。</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2.增强农药减量资金和服务组织保障。加大市县财政投入、积极争取省级财政支持，为项目化推进农药减量整改工作提供资金支持。培育壮大主要农作物病虫害统防统治体系，2021年6月底前摸清全市统防统治社会化服务组织情况，落实《农作物病虫害专业化防治服务管理办法》，加强服务组织管理，明确省级规模种粮社会化服务补助资金和中央农业社会化服务补助资金用于病虫害统防统治与绿色防控、培育壮大统防统治服务组织等。到2022年底，培育县级以上示范性统防统治服务组织39家，病虫害统防统治覆盖率达到43%以上。</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3.加强肥药等农业投入品数字化管控。加快“肥药两制”改革数字化管理系统建设，培育80家示范性农资店，1000家“肥药两制”改革试点主体，推广减肥减药集成技术，实现肥药实名制购买定额制使用，着力提高测土配方施肥和统防统治技术到位率。</w:t>
            </w:r>
          </w:p>
          <w:p>
            <w:pPr>
              <w:autoSpaceDE w:val="0"/>
              <w:autoSpaceDN w:val="0"/>
              <w:adjustRightInd w:val="0"/>
              <w:spacing w:line="300" w:lineRule="exact"/>
              <w:contextualSpacing/>
              <w:rPr>
                <w:color w:val="auto"/>
                <w:sz w:val="21"/>
                <w:szCs w:val="21"/>
                <w:highlight w:val="none"/>
                <w:shd w:val="clear" w:color="auto" w:fill="auto"/>
              </w:rPr>
            </w:pPr>
            <w:r>
              <w:rPr>
                <w:rFonts w:hint="eastAsia"/>
                <w:color w:val="auto"/>
                <w:sz w:val="21"/>
                <w:szCs w:val="21"/>
                <w:highlight w:val="none"/>
                <w:shd w:val="clear" w:color="auto" w:fill="auto"/>
              </w:rPr>
              <w:t>4.加强农产品产地环境监测。加强3个农产品产地环境省控点运行管理，确保数据完整有效，为农业面源污染治理提供科学依据。</w:t>
            </w:r>
          </w:p>
        </w:tc>
        <w:tc>
          <w:tcPr>
            <w:tcW w:w="772" w:type="dxa"/>
            <w:shd w:val="clear" w:color="auto" w:fill="auto"/>
            <w:vAlign w:val="center"/>
          </w:tcPr>
          <w:p>
            <w:pPr>
              <w:autoSpaceDE w:val="0"/>
              <w:autoSpaceDN w:val="0"/>
              <w:adjustRightInd w:val="0"/>
              <w:spacing w:line="300" w:lineRule="exact"/>
              <w:contextualSpacing/>
              <w:rPr>
                <w:color w:val="auto"/>
                <w:sz w:val="21"/>
                <w:szCs w:val="21"/>
                <w:highlight w:val="none"/>
                <w:shd w:val="clear" w:color="auto" w:fill="auto"/>
              </w:rPr>
            </w:pPr>
            <w:r>
              <w:rPr>
                <w:color w:val="auto"/>
                <w:sz w:val="21"/>
                <w:szCs w:val="21"/>
                <w:highlight w:val="none"/>
                <w:shd w:val="clear" w:color="auto" w:fill="auto"/>
              </w:rPr>
              <w:t>2022年12月底前</w:t>
            </w:r>
          </w:p>
        </w:tc>
        <w:tc>
          <w:tcPr>
            <w:tcW w:w="3548" w:type="dxa"/>
            <w:shd w:val="clear" w:color="auto" w:fill="auto"/>
            <w:vAlign w:val="center"/>
          </w:tcPr>
          <w:p>
            <w:pPr>
              <w:autoSpaceDE w:val="0"/>
              <w:autoSpaceDN w:val="0"/>
              <w:adjustRightInd w:val="0"/>
              <w:spacing w:line="300" w:lineRule="exact"/>
              <w:contextualSpacing/>
              <w:rPr>
                <w:rFonts w:hint="eastAsia"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 xml:space="preserve">1.结合“肥药两制”改革，推进取土测土任务，组织各县肥药两制改革试点主体及规模种植户开展免费测土工作，2021、2022年分别完成取测土2082个、测土2141个,分别完成任务数的104.1％、107.1％。市、县两级均发布《主要农作物肥料主推配方》，供农户按“方”施肥，落实年度配方肥补贴推广资金1255.2万元，推广应用配方肥和按方施肥4.22万吨，完成任务数的102.9%。大力开展施肥建议卡进村入户和农资店上墙工作，建议卡入户19787份、上墙654份。               </w:t>
            </w:r>
          </w:p>
          <w:p>
            <w:pPr>
              <w:autoSpaceDE w:val="0"/>
              <w:autoSpaceDN w:val="0"/>
              <w:adjustRightInd w:val="0"/>
              <w:spacing w:line="300" w:lineRule="exact"/>
              <w:contextualSpacing/>
              <w:rPr>
                <w:rFonts w:hint="eastAsia"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 xml:space="preserve">   2.各县（市、区）落实农药减量资金1718万元，为项目化推进农药减量整改工作提供资金支持。开展统防统治社会化服务组织培育和开展服务工作，县级以上示范性统防统治服务组织2021年已完成培育25家、2022年完成培育14个，已实施主要农作物统防统治面积23.63万亩，完成2022年度任务数的118.15%。</w:t>
            </w:r>
          </w:p>
          <w:p>
            <w:pPr>
              <w:autoSpaceDE w:val="0"/>
              <w:autoSpaceDN w:val="0"/>
              <w:adjustRightInd w:val="0"/>
              <w:spacing w:line="300" w:lineRule="exact"/>
              <w:contextualSpacing/>
              <w:rPr>
                <w:rFonts w:hint="eastAsia"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 xml:space="preserve">   3.完成119家示范农资店、1109家示范主体的“肥药双制”系统的入库工作，强化购销电子台账的登记工作。市级发布“科学施用化肥农药倡议书”，通过广播电台等发动宣传；积极开展培训工作，所有涉农培训加入肥药减量内容，普及减量知识。  </w:t>
            </w:r>
          </w:p>
          <w:p>
            <w:pPr>
              <w:autoSpaceDE w:val="0"/>
              <w:autoSpaceDN w:val="0"/>
              <w:adjustRightInd w:val="0"/>
              <w:spacing w:line="300" w:lineRule="exact"/>
              <w:contextualSpacing/>
              <w:rPr>
                <w:rFonts w:hint="eastAsia"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 xml:space="preserve">  4.落实农产品产地环境监测点农作物种植人员、监测点采样人员。根据施肥处理设置方案已完成作物的栽培和施肥等，并实施地表径流、雨水、灌溉水、土壤等采样监测。经省级考核，2021年度我市3个省控点和1个市控点年度考核全部优秀。2022年度监测处理工作已全部完成，并形成了工作总结。</w:t>
            </w:r>
          </w:p>
          <w:p>
            <w:pPr>
              <w:autoSpaceDE w:val="0"/>
              <w:autoSpaceDN w:val="0"/>
              <w:adjustRightInd w:val="0"/>
              <w:spacing w:line="300" w:lineRule="exact"/>
              <w:contextualSpacing/>
              <w:rPr>
                <w:rFonts w:hint="eastAsia"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　５.开展整改攻坚月活动。9县（市、区）都已经出台年度推广配方肥和统防统治的奖补政策，统筹利用中央、省和地方扶持政策，全力开展政策的宣贯和培训等工作，推进整改工作的落实落地。为了加大减肥减药工作宣传，8月份以来，印制并发放了一批宣传塑料袋，以此为载体，印刷了“丽植宝”和“浙样施”二维码，广大农户通过扫一扫袋子上的二维码即可了解病虫害识别知识、用药指南、施肥建议等，指导农户科学施肥用药。</w:t>
            </w:r>
          </w:p>
          <w:p>
            <w:pPr>
              <w:autoSpaceDE w:val="0"/>
              <w:autoSpaceDN w:val="0"/>
              <w:adjustRightInd w:val="0"/>
              <w:spacing w:line="300" w:lineRule="exact"/>
              <w:contextualSpacing/>
              <w:rPr>
                <w:rFonts w:hint="eastAsia" w:eastAsia="仿宋_GB2312"/>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 xml:space="preserve">  6.下达整改督办函，指出</w:t>
            </w:r>
            <w:r>
              <w:rPr>
                <w:rFonts w:hint="eastAsia" w:cs="Times New Roman"/>
                <w:color w:val="auto"/>
                <w:sz w:val="21"/>
                <w:szCs w:val="21"/>
                <w:highlight w:val="none"/>
                <w:shd w:val="clear" w:color="auto" w:fill="auto"/>
                <w:lang w:val="en-US" w:eastAsia="zh-CN"/>
              </w:rPr>
              <w:t>存</w:t>
            </w:r>
            <w:r>
              <w:rPr>
                <w:rFonts w:hint="eastAsia" w:ascii="Times New Roman" w:hAnsi="Times New Roman" w:eastAsia="仿宋_GB2312" w:cs="Times New Roman"/>
                <w:color w:val="auto"/>
                <w:sz w:val="21"/>
                <w:szCs w:val="21"/>
                <w:highlight w:val="none"/>
                <w:shd w:val="clear" w:color="auto" w:fill="auto"/>
                <w:lang w:val="en-US" w:eastAsia="zh-CN"/>
              </w:rPr>
              <w:t>在的问题和短板，要求加大工作力度、加快整改进度、做实做细台账资料。下发《关于做好第二轮中央环保督察43号反馈问题整改验收销号工作的通知》，进一步明确销号流程和要求，全力做好整改验收销号工作。</w:t>
            </w:r>
          </w:p>
        </w:tc>
        <w:tc>
          <w:tcPr>
            <w:tcW w:w="700" w:type="dxa"/>
            <w:vAlign w:val="center"/>
          </w:tcPr>
          <w:p>
            <w:pPr>
              <w:widowControl/>
              <w:adjustRightInd w:val="0"/>
              <w:snapToGrid w:val="0"/>
              <w:spacing w:line="300" w:lineRule="exact"/>
              <w:rPr>
                <w:color w:val="auto"/>
                <w:sz w:val="21"/>
                <w:szCs w:val="21"/>
                <w:highlight w:val="none"/>
                <w:shd w:val="clear" w:color="auto" w:fill="auto"/>
              </w:rPr>
            </w:pPr>
            <w:r>
              <w:rPr>
                <w:color w:val="auto"/>
                <w:sz w:val="21"/>
                <w:szCs w:val="21"/>
                <w:highlight w:val="none"/>
                <w:shd w:val="clear" w:color="auto" w:fill="auto"/>
              </w:rPr>
              <w:sym w:font="Wingdings 2" w:char="0052"/>
            </w:r>
            <w:r>
              <w:rPr>
                <w:rFonts w:hint="eastAsia"/>
                <w:color w:val="auto"/>
                <w:sz w:val="21"/>
                <w:szCs w:val="21"/>
                <w:highlight w:val="none"/>
                <w:shd w:val="clear" w:color="auto" w:fill="auto"/>
              </w:rPr>
              <w:t>已完成</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sym w:font="Wingdings 2" w:char="00A3"/>
            </w:r>
            <w:r>
              <w:rPr>
                <w:rFonts w:hint="eastAsia"/>
                <w:color w:val="auto"/>
                <w:sz w:val="21"/>
                <w:szCs w:val="21"/>
                <w:highlight w:val="none"/>
                <w:shd w:val="clear" w:color="auto" w:fill="auto"/>
              </w:rPr>
              <w:t>达到序时进度</w:t>
            </w:r>
          </w:p>
          <w:p>
            <w:pPr>
              <w:widowControl/>
              <w:adjustRightInd w:val="0"/>
              <w:snapToGrid w:val="0"/>
              <w:spacing w:line="300" w:lineRule="exact"/>
              <w:rPr>
                <w:color w:val="auto"/>
                <w:sz w:val="21"/>
                <w:szCs w:val="21"/>
                <w:highlight w:val="none"/>
                <w:shd w:val="clear" w:color="auto" w:fill="auto"/>
              </w:rPr>
            </w:pPr>
            <w:r>
              <w:rPr>
                <w:rFonts w:hint="eastAsia"/>
                <w:color w:val="auto"/>
                <w:sz w:val="21"/>
                <w:szCs w:val="21"/>
                <w:highlight w:val="none"/>
                <w:shd w:val="clear" w:color="auto" w:fill="auto"/>
              </w:rPr>
              <w:t>□未达序时进度</w:t>
            </w:r>
          </w:p>
          <w:p>
            <w:pPr>
              <w:widowControl/>
              <w:adjustRightInd w:val="0"/>
              <w:snapToGrid w:val="0"/>
              <w:spacing w:line="300" w:lineRule="exact"/>
              <w:rPr>
                <w:color w:val="auto"/>
                <w:sz w:val="24"/>
                <w:highlight w:val="none"/>
                <w:shd w:val="clear" w:color="auto" w:fill="auto"/>
              </w:rPr>
            </w:pPr>
            <w:r>
              <w:rPr>
                <w:rFonts w:hint="eastAsia"/>
                <w:color w:val="auto"/>
                <w:sz w:val="21"/>
                <w:szCs w:val="21"/>
                <w:highlight w:val="none"/>
                <w:shd w:val="clear" w:color="auto" w:fill="auto"/>
              </w:rPr>
              <w:t>□尚未启动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6" w:hRule="atLeast"/>
        </w:trPr>
        <w:tc>
          <w:tcPr>
            <w:tcW w:w="564"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丽水</w:t>
            </w:r>
          </w:p>
        </w:tc>
        <w:tc>
          <w:tcPr>
            <w:tcW w:w="519" w:type="dxa"/>
            <w:vAlign w:val="center"/>
          </w:tcPr>
          <w:p>
            <w:pPr>
              <w:widowControl/>
              <w:adjustRightInd w:val="0"/>
              <w:snapToGrid w:val="0"/>
              <w:spacing w:line="360" w:lineRule="exact"/>
              <w:rPr>
                <w:color w:val="auto"/>
                <w:sz w:val="24"/>
                <w:shd w:val="clear" w:color="auto" w:fill="auto"/>
              </w:rPr>
            </w:pPr>
            <w:r>
              <w:rPr>
                <w:rFonts w:hint="eastAsia"/>
                <w:color w:val="auto"/>
                <w:sz w:val="24"/>
                <w:shd w:val="clear" w:color="auto" w:fill="auto"/>
              </w:rPr>
              <w:t>十一</w:t>
            </w:r>
          </w:p>
        </w:tc>
        <w:tc>
          <w:tcPr>
            <w:tcW w:w="3365"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第四十四项：浙江省部分区县统计部门在统计化肥、农药数据时未按要求开展“全面统计”，也未会同农业部门组织村级调查，仅由区县统计人员根据农作物播种面积进行估算，省市统计部门对异常数据也未开展有效审核，导致减量数据长期虚高。</w:t>
            </w:r>
          </w:p>
        </w:tc>
        <w:tc>
          <w:tcPr>
            <w:tcW w:w="4706" w:type="dxa"/>
            <w:vAlign w:val="center"/>
          </w:tcPr>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整改目标：按国家统计制度要求实施化肥农药全面统计，科学研判化肥农药增减变化走势。</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整改措施：</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1.改进和完善化肥、农药统计制度方法。严格执行国家全面统计报表制度，加强抽样调查、重点调查和结合部门行政数据推算等多种统计调查方法的运用；扎实推进基础数据村级起报工作；联合农业、林业部门进一步完善部门统计制度,改进统计调查方法。</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2.健全和完善农业农村统计数据质量管控机制。一是健全农业农村统计数据生产流程质量管控机制，层层压实责任;二是利用现代信息技术,发挥联网直报系统在数据质量审核中的作用，加大对化肥、农药数据审核、查询力度，提高源头数据质量;三是加强统计业务培训和基层调研指导，进一步夯实统计基层基础。四是加强数据核查力度。按照省市县工作职责，层层把关，逐级审核。特别是加强对异常数据的审核,对同比变化幅度较大的市、县进行实地核查。对统计数据造假、弄虚作假情况,一经发现,将严格按照统计法严肃查处。</w:t>
            </w:r>
          </w:p>
          <w:p>
            <w:pPr>
              <w:autoSpaceDE w:val="0"/>
              <w:autoSpaceDN w:val="0"/>
              <w:adjustRightInd w:val="0"/>
              <w:spacing w:line="300" w:lineRule="exact"/>
              <w:contextualSpacing/>
              <w:rPr>
                <w:color w:val="auto"/>
                <w:sz w:val="21"/>
                <w:szCs w:val="21"/>
                <w:shd w:val="clear" w:color="auto" w:fill="auto"/>
              </w:rPr>
            </w:pPr>
            <w:r>
              <w:rPr>
                <w:rFonts w:hint="eastAsia"/>
                <w:color w:val="auto"/>
                <w:sz w:val="21"/>
                <w:szCs w:val="21"/>
                <w:shd w:val="clear" w:color="auto" w:fill="auto"/>
              </w:rPr>
              <w:t>3.加强部门合作,发挥部门统计作用。加强与农业、林业部门协作沟通,根据农、林作物种植结构,结合气候变化、病虫害发生等情况,测算各类农林作物化肥、农药单位面积施用强度,科学研判化肥、农药施用量增减变化趋势。</w:t>
            </w:r>
          </w:p>
        </w:tc>
        <w:tc>
          <w:tcPr>
            <w:tcW w:w="772" w:type="dxa"/>
            <w:shd w:val="clear" w:color="auto" w:fill="auto"/>
            <w:vAlign w:val="center"/>
          </w:tcPr>
          <w:p>
            <w:pPr>
              <w:autoSpaceDE w:val="0"/>
              <w:autoSpaceDN w:val="0"/>
              <w:adjustRightInd w:val="0"/>
              <w:spacing w:line="300" w:lineRule="exact"/>
              <w:contextualSpacing/>
              <w:rPr>
                <w:color w:val="auto"/>
                <w:sz w:val="21"/>
                <w:szCs w:val="21"/>
                <w:shd w:val="clear" w:color="auto" w:fill="auto"/>
              </w:rPr>
            </w:pPr>
            <w:r>
              <w:rPr>
                <w:color w:val="auto"/>
                <w:sz w:val="21"/>
                <w:szCs w:val="21"/>
                <w:shd w:val="clear" w:color="auto" w:fill="auto"/>
              </w:rPr>
              <w:t>2021年6月底前</w:t>
            </w:r>
          </w:p>
        </w:tc>
        <w:tc>
          <w:tcPr>
            <w:tcW w:w="3548" w:type="dxa"/>
            <w:shd w:val="clear" w:color="auto" w:fill="auto"/>
            <w:vAlign w:val="center"/>
          </w:tcPr>
          <w:p>
            <w:pPr>
              <w:numPr>
                <w:ilvl w:val="0"/>
                <w:numId w:val="0"/>
              </w:numPr>
              <w:autoSpaceDE w:val="0"/>
              <w:autoSpaceDN w:val="0"/>
              <w:adjustRightInd w:val="0"/>
              <w:spacing w:line="300" w:lineRule="exact"/>
              <w:contextualSpacing/>
              <w:rPr>
                <w:color w:val="auto"/>
                <w:sz w:val="21"/>
                <w:szCs w:val="21"/>
                <w:shd w:val="clear" w:color="auto" w:fill="auto"/>
              </w:rPr>
            </w:pPr>
            <w:r>
              <w:rPr>
                <w:rFonts w:hint="eastAsia"/>
                <w:b/>
                <w:bCs/>
                <w:color w:val="auto"/>
                <w:sz w:val="21"/>
                <w:szCs w:val="21"/>
                <w:shd w:val="clear" w:color="auto" w:fill="auto"/>
                <w:lang w:val="en-US" w:eastAsia="zh-CN"/>
              </w:rPr>
              <w:t>1.</w:t>
            </w:r>
            <w:r>
              <w:rPr>
                <w:rFonts w:hint="eastAsia"/>
                <w:b/>
                <w:bCs/>
                <w:color w:val="auto"/>
                <w:sz w:val="21"/>
                <w:szCs w:val="21"/>
                <w:shd w:val="clear" w:color="auto" w:fill="auto"/>
              </w:rPr>
              <w:t>改进和完善化肥、农药统计制度方法。</w:t>
            </w:r>
            <w:r>
              <w:rPr>
                <w:rFonts w:hint="eastAsia"/>
                <w:color w:val="auto"/>
                <w:sz w:val="21"/>
                <w:szCs w:val="21"/>
                <w:shd w:val="clear" w:color="auto" w:fill="auto"/>
              </w:rPr>
              <w:t>2020年12月3-4日，组织各县（市、区）农业农村统计工作负责人赴杭州参加全省农业农村统计业务培训班。积极开展乡镇、村级统计人员农药化肥统计业务知识培训，</w:t>
            </w:r>
            <w:r>
              <w:rPr>
                <w:rFonts w:hint="eastAsia"/>
                <w:color w:val="auto"/>
                <w:sz w:val="21"/>
                <w:szCs w:val="21"/>
                <w:shd w:val="clear" w:color="auto" w:fill="auto"/>
                <w:lang w:eastAsia="zh-CN"/>
              </w:rPr>
              <w:t>同时</w:t>
            </w:r>
            <w:r>
              <w:rPr>
                <w:rFonts w:hint="eastAsia"/>
                <w:color w:val="auto"/>
                <w:sz w:val="21"/>
                <w:szCs w:val="21"/>
                <w:shd w:val="clear" w:color="auto" w:fill="auto"/>
              </w:rPr>
              <w:t>利用好县级年报会、业务培训会和专题督促会等载体，从源头把握数据质量。4月23日丽水市召开</w:t>
            </w:r>
            <w:r>
              <w:rPr>
                <w:rFonts w:hint="eastAsia"/>
                <w:color w:val="auto"/>
                <w:sz w:val="21"/>
                <w:szCs w:val="21"/>
                <w:shd w:val="clear" w:color="auto" w:fill="auto"/>
                <w:lang w:eastAsia="zh-CN"/>
              </w:rPr>
              <w:t>全市</w:t>
            </w:r>
            <w:r>
              <w:rPr>
                <w:rFonts w:hint="eastAsia"/>
                <w:color w:val="auto"/>
                <w:sz w:val="21"/>
                <w:szCs w:val="21"/>
                <w:shd w:val="clear" w:color="auto" w:fill="auto"/>
              </w:rPr>
              <w:t>化肥农药统计工作专项督促会，</w:t>
            </w:r>
            <w:r>
              <w:rPr>
                <w:rFonts w:hint="eastAsia"/>
                <w:color w:val="auto"/>
                <w:sz w:val="21"/>
                <w:szCs w:val="21"/>
                <w:shd w:val="clear" w:color="auto" w:fill="auto"/>
                <w:lang w:eastAsia="zh-CN"/>
              </w:rPr>
              <w:t>明确督察整改要求，</w:t>
            </w:r>
            <w:r>
              <w:rPr>
                <w:rFonts w:hint="eastAsia"/>
                <w:color w:val="auto"/>
                <w:sz w:val="21"/>
                <w:szCs w:val="21"/>
                <w:shd w:val="clear" w:color="auto" w:fill="auto"/>
              </w:rPr>
              <w:t>对基础台账操作规范进行专题培训，并对下步加快整改进度、加大整改力度提出具体要求。各县（市、区）陆续召开化肥农药统计专题督促会，跟进乡镇整改措施落实情况和整改进度，对存在的问题困难进行专题交流指导。</w:t>
            </w:r>
          </w:p>
          <w:p>
            <w:pPr>
              <w:autoSpaceDE w:val="0"/>
              <w:autoSpaceDN w:val="0"/>
              <w:adjustRightInd w:val="0"/>
              <w:spacing w:line="300" w:lineRule="exact"/>
              <w:contextualSpacing/>
              <w:rPr>
                <w:color w:val="auto"/>
                <w:sz w:val="21"/>
                <w:szCs w:val="21"/>
                <w:shd w:val="clear" w:color="auto" w:fill="auto"/>
              </w:rPr>
            </w:pPr>
            <w:r>
              <w:rPr>
                <w:rFonts w:hint="eastAsia"/>
                <w:b/>
                <w:bCs/>
                <w:color w:val="auto"/>
                <w:sz w:val="21"/>
                <w:szCs w:val="21"/>
                <w:shd w:val="clear" w:color="auto" w:fill="auto"/>
              </w:rPr>
              <w:t>2.健全和完善农业农村统计数据质量管控机制。</w:t>
            </w:r>
            <w:r>
              <w:rPr>
                <w:rFonts w:hint="eastAsia"/>
                <w:color w:val="auto"/>
                <w:sz w:val="21"/>
                <w:szCs w:val="21"/>
                <w:shd w:val="clear" w:color="auto" w:fill="auto"/>
              </w:rPr>
              <w:t>完善数据质量管控办法，加强基层业务指导。认真组织学习并严格执行贯彻落实《浙江省统计局办公室关于印发农业农村统计及低收入农户监测数据质量管控流程的通知》，结合“三服务”、调研、数据质量检查等工作，赴各县（市、区）及有关乡镇开展面对面业务指导和整改督促。强化审核把关。利用联网直报系统、人工审核、部门联合评估等方式，层层把关，逐级审核，加大对化肥、农药数据审核、查询力度，特别是加强对异常数据的审核,对同比变化幅度较大的县、乡镇进行进一步核实、查询，提高数据质量。强化数据质量核查。2月19日，市局印发《关于开展2021年农业农村级低收入农户统计数据质量检查工作的通知》，要求各县（市、区）进行全面自查，根据自查情况及时进行分析总结，制定和落实整改措施。</w:t>
            </w:r>
          </w:p>
          <w:p>
            <w:pPr>
              <w:autoSpaceDE w:val="0"/>
              <w:autoSpaceDN w:val="0"/>
              <w:adjustRightInd w:val="0"/>
              <w:spacing w:line="300" w:lineRule="exact"/>
              <w:contextualSpacing/>
              <w:rPr>
                <w:color w:val="auto"/>
                <w:shd w:val="clear" w:color="auto" w:fill="auto"/>
              </w:rPr>
            </w:pPr>
            <w:r>
              <w:rPr>
                <w:rFonts w:hint="eastAsia"/>
                <w:b/>
                <w:bCs/>
                <w:color w:val="auto"/>
                <w:sz w:val="21"/>
                <w:szCs w:val="21"/>
                <w:shd w:val="clear" w:color="auto" w:fill="auto"/>
              </w:rPr>
              <w:t>3.加强部门合作，发挥部门统计作用。</w:t>
            </w:r>
            <w:r>
              <w:rPr>
                <w:rFonts w:hint="eastAsia"/>
                <w:color w:val="auto"/>
                <w:sz w:val="21"/>
                <w:szCs w:val="21"/>
                <w:shd w:val="clear" w:color="auto" w:fill="auto"/>
              </w:rPr>
              <w:t>加强协作凝聚合力。市、县两级统计部门主动对接农业、林业、供销社、物资供应等部门，就农药化肥统计工作进行专题协作沟通，探索根据农、林作物种植结构,结合气候变化、病虫害发生等情况,测算各类农林作物化肥、农药单位面积施用强度，出台折纯率指导意见，结合入户调查数据、销售端变化趋势，科学研判化肥、农药施用量增减变化趋势。并指导乡镇结合本地实际情况测算亩均施用标准，用作数据报送参考，减少数据异常情况。同时，利用年报会、专题督促会等契机，邀请农口部门农药化肥统计专家对乡镇统计员进行农业化肥统计专题培训指导，结合实际讲解农药化肥种类、使用量等情况，宣传解读政策，现场进行答疑解惑，增加了基层培训指导的针对性和专业性。</w:t>
            </w:r>
          </w:p>
        </w:tc>
        <w:tc>
          <w:tcPr>
            <w:tcW w:w="700" w:type="dxa"/>
            <w:vAlign w:val="center"/>
          </w:tcPr>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sym w:font="Wingdings 2" w:char="0052"/>
            </w:r>
            <w:r>
              <w:rPr>
                <w:rFonts w:hint="eastAsia"/>
                <w:color w:val="auto"/>
                <w:sz w:val="21"/>
                <w:szCs w:val="21"/>
                <w:shd w:val="clear" w:color="auto" w:fill="auto"/>
              </w:rPr>
              <w:t>已完成</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□达到序时进度</w:t>
            </w:r>
          </w:p>
          <w:p>
            <w:pPr>
              <w:widowControl/>
              <w:adjustRightInd w:val="0"/>
              <w:snapToGrid w:val="0"/>
              <w:spacing w:line="300" w:lineRule="exact"/>
              <w:rPr>
                <w:color w:val="auto"/>
                <w:sz w:val="21"/>
                <w:szCs w:val="21"/>
                <w:shd w:val="clear" w:color="auto" w:fill="auto"/>
              </w:rPr>
            </w:pPr>
            <w:r>
              <w:rPr>
                <w:rFonts w:hint="eastAsia"/>
                <w:color w:val="auto"/>
                <w:sz w:val="21"/>
                <w:szCs w:val="21"/>
                <w:shd w:val="clear" w:color="auto" w:fill="auto"/>
              </w:rPr>
              <w:t>□未达序时进度</w:t>
            </w:r>
          </w:p>
          <w:p>
            <w:pPr>
              <w:widowControl/>
              <w:adjustRightInd w:val="0"/>
              <w:snapToGrid w:val="0"/>
              <w:spacing w:line="300" w:lineRule="exact"/>
              <w:rPr>
                <w:color w:val="auto"/>
                <w:sz w:val="24"/>
                <w:shd w:val="clear" w:color="auto" w:fill="auto"/>
              </w:rPr>
            </w:pPr>
            <w:r>
              <w:rPr>
                <w:rFonts w:hint="eastAsia"/>
                <w:color w:val="auto"/>
                <w:sz w:val="21"/>
                <w:szCs w:val="21"/>
                <w:shd w:val="clear" w:color="auto" w:fill="auto"/>
              </w:rPr>
              <w:t>□尚未启动</w:t>
            </w:r>
          </w:p>
        </w:tc>
      </w:tr>
    </w:tbl>
    <w:p>
      <w:pPr>
        <w:widowControl/>
        <w:spacing w:line="560" w:lineRule="exact"/>
        <w:jc w:val="left"/>
        <w:rPr>
          <w:color w:val="auto"/>
          <w:sz w:val="24"/>
          <w:shd w:val="clear" w:color="auto" w:fill="auto"/>
        </w:rPr>
      </w:pPr>
    </w:p>
    <w:p>
      <w:pPr>
        <w:rPr>
          <w:color w:val="auto"/>
          <w:shd w:val="clear" w:color="auto" w:fill="auto"/>
        </w:rPr>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8465F8-B701-4853-A3EC-2260F6F703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94A9BCE-1BCF-426F-B8A4-8512F6186003}"/>
  </w:font>
  <w:font w:name="仿宋_GB2312">
    <w:altName w:val="仿宋"/>
    <w:panose1 w:val="02010609030101010101"/>
    <w:charset w:val="86"/>
    <w:family w:val="modern"/>
    <w:pitch w:val="default"/>
    <w:sig w:usb0="00000000" w:usb1="00000000" w:usb2="00000000" w:usb3="00000000" w:csb0="00040000" w:csb1="00000000"/>
    <w:embedRegular r:id="rId3" w:fontKey="{A6686AD8-ABB5-4C68-8A37-B50EDB023D4E}"/>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4" w:fontKey="{FCE17BAA-CAC7-4FD8-A409-456E0045ED31}"/>
  </w:font>
  <w:font w:name="Wingdings 2">
    <w:altName w:val="Wingdings"/>
    <w:panose1 w:val="05020102010507070707"/>
    <w:charset w:val="02"/>
    <w:family w:val="auto"/>
    <w:pitch w:val="default"/>
    <w:sig w:usb0="00000000" w:usb1="00000000" w:usb2="00000000" w:usb3="00000000" w:csb0="80000000" w:csb1="00000000"/>
    <w:embedRegular r:id="rId5" w:fontKey="{A4494294-6BDF-4823-A480-20D9F680EB4F}"/>
  </w:font>
  <w:font w:name="楷体_GB2312">
    <w:altName w:val="楷体"/>
    <w:panose1 w:val="02010609030101010101"/>
    <w:charset w:val="86"/>
    <w:family w:val="modern"/>
    <w:pitch w:val="default"/>
    <w:sig w:usb0="00000000" w:usb1="00000000" w:usb2="00000010" w:usb3="00000000" w:csb0="00040000" w:csb1="00000000"/>
    <w:embedRegular r:id="rId6" w:fontKey="{C0950F4B-3FEC-43A2-B465-7CC1C42614FD}"/>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985"/>
        <w:tab w:val="right" w:pos="8410"/>
      </w:tabs>
      <w:ind w:left="320" w:leftChars="100" w:right="320" w:rightChars="10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tabs>
                              <w:tab w:val="left" w:pos="2985"/>
                              <w:tab w:val="right" w:pos="8410"/>
                            </w:tabs>
                            <w:ind w:left="320" w:leftChars="100" w:right="320" w:rightChars="100"/>
                            <w:jc w:val="right"/>
                          </w:pPr>
                          <w:r>
                            <w:rPr>
                              <w:rStyle w:val="15"/>
                              <w:rFonts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2</w:t>
                          </w:r>
                          <w:r>
                            <w:rPr>
                              <w:rStyle w:val="15"/>
                              <w:rFonts w:ascii="宋体" w:hAnsi="宋体"/>
                              <w:sz w:val="28"/>
                              <w:szCs w:val="28"/>
                            </w:rPr>
                            <w:fldChar w:fldCharType="end"/>
                          </w:r>
                          <w:r>
                            <w:rPr>
                              <w:rStyle w:val="15"/>
                              <w:rFonts w:ascii="宋体" w:hAnsi="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8"/>
                      <w:tabs>
                        <w:tab w:val="left" w:pos="2985"/>
                        <w:tab w:val="right" w:pos="8410"/>
                      </w:tabs>
                      <w:ind w:left="320" w:leftChars="100" w:right="320" w:rightChars="100"/>
                      <w:jc w:val="right"/>
                    </w:pPr>
                    <w:r>
                      <w:rPr>
                        <w:rStyle w:val="15"/>
                        <w:rFonts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2</w:t>
                    </w:r>
                    <w:r>
                      <w:rPr>
                        <w:rStyle w:val="15"/>
                        <w:rFonts w:ascii="宋体" w:hAnsi="宋体"/>
                        <w:sz w:val="28"/>
                        <w:szCs w:val="28"/>
                      </w:rPr>
                      <w:fldChar w:fldCharType="end"/>
                    </w:r>
                    <w:r>
                      <w:rPr>
                        <w:rStyle w:val="15"/>
                        <w:rFonts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715741C3"/>
    <w:rsid w:val="00C229CA"/>
    <w:rsid w:val="012D66CB"/>
    <w:rsid w:val="0213141D"/>
    <w:rsid w:val="02781C40"/>
    <w:rsid w:val="028A6D56"/>
    <w:rsid w:val="02F271D4"/>
    <w:rsid w:val="04756438"/>
    <w:rsid w:val="055F2D56"/>
    <w:rsid w:val="058B685D"/>
    <w:rsid w:val="068B1EC9"/>
    <w:rsid w:val="069D4FF4"/>
    <w:rsid w:val="077D2554"/>
    <w:rsid w:val="0A6B72A1"/>
    <w:rsid w:val="0BFBBEE7"/>
    <w:rsid w:val="0CD93263"/>
    <w:rsid w:val="0DFB6300"/>
    <w:rsid w:val="0E224018"/>
    <w:rsid w:val="0E2E6DD9"/>
    <w:rsid w:val="0E9367D5"/>
    <w:rsid w:val="0EE81846"/>
    <w:rsid w:val="0F2823C8"/>
    <w:rsid w:val="0F561216"/>
    <w:rsid w:val="114F7F97"/>
    <w:rsid w:val="117B6FDE"/>
    <w:rsid w:val="124D2729"/>
    <w:rsid w:val="12635AA8"/>
    <w:rsid w:val="12757E43"/>
    <w:rsid w:val="14124FCB"/>
    <w:rsid w:val="14F80315"/>
    <w:rsid w:val="150C5657"/>
    <w:rsid w:val="152223E4"/>
    <w:rsid w:val="17027F03"/>
    <w:rsid w:val="17595E65"/>
    <w:rsid w:val="1796247C"/>
    <w:rsid w:val="1844012A"/>
    <w:rsid w:val="1BE701C6"/>
    <w:rsid w:val="1CA7552D"/>
    <w:rsid w:val="1D556162"/>
    <w:rsid w:val="1D927B8A"/>
    <w:rsid w:val="1DB547E2"/>
    <w:rsid w:val="1DDB3A8D"/>
    <w:rsid w:val="1F1E468A"/>
    <w:rsid w:val="1F666BD8"/>
    <w:rsid w:val="1F896934"/>
    <w:rsid w:val="1FB77049"/>
    <w:rsid w:val="1FBD6D8B"/>
    <w:rsid w:val="20084133"/>
    <w:rsid w:val="213469C5"/>
    <w:rsid w:val="218B62A2"/>
    <w:rsid w:val="22147904"/>
    <w:rsid w:val="2297109E"/>
    <w:rsid w:val="23151BEA"/>
    <w:rsid w:val="240370EB"/>
    <w:rsid w:val="24150BCD"/>
    <w:rsid w:val="24942439"/>
    <w:rsid w:val="250D1C98"/>
    <w:rsid w:val="25370423"/>
    <w:rsid w:val="263643DC"/>
    <w:rsid w:val="26B425F2"/>
    <w:rsid w:val="26C9193A"/>
    <w:rsid w:val="26EB3E67"/>
    <w:rsid w:val="271E7D11"/>
    <w:rsid w:val="277368C8"/>
    <w:rsid w:val="27925D7B"/>
    <w:rsid w:val="27BF1C2D"/>
    <w:rsid w:val="27E2586C"/>
    <w:rsid w:val="28FA1F9D"/>
    <w:rsid w:val="29257B91"/>
    <w:rsid w:val="2A1D24C1"/>
    <w:rsid w:val="2ACC047A"/>
    <w:rsid w:val="2B2F07C6"/>
    <w:rsid w:val="2C517C53"/>
    <w:rsid w:val="2C635EDF"/>
    <w:rsid w:val="2CF41CC7"/>
    <w:rsid w:val="2D804908"/>
    <w:rsid w:val="2DC97B66"/>
    <w:rsid w:val="2E4D79A9"/>
    <w:rsid w:val="2F203569"/>
    <w:rsid w:val="2F3E2306"/>
    <w:rsid w:val="2F872D05"/>
    <w:rsid w:val="30275096"/>
    <w:rsid w:val="310354B7"/>
    <w:rsid w:val="312B5ED3"/>
    <w:rsid w:val="321C7AAD"/>
    <w:rsid w:val="32270651"/>
    <w:rsid w:val="346A3545"/>
    <w:rsid w:val="34B55747"/>
    <w:rsid w:val="3594118F"/>
    <w:rsid w:val="35DC2AF9"/>
    <w:rsid w:val="361F6FF0"/>
    <w:rsid w:val="37AD7EB5"/>
    <w:rsid w:val="37F317C1"/>
    <w:rsid w:val="38482EC7"/>
    <w:rsid w:val="39507136"/>
    <w:rsid w:val="3A125F06"/>
    <w:rsid w:val="3B2209A5"/>
    <w:rsid w:val="3B34428A"/>
    <w:rsid w:val="3BDA701E"/>
    <w:rsid w:val="3C544530"/>
    <w:rsid w:val="3CCB40C7"/>
    <w:rsid w:val="3DE65FBD"/>
    <w:rsid w:val="3E51347A"/>
    <w:rsid w:val="3EAF46FF"/>
    <w:rsid w:val="3F456249"/>
    <w:rsid w:val="403C14BF"/>
    <w:rsid w:val="40BF0D68"/>
    <w:rsid w:val="41601C00"/>
    <w:rsid w:val="422C1AAB"/>
    <w:rsid w:val="42B57432"/>
    <w:rsid w:val="440B4EEF"/>
    <w:rsid w:val="45910CCA"/>
    <w:rsid w:val="45DB537A"/>
    <w:rsid w:val="46CC2EAE"/>
    <w:rsid w:val="48381A91"/>
    <w:rsid w:val="48D662E4"/>
    <w:rsid w:val="4964388C"/>
    <w:rsid w:val="4989065D"/>
    <w:rsid w:val="49995244"/>
    <w:rsid w:val="49C3015D"/>
    <w:rsid w:val="4A3E05CE"/>
    <w:rsid w:val="4AA246B9"/>
    <w:rsid w:val="4B233101"/>
    <w:rsid w:val="4B735A2C"/>
    <w:rsid w:val="4C9D249C"/>
    <w:rsid w:val="4CF5357D"/>
    <w:rsid w:val="4E141D71"/>
    <w:rsid w:val="4E1D0968"/>
    <w:rsid w:val="4E6046C6"/>
    <w:rsid w:val="4F959E46"/>
    <w:rsid w:val="4FA7190A"/>
    <w:rsid w:val="516230ED"/>
    <w:rsid w:val="52CA51BB"/>
    <w:rsid w:val="5339573D"/>
    <w:rsid w:val="53AE2966"/>
    <w:rsid w:val="53E90FDD"/>
    <w:rsid w:val="54722B7A"/>
    <w:rsid w:val="54F9075C"/>
    <w:rsid w:val="57B31231"/>
    <w:rsid w:val="580E4996"/>
    <w:rsid w:val="582617EB"/>
    <w:rsid w:val="59EC3BA2"/>
    <w:rsid w:val="59EC5A68"/>
    <w:rsid w:val="5A3F4333"/>
    <w:rsid w:val="5C8F6529"/>
    <w:rsid w:val="5D0D4F57"/>
    <w:rsid w:val="5D5533D9"/>
    <w:rsid w:val="5F751B0E"/>
    <w:rsid w:val="5FFE52A4"/>
    <w:rsid w:val="60636240"/>
    <w:rsid w:val="617A1D6F"/>
    <w:rsid w:val="63207485"/>
    <w:rsid w:val="6368469C"/>
    <w:rsid w:val="656D2520"/>
    <w:rsid w:val="65DC6756"/>
    <w:rsid w:val="65ED4F2A"/>
    <w:rsid w:val="663314D9"/>
    <w:rsid w:val="66805D9E"/>
    <w:rsid w:val="671A256A"/>
    <w:rsid w:val="671B7875"/>
    <w:rsid w:val="689C3FD3"/>
    <w:rsid w:val="695D4EBC"/>
    <w:rsid w:val="69BF6BDD"/>
    <w:rsid w:val="69DF2B0A"/>
    <w:rsid w:val="6A837C0B"/>
    <w:rsid w:val="6BB65DBE"/>
    <w:rsid w:val="6BC14ECA"/>
    <w:rsid w:val="6BED0900"/>
    <w:rsid w:val="6C7E26F9"/>
    <w:rsid w:val="6CA76974"/>
    <w:rsid w:val="6F0207F5"/>
    <w:rsid w:val="6FD53E31"/>
    <w:rsid w:val="6FE61F3E"/>
    <w:rsid w:val="70FC0717"/>
    <w:rsid w:val="715741C3"/>
    <w:rsid w:val="718F158B"/>
    <w:rsid w:val="72C9287B"/>
    <w:rsid w:val="7316526C"/>
    <w:rsid w:val="739BFD67"/>
    <w:rsid w:val="73D22DC7"/>
    <w:rsid w:val="74A901D7"/>
    <w:rsid w:val="74FA7D22"/>
    <w:rsid w:val="787F2893"/>
    <w:rsid w:val="795417AD"/>
    <w:rsid w:val="79E310FE"/>
    <w:rsid w:val="79EFB5A8"/>
    <w:rsid w:val="7A434CC1"/>
    <w:rsid w:val="7B3E20FF"/>
    <w:rsid w:val="7B4E3F70"/>
    <w:rsid w:val="7B975277"/>
    <w:rsid w:val="7BECDDD1"/>
    <w:rsid w:val="7BFD4630"/>
    <w:rsid w:val="7C6965BD"/>
    <w:rsid w:val="7E9755DB"/>
    <w:rsid w:val="7F2350C1"/>
    <w:rsid w:val="7F5D6825"/>
    <w:rsid w:val="7F9C6389"/>
    <w:rsid w:val="9FEF0166"/>
    <w:rsid w:val="AEFF3518"/>
    <w:rsid w:val="BDB34AD5"/>
    <w:rsid w:val="BDE5E5DD"/>
    <w:rsid w:val="BEFEA4C6"/>
    <w:rsid w:val="BFF94468"/>
    <w:rsid w:val="D6F38842"/>
    <w:rsid w:val="DC7EF93C"/>
    <w:rsid w:val="DD795899"/>
    <w:rsid w:val="DF3B65CB"/>
    <w:rsid w:val="DF3D9E89"/>
    <w:rsid w:val="DFFF38B6"/>
    <w:rsid w:val="E03F6D53"/>
    <w:rsid w:val="EDFBE5B5"/>
    <w:rsid w:val="F7DFE0F8"/>
    <w:rsid w:val="FFBFDE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pPr>
    <w:rPr>
      <w:rFonts w:eastAsia="宋体"/>
      <w:sz w:val="21"/>
      <w:szCs w:val="20"/>
    </w:rPr>
  </w:style>
  <w:style w:type="paragraph" w:styleId="3">
    <w:name w:val="toc 8"/>
    <w:basedOn w:val="1"/>
    <w:next w:val="1"/>
    <w:qFormat/>
    <w:uiPriority w:val="0"/>
    <w:pPr>
      <w:wordWrap w:val="0"/>
      <w:ind w:left="1270"/>
    </w:pPr>
  </w:style>
  <w:style w:type="paragraph" w:styleId="5">
    <w:name w:val="Body Text"/>
    <w:basedOn w:val="1"/>
    <w:next w:val="6"/>
    <w:qFormat/>
    <w:uiPriority w:val="99"/>
    <w:rPr>
      <w:rFonts w:ascii="仿宋_GB2312" w:hAnsi="仿宋_GB2312" w:cs="仿宋_GB2312"/>
      <w:szCs w:val="32"/>
    </w:rPr>
  </w:style>
  <w:style w:type="paragraph" w:styleId="6">
    <w:name w:val="Body Text First Indent"/>
    <w:basedOn w:val="5"/>
    <w:next w:val="1"/>
    <w:qFormat/>
    <w:uiPriority w:val="99"/>
    <w:pPr>
      <w:spacing w:line="500" w:lineRule="exact"/>
      <w:ind w:firstLine="420"/>
    </w:pPr>
    <w:rPr>
      <w:sz w:val="28"/>
      <w:szCs w:val="28"/>
    </w:rPr>
  </w:style>
  <w:style w:type="paragraph" w:styleId="7">
    <w:name w:val="Body Text Indent"/>
    <w:basedOn w:val="1"/>
    <w:next w:val="2"/>
    <w:qFormat/>
    <w:uiPriority w:val="0"/>
    <w:pPr>
      <w:spacing w:line="480" w:lineRule="atLeast"/>
      <w:ind w:firstLine="570"/>
    </w:pPr>
    <w:rPr>
      <w:rFonts w:ascii="黑体" w:eastAsia="黑体"/>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6"/>
    <w:basedOn w:val="1"/>
    <w:next w:val="1"/>
    <w:qFormat/>
    <w:uiPriority w:val="39"/>
    <w:pPr>
      <w:ind w:left="2100" w:leftChars="1000"/>
    </w:pPr>
    <w:rPr>
      <w:rFonts w:cs="宋体"/>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7"/>
    <w:next w:val="1"/>
    <w:qFormat/>
    <w:uiPriority w:val="0"/>
    <w:pPr>
      <w:spacing w:after="120" w:line="240" w:lineRule="auto"/>
      <w:ind w:left="420" w:leftChars="200" w:firstLine="420" w:firstLineChars="200"/>
    </w:pPr>
    <w:rPr>
      <w:rFonts w:ascii="等线" w:hAnsi="等线" w:eastAsia="等线"/>
    </w:rPr>
  </w:style>
  <w:style w:type="character" w:styleId="15">
    <w:name w:val="page number"/>
    <w:basedOn w:val="14"/>
    <w:qFormat/>
    <w:uiPriority w:val="99"/>
    <w:rPr>
      <w:rFonts w:cs="Times New Roman"/>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11242</Words>
  <Characters>11842</Characters>
  <Lines>0</Lines>
  <Paragraphs>0</Paragraphs>
  <TotalTime>267</TotalTime>
  <ScaleCrop>false</ScaleCrop>
  <LinksUpToDate>false</LinksUpToDate>
  <CharactersWithSpaces>11923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2022-06-01T16:46:00Z</dcterms:created>
  <dc:creator>宏达集团不是我的</dc:creator>
  <cp:lastModifiedBy>Icarus</cp:lastModifiedBy>
  <dcterms:modified xsi:type="dcterms:W3CDTF">2023-03-14T08:42:51Z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85CD083AEA094CCC84A42E6D314F5AC8</vt:lpwstr>
  </property>
</Properties>
</file>