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695" w:type="dxa"/>
        <w:tblInd w:w="91" w:type="dxa"/>
        <w:tblLayout w:type="fixed"/>
        <w:tblCellMar>
          <w:top w:w="0" w:type="dxa"/>
          <w:left w:w="108" w:type="dxa"/>
          <w:bottom w:w="0" w:type="dxa"/>
          <w:right w:w="108" w:type="dxa"/>
        </w:tblCellMar>
      </w:tblPr>
      <w:tblGrid>
        <w:gridCol w:w="481"/>
        <w:gridCol w:w="1296"/>
        <w:gridCol w:w="1501"/>
        <w:gridCol w:w="141"/>
        <w:gridCol w:w="5177"/>
        <w:gridCol w:w="1272"/>
        <w:gridCol w:w="4151"/>
        <w:gridCol w:w="676"/>
      </w:tblGrid>
      <w:tr>
        <w:tc>
          <w:tcPr>
            <w:tcW w:w="14695" w:type="dxa"/>
            <w:gridSpan w:val="8"/>
            <w:tcBorders>
              <w:top w:val="nil"/>
              <w:left w:val="nil"/>
              <w:bottom w:val="nil"/>
              <w:right w:val="nil"/>
            </w:tcBorders>
            <w:noWrap w:val="0"/>
            <w:vAlign w:val="center"/>
          </w:tcPr>
          <w:p>
            <w:pPr>
              <w:rPr>
                <w:rFonts w:hint="eastAsia" w:ascii="仿宋" w:hAnsi="仿宋" w:eastAsia="仿宋" w:cs="仿宋"/>
                <w:sz w:val="32"/>
                <w:szCs w:val="32"/>
              </w:rPr>
            </w:pPr>
            <w:r>
              <w:rPr>
                <w:rFonts w:hint="eastAsia" w:ascii="仿宋" w:hAnsi="仿宋" w:eastAsia="仿宋" w:cs="仿宋"/>
                <w:sz w:val="32"/>
                <w:szCs w:val="32"/>
              </w:rPr>
              <w:t>附件1</w:t>
            </w:r>
          </w:p>
          <w:p>
            <w:pPr>
              <w:snapToGrid w:val="0"/>
              <w:jc w:val="center"/>
              <w:textAlignment w:val="center"/>
              <w:rPr>
                <w:rFonts w:hint="eastAsia" w:ascii="宋体" w:hAnsi="宋体" w:eastAsia="宋体" w:cs="宋体"/>
                <w:b/>
                <w:bCs/>
                <w:color w:val="000000"/>
                <w:sz w:val="40"/>
                <w:szCs w:val="40"/>
              </w:rPr>
            </w:pPr>
          </w:p>
          <w:p>
            <w:pPr>
              <w:snapToGrid w:val="0"/>
              <w:jc w:val="center"/>
              <w:textAlignment w:val="center"/>
              <w:rPr>
                <w:rFonts w:ascii="宋体" w:hAnsi="宋体" w:eastAsia="宋体" w:cs="宋体"/>
                <w:b/>
                <w:bCs/>
                <w:color w:val="000000"/>
                <w:sz w:val="40"/>
                <w:szCs w:val="40"/>
              </w:rPr>
            </w:pPr>
            <w:r>
              <w:rPr>
                <w:rFonts w:hint="eastAsia" w:ascii="宋体" w:hAnsi="宋体" w:eastAsia="宋体" w:cs="宋体"/>
                <w:b/>
                <w:bCs/>
                <w:color w:val="000000"/>
                <w:sz w:val="40"/>
                <w:szCs w:val="40"/>
              </w:rPr>
              <w:t>丽水市</w:t>
            </w:r>
            <w:r>
              <w:rPr>
                <w:rFonts w:hint="eastAsia" w:ascii="宋体" w:hAnsi="宋体" w:eastAsia="宋体" w:cs="宋体"/>
                <w:b/>
                <w:bCs/>
                <w:color w:val="000000"/>
                <w:sz w:val="40"/>
                <w:szCs w:val="40"/>
                <w:lang w:val="en-US" w:eastAsia="zh-CN"/>
              </w:rPr>
              <w:t>退役军人事务局</w:t>
            </w:r>
            <w:r>
              <w:rPr>
                <w:rFonts w:hint="eastAsia" w:ascii="宋体" w:hAnsi="宋体" w:eastAsia="宋体" w:cs="宋体"/>
                <w:b/>
                <w:bCs/>
                <w:color w:val="000000"/>
                <w:sz w:val="40"/>
                <w:szCs w:val="40"/>
              </w:rPr>
              <w:t>划转行政执法事项（2021年）</w:t>
            </w:r>
          </w:p>
          <w:p>
            <w:pPr>
              <w:snapToGrid w:val="0"/>
              <w:jc w:val="center"/>
              <w:textAlignment w:val="center"/>
              <w:rPr>
                <w:rFonts w:ascii="宋体" w:hAnsi="宋体" w:eastAsia="宋体" w:cs="宋体"/>
                <w:b/>
                <w:bCs/>
                <w:color w:val="000000"/>
                <w:sz w:val="40"/>
                <w:szCs w:val="40"/>
              </w:rPr>
            </w:pPr>
          </w:p>
        </w:tc>
      </w:tr>
      <w:tr>
        <w:tblPrEx>
          <w:tblCellMar>
            <w:top w:w="0" w:type="dxa"/>
            <w:left w:w="108" w:type="dxa"/>
            <w:bottom w:w="0" w:type="dxa"/>
            <w:right w:w="108" w:type="dxa"/>
          </w:tblCellMar>
        </w:tblPrEx>
        <w:tc>
          <w:tcPr>
            <w:tcW w:w="14695" w:type="dxa"/>
            <w:gridSpan w:val="8"/>
            <w:tcBorders>
              <w:top w:val="single" w:color="000000" w:sz="4" w:space="0"/>
              <w:left w:val="single" w:color="000000" w:sz="4" w:space="0"/>
              <w:bottom w:val="single" w:color="000000" w:sz="4" w:space="0"/>
              <w:right w:val="single" w:color="000000" w:sz="4" w:space="0"/>
            </w:tcBorders>
            <w:noWrap w:val="0"/>
            <w:vAlign w:val="center"/>
          </w:tcPr>
          <w:p>
            <w:pPr>
              <w:snapToGrid w:val="0"/>
              <w:ind w:firstLine="480" w:firstLineChars="200"/>
              <w:textAlignment w:val="center"/>
              <w:rPr>
                <w:rFonts w:ascii="宋体" w:hAnsi="宋体" w:eastAsia="宋体" w:cs="宋体"/>
                <w:color w:val="000000"/>
                <w:kern w:val="0"/>
                <w:sz w:val="18"/>
                <w:szCs w:val="18"/>
              </w:rPr>
            </w:pPr>
            <w:r>
              <w:rPr>
                <w:rFonts w:hint="eastAsia" w:ascii="黑体" w:hAnsi="黑体" w:eastAsia="黑体" w:cs="黑体"/>
                <w:color w:val="000000"/>
                <w:kern w:val="0"/>
                <w:sz w:val="24"/>
              </w:rPr>
              <w:t>退役军人事务（共8项）</w:t>
            </w:r>
          </w:p>
        </w:tc>
      </w:tr>
      <w:tr>
        <w:tblPrEx>
          <w:tblCellMar>
            <w:top w:w="0" w:type="dxa"/>
            <w:left w:w="108" w:type="dxa"/>
            <w:bottom w:w="0" w:type="dxa"/>
            <w:right w:w="108" w:type="dxa"/>
          </w:tblCellMar>
        </w:tblPrEx>
        <w:trPr>
          <w:trHeight w:val="470" w:hRule="atLeast"/>
        </w:trPr>
        <w:tc>
          <w:tcPr>
            <w:tcW w:w="9868" w:type="dxa"/>
            <w:gridSpan w:val="6"/>
            <w:tcBorders>
              <w:top w:val="single" w:color="000000" w:sz="4" w:space="0"/>
              <w:left w:val="single" w:color="000000" w:sz="4" w:space="0"/>
              <w:bottom w:val="single" w:color="000000" w:sz="4" w:space="0"/>
              <w:right w:val="single" w:color="000000" w:sz="4" w:space="0"/>
            </w:tcBorders>
            <w:noWrap/>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处罚事项清单</w:t>
            </w:r>
          </w:p>
        </w:tc>
        <w:tc>
          <w:tcPr>
            <w:tcW w:w="4151" w:type="dxa"/>
            <w:vMerge w:val="restart"/>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职责边界清单</w:t>
            </w:r>
          </w:p>
        </w:tc>
        <w:tc>
          <w:tcPr>
            <w:tcW w:w="676" w:type="dxa"/>
            <w:vMerge w:val="restart"/>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划出部门</w:t>
            </w:r>
          </w:p>
        </w:tc>
      </w:tr>
      <w:tr>
        <w:tblPrEx>
          <w:tblCellMar>
            <w:top w:w="0" w:type="dxa"/>
            <w:left w:w="108" w:type="dxa"/>
            <w:bottom w:w="0" w:type="dxa"/>
            <w:right w:w="108" w:type="dxa"/>
          </w:tblCellMar>
        </w:tblPrEx>
        <w:tc>
          <w:tcPr>
            <w:tcW w:w="481" w:type="dxa"/>
            <w:tcBorders>
              <w:top w:val="nil"/>
              <w:left w:val="single" w:color="000000" w:sz="4" w:space="0"/>
              <w:bottom w:val="nil"/>
              <w:right w:val="single" w:color="000000" w:sz="4" w:space="0"/>
            </w:tcBorders>
            <w:noWrap w:val="0"/>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序号</w:t>
            </w:r>
          </w:p>
        </w:tc>
        <w:tc>
          <w:tcPr>
            <w:tcW w:w="1296" w:type="dxa"/>
            <w:tcBorders>
              <w:top w:val="nil"/>
              <w:left w:val="single" w:color="000000" w:sz="4" w:space="0"/>
              <w:bottom w:val="nil"/>
              <w:right w:val="single" w:color="000000" w:sz="4" w:space="0"/>
            </w:tcBorders>
            <w:noWrap w:val="0"/>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事项编码</w:t>
            </w:r>
          </w:p>
        </w:tc>
        <w:tc>
          <w:tcPr>
            <w:tcW w:w="1501" w:type="dxa"/>
            <w:tcBorders>
              <w:top w:val="single" w:color="000000" w:sz="4" w:space="0"/>
              <w:left w:val="single" w:color="000000" w:sz="4" w:space="0"/>
              <w:bottom w:val="nil"/>
              <w:right w:val="single" w:color="000000" w:sz="4" w:space="0"/>
            </w:tcBorders>
            <w:noWrap w:val="0"/>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事项名称</w:t>
            </w:r>
          </w:p>
        </w:tc>
        <w:tc>
          <w:tcPr>
            <w:tcW w:w="5318" w:type="dxa"/>
            <w:gridSpan w:val="2"/>
            <w:tcBorders>
              <w:top w:val="nil"/>
              <w:left w:val="single" w:color="000000" w:sz="4" w:space="0"/>
              <w:bottom w:val="nil"/>
              <w:right w:val="single" w:color="000000" w:sz="4" w:space="0"/>
            </w:tcBorders>
            <w:noWrap w:val="0"/>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法律依据</w:t>
            </w:r>
          </w:p>
        </w:tc>
        <w:tc>
          <w:tcPr>
            <w:tcW w:w="1272" w:type="dxa"/>
            <w:tcBorders>
              <w:top w:val="nil"/>
              <w:left w:val="single" w:color="000000" w:sz="4" w:space="0"/>
              <w:bottom w:val="nil"/>
              <w:right w:val="single" w:color="000000" w:sz="4" w:space="0"/>
            </w:tcBorders>
            <w:noWrap w:val="0"/>
            <w:vAlign w:val="center"/>
          </w:tcPr>
          <w:p>
            <w:pPr>
              <w:snapToGrid w:val="0"/>
              <w:jc w:val="center"/>
              <w:textAlignment w:val="center"/>
              <w:rPr>
                <w:rFonts w:ascii="黑体" w:hAnsi="宋体" w:eastAsia="黑体" w:cs="黑体"/>
                <w:color w:val="000000"/>
                <w:sz w:val="24"/>
              </w:rPr>
            </w:pPr>
            <w:r>
              <w:rPr>
                <w:rFonts w:hint="eastAsia" w:ascii="黑体" w:hAnsi="宋体" w:eastAsia="黑体" w:cs="黑体"/>
                <w:color w:val="000000"/>
                <w:kern w:val="0"/>
                <w:sz w:val="24"/>
              </w:rPr>
              <w:t>具体划转</w:t>
            </w:r>
            <w:r>
              <w:rPr>
                <w:rFonts w:hint="eastAsia" w:ascii="黑体" w:hAnsi="宋体" w:eastAsia="黑体" w:cs="黑体"/>
                <w:color w:val="000000"/>
                <w:kern w:val="0"/>
                <w:sz w:val="24"/>
              </w:rPr>
              <w:br w:type="textWrapping"/>
            </w:r>
            <w:r>
              <w:rPr>
                <w:rFonts w:hint="eastAsia" w:ascii="黑体" w:hAnsi="宋体" w:eastAsia="黑体" w:cs="黑体"/>
                <w:color w:val="000000"/>
                <w:kern w:val="0"/>
                <w:sz w:val="24"/>
              </w:rPr>
              <w:t>执法事项</w:t>
            </w:r>
          </w:p>
        </w:tc>
        <w:tc>
          <w:tcPr>
            <w:tcW w:w="4151" w:type="dxa"/>
            <w:vMerge w:val="continue"/>
            <w:tcBorders>
              <w:top w:val="single" w:color="000000" w:sz="4" w:space="0"/>
              <w:left w:val="single" w:color="000000" w:sz="4" w:space="0"/>
              <w:bottom w:val="nil"/>
              <w:right w:val="single" w:color="000000" w:sz="4" w:space="0"/>
            </w:tcBorders>
            <w:noWrap w:val="0"/>
            <w:vAlign w:val="center"/>
          </w:tcPr>
          <w:p>
            <w:pPr>
              <w:snapToGrid w:val="0"/>
              <w:jc w:val="center"/>
              <w:rPr>
                <w:rFonts w:ascii="黑体" w:hAnsi="宋体" w:eastAsia="黑体" w:cs="黑体"/>
                <w:color w:val="000000"/>
                <w:sz w:val="24"/>
              </w:rPr>
            </w:pPr>
          </w:p>
        </w:tc>
        <w:tc>
          <w:tcPr>
            <w:tcW w:w="676" w:type="dxa"/>
            <w:vMerge w:val="continue"/>
            <w:tcBorders>
              <w:top w:val="single" w:color="000000" w:sz="4" w:space="0"/>
              <w:left w:val="single" w:color="000000" w:sz="4" w:space="0"/>
              <w:bottom w:val="nil"/>
              <w:right w:val="single" w:color="000000" w:sz="4" w:space="0"/>
            </w:tcBorders>
            <w:noWrap w:val="0"/>
            <w:vAlign w:val="center"/>
          </w:tcPr>
          <w:p>
            <w:pPr>
              <w:snapToGrid w:val="0"/>
              <w:jc w:val="center"/>
              <w:rPr>
                <w:rFonts w:ascii="黑体" w:hAnsi="宋体" w:eastAsia="黑体" w:cs="黑体"/>
                <w:color w:val="000000"/>
                <w:sz w:val="24"/>
              </w:rPr>
            </w:pPr>
          </w:p>
        </w:tc>
      </w:tr>
      <w:tr>
        <w:tblPrEx>
          <w:tblCellMar>
            <w:top w:w="0" w:type="dxa"/>
            <w:left w:w="108" w:type="dxa"/>
            <w:bottom w:w="0" w:type="dxa"/>
            <w:right w:w="108" w:type="dxa"/>
          </w:tblCellMar>
        </w:tblPrEx>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330224001001</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对抚恤优待对象虚报病情骗取医药费的行政处罚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抚恤优待对象有下列行为之一的，由县级人民政府退役军人事务部门给予警告，限期退回非法所得；情节严重的，停止其享受的抚恤、优待；构成犯罪的，依法追究刑事责任：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（一）冒领抚恤金、优待金、补助金的；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（二）虚报病情骗取医药费的；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（三）出具假证明，伪造证件、印章骗取抚恤金、优待金、补助金的。</w:t>
            </w:r>
          </w:p>
          <w:p>
            <w:pPr>
              <w:snapToGrid w:val="0"/>
              <w:ind w:firstLine="360"/>
              <w:textAlignment w:val="center"/>
              <w:rPr>
                <w:rFonts w:ascii="宋体" w:hAnsi="宋体" w:eastAsia="宋体" w:cs="宋体"/>
                <w:color w:val="000000"/>
                <w:kern w:val="0"/>
                <w:sz w:val="18"/>
                <w:szCs w:val="18"/>
              </w:rPr>
            </w:pP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330224001003</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对抚恤优待对象出具假证明、伪造证件或印章骗取抚恤金、优待金、补助金的行政处罚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抚恤优待对象有下列行为之一的，由县级人民政府退役军人事务部门给予警告，限期退回非法所得；情节严重的，停止其享受的抚恤、优待；构成犯罪的，依法追究刑事责任：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（一）冒领抚恤金、优待金、补助金的；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（二）虚报病情骗取医药费的；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（三）出具假证明，伪造证件、印章骗取抚恤金、优待金、补助金的。</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抚恤优待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330224001005</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对抚恤优待对象冒领抚恤金、优待金、补助金的行政处罚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第四十九条 抚恤优待对象有下列行为之一的，由县级人民政府退役军人事务部门给予警告，限期退回非法所得；情节严重的，停止其享受的抚恤、优待；构成犯罪的，依法追究刑事责任：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（一）冒领抚恤金、优待金、补助金的；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（二）虚报病情骗取医药费的；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（三）出具假证明，伪造证件、印章骗取抚恤金、优待金、补助金的。</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330224002003</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对负有军人优待义务的单位不履行优待义务的行政处罚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1.《军人抚恤优待条例》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第四十八条 负有军人优待义务的单位不履行优待义务的，由县级人民政府退役军人事务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负有军人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330224002001</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对负有接收安置义务的单位未依法与退役士兵签订劳动合同、聘用合同的行政处罚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《退役士兵安置条例》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(二)未依法与退役士兵签订劳动合同、聘用合同的。    </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士兵安置工作主管部门负责“负有接收安置义务的单位未依法与退役士兵签订劳动合同、聘用合同”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rPr>
          <w:trHeight w:val="2634" w:hRule="atLeast"/>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330224002002</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对负有接收安置义务的单位违规与残疾退役士兵解除劳动关系或人事关系的行政处罚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《退役士兵安置条例》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第三十九条 对安排工作的残疾退役士兵，所在单位不得因其残疾与其解除劳动关系或者人事关系。</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(三)与残疾退役士兵解除劳动关系或者人事关系的。    </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士兵安置工作主管部门负责“负有接收安置义务的单位违规与残疾退役士兵解除劳动关系或人事关系”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rPr>
          <w:trHeight w:val="983" w:hRule="atLeast"/>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330224002005</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对负有接收安置义务的单位拒绝或无故拖延执行所在地政府下达的安排退役士兵工作任务的行政处罚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《退役士兵安置条例》</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第三十六条 承担安排退役士兵工作任务的单位应当按时完成所在地人民政府下达的安排退役士兵工作任务，在退役士兵安置工作主管部门开出介绍信1个月内安排退役士兵上岗，并与退役士兵依法签订期限不少于3年的劳动合同或者聘用合同。</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(一)拒绝或者无故拖延执行人民政府下达的安排退役士兵工作任务的。    </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士兵安置工作主管部门负责“负有接收安置义务的单位拒绝或无故拖延执行所在地政府下达的安排退役士兵工作任务”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r>
        <w:tblPrEx>
          <w:tblCellMar>
            <w:top w:w="0" w:type="dxa"/>
            <w:left w:w="108" w:type="dxa"/>
            <w:bottom w:w="0" w:type="dxa"/>
            <w:right w:w="108" w:type="dxa"/>
          </w:tblCellMar>
        </w:tblPrEx>
        <w:trPr>
          <w:trHeight w:val="1550" w:hRule="atLeast"/>
        </w:trPr>
        <w:tc>
          <w:tcPr>
            <w:tcW w:w="48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129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330224002004</w:t>
            </w:r>
          </w:p>
        </w:tc>
        <w:tc>
          <w:tcPr>
            <w:tcW w:w="1642"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对负有烈士遗属优待义务的单位不履行优待义务的行政处罚</w:t>
            </w:r>
          </w:p>
        </w:tc>
        <w:tc>
          <w:tcPr>
            <w:tcW w:w="5177" w:type="dxa"/>
            <w:tcBorders>
              <w:top w:val="single" w:color="000000" w:sz="4" w:space="0"/>
              <w:left w:val="single" w:color="000000" w:sz="4" w:space="0"/>
              <w:bottom w:val="single" w:color="000000" w:sz="4" w:space="0"/>
              <w:right w:val="single" w:color="000000" w:sz="4" w:space="0"/>
            </w:tcBorders>
            <w:noWrap w:val="0"/>
            <w:vAlign w:val="center"/>
          </w:tcPr>
          <w:p>
            <w:pPr>
              <w:snapToGrid w:val="0"/>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《烈士褒扬条例》 </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    第三十八条 负有烈士遗属优待义务的单位不履行优待义务的，由县级人民政府退役军人事务部门责令限期改正;逾期不改正的，处2000元以上1万元以下的罚款;属于国有或者国有控股企业、财政拨款的事业单位的，对直接负责的主管人员和其他直接责任人员依法给予处分。</w:t>
            </w:r>
          </w:p>
        </w:tc>
        <w:tc>
          <w:tcPr>
            <w:tcW w:w="127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全部</w:t>
            </w:r>
          </w:p>
        </w:tc>
        <w:tc>
          <w:tcPr>
            <w:tcW w:w="4151" w:type="dxa"/>
            <w:tcBorders>
              <w:top w:val="single" w:color="000000" w:sz="4" w:space="0"/>
              <w:left w:val="single" w:color="000000" w:sz="4" w:space="0"/>
              <w:bottom w:val="single" w:color="000000" w:sz="4" w:space="0"/>
              <w:right w:val="single" w:color="000000" w:sz="4" w:space="0"/>
            </w:tcBorders>
            <w:noWrap w:val="0"/>
            <w:vAlign w:val="center"/>
          </w:tcPr>
          <w:p>
            <w:pPr>
              <w:snapToGrid w:val="0"/>
              <w:ind w:firstLine="360" w:firstLineChars="200"/>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退役军人事务部门负责“负有烈士遗属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6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丽水市退役军人事务局</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65D07"/>
    <w:rsid w:val="3F66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2021-12-31T06:06:00Z</dcterms:created>
  <dc:creator>WJN✨</dc:creator>
  <cp:lastModifiedBy>WJN✨</cp:lastModifiedBy>
  <dcterms:modified xsi:type="dcterms:W3CDTF">2021-12-31T06:06:48Z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794ACFC58D704B01B776FA6195017CB2</vt:lpwstr>
  </property>
</Properties>
</file>