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楷体" w:hAnsi="楷体" w:eastAsia="楷体" w:cs="Times New Roman"/>
          <w:b/>
          <w:color w:val="auto"/>
          <w:sz w:val="44"/>
          <w:szCs w:val="44"/>
        </w:rPr>
      </w:pPr>
      <w:bookmarkStart w:id="173" w:name="_GoBack"/>
      <w:bookmarkEnd w:id="173"/>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rPr>
          <w:rFonts w:ascii="方正小标宋简体" w:hAnsi="方正小标宋简体" w:eastAsia="方正小标宋简体" w:cs="方正小标宋简体"/>
          <w:b/>
          <w:color w:val="auto"/>
          <w:sz w:val="52"/>
          <w:szCs w:val="52"/>
        </w:rPr>
      </w:pPr>
    </w:p>
    <w:p>
      <w:pPr>
        <w:spacing w:line="520" w:lineRule="exact"/>
        <w:jc w:val="center"/>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丽水市民政事业发展“十四五”规划</w:t>
      </w:r>
    </w:p>
    <w:p>
      <w:pPr>
        <w:spacing w:line="520" w:lineRule="exact"/>
        <w:jc w:val="center"/>
        <w:rPr>
          <w:rFonts w:ascii="方正小标宋简体" w:hAnsi="方正小标宋简体" w:eastAsia="方正小标宋简体" w:cs="方正小标宋简体"/>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spacing w:line="520" w:lineRule="exact"/>
        <w:jc w:val="center"/>
        <w:rPr>
          <w:rFonts w:ascii="楷体" w:hAnsi="楷体" w:eastAsia="楷体" w:cs="Times New Roman"/>
          <w:b/>
          <w:color w:val="auto"/>
          <w:sz w:val="44"/>
          <w:szCs w:val="44"/>
        </w:rPr>
      </w:pPr>
    </w:p>
    <w:p>
      <w:pPr>
        <w:jc w:val="center"/>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202</w:t>
      </w:r>
      <w:r>
        <w:rPr>
          <w:rFonts w:hint="eastAsia" w:ascii="Times New Roman" w:hAnsi="Times New Roman" w:eastAsia="楷体_GB2312" w:cs="Times New Roman"/>
          <w:bCs/>
          <w:color w:val="auto"/>
          <w:sz w:val="32"/>
          <w:szCs w:val="32"/>
        </w:rPr>
        <w:t>1</w:t>
      </w:r>
      <w:r>
        <w:rPr>
          <w:rFonts w:ascii="Times New Roman" w:hAnsi="Times New Roman" w:eastAsia="楷体_GB2312" w:cs="Times New Roman"/>
          <w:bCs/>
          <w:color w:val="auto"/>
          <w:sz w:val="32"/>
          <w:szCs w:val="32"/>
        </w:rPr>
        <w:t>年</w:t>
      </w:r>
      <w:r>
        <w:rPr>
          <w:rFonts w:hint="eastAsia" w:ascii="Times New Roman" w:hAnsi="Times New Roman" w:eastAsia="楷体_GB2312" w:cs="Times New Roman"/>
          <w:bCs/>
          <w:color w:val="auto"/>
          <w:sz w:val="32"/>
          <w:szCs w:val="32"/>
          <w:lang w:val="en-US" w:eastAsia="zh-CN"/>
        </w:rPr>
        <w:t>7</w:t>
      </w:r>
      <w:r>
        <w:rPr>
          <w:rFonts w:ascii="Times New Roman" w:hAnsi="Times New Roman" w:eastAsia="楷体_GB2312" w:cs="Times New Roman"/>
          <w:bCs/>
          <w:color w:val="auto"/>
          <w:sz w:val="32"/>
          <w:szCs w:val="32"/>
        </w:rPr>
        <w:t>月</w:t>
      </w:r>
    </w:p>
    <w:p>
      <w:pPr>
        <w:spacing w:line="520" w:lineRule="exact"/>
        <w:jc w:val="center"/>
        <w:rPr>
          <w:rFonts w:ascii="仿宋" w:hAnsi="仿宋" w:eastAsia="仿宋" w:cs="仿宋"/>
          <w:b/>
          <w:color w:val="auto"/>
          <w:sz w:val="40"/>
          <w:szCs w:val="40"/>
        </w:rPr>
      </w:pPr>
    </w:p>
    <w:p>
      <w:pPr>
        <w:spacing w:line="520" w:lineRule="exact"/>
        <w:jc w:val="center"/>
        <w:rPr>
          <w:rFonts w:ascii="仿宋" w:hAnsi="仿宋" w:eastAsia="仿宋" w:cs="仿宋"/>
          <w:b/>
          <w:color w:val="auto"/>
          <w:sz w:val="40"/>
          <w:szCs w:val="40"/>
        </w:rPr>
      </w:pPr>
    </w:p>
    <w:p>
      <w:pPr>
        <w:spacing w:line="520" w:lineRule="exact"/>
        <w:rPr>
          <w:rFonts w:ascii="宋体" w:hAnsi="宋体" w:eastAsia="宋体" w:cs="Times New Roman"/>
          <w:b/>
          <w:color w:val="auto"/>
          <w:sz w:val="24"/>
          <w:szCs w:val="24"/>
        </w:rPr>
      </w:pPr>
    </w:p>
    <w:sdt>
      <w:sdtPr>
        <w:rPr>
          <w:rFonts w:ascii="宋体" w:hAnsi="宋体" w:eastAsia="宋体"/>
          <w:color w:val="auto"/>
        </w:rPr>
        <w:id w:val="147478440"/>
        <w:docPartObj>
          <w:docPartGallery w:val="Table of Contents"/>
          <w:docPartUnique/>
        </w:docPartObj>
      </w:sdtPr>
      <w:sdtEndPr>
        <w:rPr>
          <w:rFonts w:asciiTheme="minorHAnsi" w:hAnsiTheme="minorHAnsi" w:eastAsiaTheme="minorEastAsia"/>
          <w:color w:val="auto"/>
        </w:rPr>
      </w:sdtEndPr>
      <w:sdtContent>
        <w:p>
          <w:pPr>
            <w:spacing w:line="540" w:lineRule="exact"/>
            <w:jc w:val="center"/>
            <w:rPr>
              <w:rFonts w:ascii="宋体" w:hAnsi="宋体" w:eastAsia="宋体"/>
              <w:color w:val="auto"/>
            </w:rPr>
          </w:pPr>
          <w:bookmarkStart w:id="0" w:name="_Toc2901_WPSOffice_Type3"/>
        </w:p>
        <w:p>
          <w:pPr>
            <w:spacing w:line="540" w:lineRule="exact"/>
            <w:jc w:val="center"/>
            <w:rPr>
              <w:b/>
              <w:bCs/>
              <w:color w:val="auto"/>
              <w:sz w:val="28"/>
              <w:szCs w:val="32"/>
            </w:rPr>
          </w:pPr>
          <w:r>
            <w:rPr>
              <w:rFonts w:ascii="宋体" w:hAnsi="宋体" w:eastAsia="宋体"/>
              <w:b/>
              <w:bCs/>
              <w:color w:val="auto"/>
              <w:sz w:val="28"/>
              <w:szCs w:val="32"/>
            </w:rPr>
            <w:t>目录</w:t>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"_Toc6751_WPSOffice_Level1" </w:instrText>
          </w:r>
          <w:r>
            <w:rPr>
              <w:color w:val="auto"/>
            </w:rPr>
            <w:fldChar w:fldCharType="separate"/>
          </w:r>
          <w:r>
            <w:rPr>
              <w:rFonts w:hint="eastAsia" w:ascii="黑体" w:hAnsi="黑体" w:eastAsia="黑体" w:cs="黑体"/>
              <w:color w:val="auto"/>
              <w:sz w:val="24"/>
              <w:szCs w:val="24"/>
            </w:rPr>
            <w:t>一、规划背景</w:t>
          </w:r>
          <w:r>
            <w:rPr>
              <w:color w:val="auto"/>
              <w:sz w:val="24"/>
              <w:szCs w:val="24"/>
            </w:rPr>
            <w:tab/>
          </w:r>
          <w:bookmarkStart w:id="1" w:name="_Toc6751_WPSOffice_Level1Page"/>
          <w:r>
            <w:rPr>
              <w:color w:val="auto"/>
              <w:sz w:val="24"/>
              <w:szCs w:val="24"/>
            </w:rPr>
            <w:t>1</w:t>
          </w:r>
          <w:bookmarkEnd w:id="1"/>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"_Toc2901_WPSOffice_Level2" </w:instrText>
          </w:r>
          <w:r>
            <w:rPr>
              <w:color w:val="auto"/>
            </w:rPr>
            <w:fldChar w:fldCharType="separate"/>
          </w:r>
          <w:r>
            <w:rPr>
              <w:rFonts w:hint="eastAsia" w:ascii="楷体" w:hAnsi="楷体" w:eastAsia="楷体" w:cs="楷体"/>
              <w:color w:val="auto"/>
              <w:sz w:val="24"/>
              <w:szCs w:val="24"/>
            </w:rPr>
            <w:t>（一）“十三五”取得的成就</w:t>
          </w:r>
          <w:r>
            <w:rPr>
              <w:color w:val="auto"/>
              <w:sz w:val="24"/>
              <w:szCs w:val="24"/>
            </w:rPr>
            <w:tab/>
          </w:r>
          <w:bookmarkStart w:id="2" w:name="_Toc2901_WPSOffice_Level2Page"/>
          <w:r>
            <w:rPr>
              <w:color w:val="auto"/>
              <w:sz w:val="24"/>
              <w:szCs w:val="24"/>
            </w:rPr>
            <w:t>1</w:t>
          </w:r>
          <w:bookmarkEnd w:id="2"/>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"_Toc28378_WPSOffice_Level2" </w:instrText>
          </w:r>
          <w:r>
            <w:rPr>
              <w:color w:val="auto"/>
            </w:rPr>
            <w:fldChar w:fldCharType="separate"/>
          </w:r>
          <w:r>
            <w:rPr>
              <w:rFonts w:hint="eastAsia" w:ascii="楷体" w:hAnsi="楷体" w:eastAsia="楷体" w:cs="楷体"/>
              <w:color w:val="auto"/>
              <w:sz w:val="24"/>
              <w:szCs w:val="24"/>
            </w:rPr>
            <w:t>（二）“十四五”面临的形势</w:t>
          </w:r>
          <w:r>
            <w:rPr>
              <w:color w:val="auto"/>
              <w:sz w:val="24"/>
              <w:szCs w:val="24"/>
            </w:rPr>
            <w:tab/>
          </w:r>
          <w:bookmarkStart w:id="3" w:name="_Toc28378_WPSOffice_Level2Page"/>
          <w:r>
            <w:rPr>
              <w:color w:val="auto"/>
              <w:sz w:val="24"/>
              <w:szCs w:val="24"/>
            </w:rPr>
            <w:t>5</w:t>
          </w:r>
          <w:bookmarkEnd w:id="3"/>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"_Toc2901_WPSOffice_Level3" </w:instrText>
          </w:r>
          <w:r>
            <w:rPr>
              <w:color w:val="auto"/>
            </w:rPr>
            <w:fldChar w:fldCharType="separate"/>
          </w:r>
          <w:r>
            <w:rPr>
              <w:rFonts w:hint="eastAsia" w:ascii="仿宋" w:hAnsi="仿宋" w:eastAsia="仿宋" w:cs="仿宋"/>
              <w:color w:val="auto"/>
              <w:sz w:val="24"/>
              <w:szCs w:val="24"/>
            </w:rPr>
            <w:t>1.现代化新征程提出新要求</w:t>
          </w:r>
          <w:r>
            <w:rPr>
              <w:color w:val="auto"/>
              <w:sz w:val="24"/>
              <w:szCs w:val="24"/>
            </w:rPr>
            <w:tab/>
          </w:r>
          <w:bookmarkStart w:id="4" w:name="_Toc2901_WPSOffice_Level3Page"/>
          <w:r>
            <w:rPr>
              <w:color w:val="auto"/>
              <w:sz w:val="24"/>
              <w:szCs w:val="24"/>
            </w:rPr>
            <w:t>5</w:t>
          </w:r>
          <w:bookmarkEnd w:id="4"/>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"_Toc28378_WPSOffice_Level3" </w:instrText>
          </w:r>
          <w:r>
            <w:rPr>
              <w:color w:val="auto"/>
            </w:rPr>
            <w:fldChar w:fldCharType="separate"/>
          </w:r>
          <w:r>
            <w:rPr>
              <w:rFonts w:hint="eastAsia" w:ascii="仿宋" w:hAnsi="仿宋" w:eastAsia="仿宋" w:cs="仿宋"/>
              <w:color w:val="auto"/>
              <w:sz w:val="24"/>
              <w:szCs w:val="24"/>
            </w:rPr>
            <w:t>2.国家重大</w:t>
          </w:r>
          <w:r>
            <w:rPr>
              <w:rFonts w:hint="default" w:ascii="仿宋" w:hAnsi="仿宋" w:eastAsia="仿宋" w:cs="仿宋"/>
              <w:color w:val="auto"/>
              <w:sz w:val="24"/>
              <w:szCs w:val="24"/>
            </w:rPr>
            <w:t>战略</w:t>
          </w:r>
          <w:r>
            <w:rPr>
              <w:rFonts w:hint="eastAsia" w:ascii="仿宋" w:hAnsi="仿宋" w:eastAsia="仿宋" w:cs="仿宋"/>
              <w:color w:val="auto"/>
              <w:sz w:val="24"/>
              <w:szCs w:val="24"/>
            </w:rPr>
            <w:t>带来新机遇</w:t>
          </w:r>
          <w:r>
            <w:rPr>
              <w:color w:val="auto"/>
              <w:sz w:val="24"/>
              <w:szCs w:val="24"/>
            </w:rPr>
            <w:tab/>
          </w:r>
          <w:bookmarkStart w:id="5" w:name="_Toc28378_WPSOffice_Level3Page"/>
          <w:r>
            <w:rPr>
              <w:color w:val="auto"/>
              <w:sz w:val="24"/>
              <w:szCs w:val="24"/>
            </w:rPr>
            <w:t>5</w:t>
          </w:r>
          <w:bookmarkEnd w:id="5"/>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"_Toc10620_WPSOffice_Level3" </w:instrText>
          </w:r>
          <w:r>
            <w:rPr>
              <w:color w:val="auto"/>
            </w:rPr>
            <w:fldChar w:fldCharType="separate"/>
          </w:r>
          <w:r>
            <w:rPr>
              <w:rFonts w:hint="eastAsia" w:ascii="仿宋" w:hAnsi="仿宋" w:eastAsia="仿宋" w:cs="仿宋"/>
              <w:color w:val="auto"/>
              <w:sz w:val="24"/>
              <w:szCs w:val="24"/>
            </w:rPr>
            <w:t>3.市域新格局迎来新挑战</w:t>
          </w:r>
          <w:r>
            <w:rPr>
              <w:color w:val="auto"/>
              <w:sz w:val="24"/>
              <w:szCs w:val="24"/>
            </w:rPr>
            <w:tab/>
          </w:r>
          <w:bookmarkStart w:id="6" w:name="_Toc10620_WPSOffice_Level3Page"/>
          <w:r>
            <w:rPr>
              <w:color w:val="auto"/>
              <w:sz w:val="24"/>
              <w:szCs w:val="24"/>
            </w:rPr>
            <w:t>6</w:t>
          </w:r>
          <w:bookmarkEnd w:id="6"/>
          <w:r>
            <w:rPr>
              <w:color w:val="auto"/>
              <w:sz w:val="24"/>
              <w:szCs w:val="24"/>
            </w:rPr>
            <w:fldChar w:fldCharType="end"/>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"_Toc2901_WPSOffice_Level1" </w:instrText>
          </w:r>
          <w:r>
            <w:rPr>
              <w:color w:val="auto"/>
            </w:rPr>
            <w:fldChar w:fldCharType="separate"/>
          </w:r>
          <w:r>
            <w:rPr>
              <w:rFonts w:hint="eastAsia" w:ascii="黑体" w:hAnsi="黑体" w:eastAsia="黑体" w:cs="黑体"/>
              <w:color w:val="auto"/>
              <w:sz w:val="24"/>
              <w:szCs w:val="24"/>
            </w:rPr>
            <w:t>二、指导思想、基本原则和发展目标</w:t>
          </w:r>
          <w:r>
            <w:rPr>
              <w:color w:val="auto"/>
              <w:sz w:val="24"/>
              <w:szCs w:val="24"/>
            </w:rPr>
            <w:tab/>
          </w:r>
          <w:bookmarkStart w:id="7" w:name="_Toc2901_WPSOffice_Level1Page"/>
          <w:r>
            <w:rPr>
              <w:color w:val="auto"/>
              <w:sz w:val="24"/>
              <w:szCs w:val="24"/>
            </w:rPr>
            <w:t>6</w:t>
          </w:r>
          <w:bookmarkEnd w:id="7"/>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"_Toc10620_WPSOffice_Level2" </w:instrText>
          </w:r>
          <w:r>
            <w:rPr>
              <w:color w:val="auto"/>
            </w:rPr>
            <w:fldChar w:fldCharType="separate"/>
          </w:r>
          <w:r>
            <w:rPr>
              <w:rFonts w:hint="eastAsia" w:ascii="楷体" w:hAnsi="楷体" w:eastAsia="楷体" w:cs="楷体"/>
              <w:color w:val="auto"/>
              <w:sz w:val="24"/>
              <w:szCs w:val="24"/>
            </w:rPr>
            <w:t>（一）指导思想</w:t>
          </w:r>
          <w:r>
            <w:rPr>
              <w:color w:val="auto"/>
              <w:sz w:val="24"/>
              <w:szCs w:val="24"/>
            </w:rPr>
            <w:tab/>
          </w:r>
          <w:bookmarkStart w:id="8" w:name="_Toc10620_WPSOffice_Level2Page"/>
          <w:r>
            <w:rPr>
              <w:color w:val="auto"/>
              <w:sz w:val="24"/>
              <w:szCs w:val="24"/>
            </w:rPr>
            <w:t>6</w:t>
          </w:r>
          <w:bookmarkEnd w:id="8"/>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"_Toc19957_WPSOffice_Level2" </w:instrText>
          </w:r>
          <w:r>
            <w:rPr>
              <w:color w:val="auto"/>
            </w:rPr>
            <w:fldChar w:fldCharType="separate"/>
          </w:r>
          <w:r>
            <w:rPr>
              <w:rFonts w:hint="eastAsia" w:ascii="楷体" w:hAnsi="楷体" w:eastAsia="楷体" w:cs="楷体"/>
              <w:color w:val="auto"/>
              <w:sz w:val="24"/>
              <w:szCs w:val="24"/>
            </w:rPr>
            <w:t>（二）基本原则</w:t>
          </w:r>
          <w:r>
            <w:rPr>
              <w:color w:val="auto"/>
              <w:sz w:val="24"/>
              <w:szCs w:val="24"/>
            </w:rPr>
            <w:tab/>
          </w:r>
          <w:bookmarkStart w:id="9" w:name="_Toc19957_WPSOffice_Level2Page"/>
          <w:r>
            <w:rPr>
              <w:color w:val="auto"/>
              <w:sz w:val="24"/>
              <w:szCs w:val="24"/>
            </w:rPr>
            <w:t>7</w:t>
          </w:r>
          <w:bookmarkEnd w:id="9"/>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"_Toc6044_WPSOffice_Level2" </w:instrText>
          </w:r>
          <w:r>
            <w:rPr>
              <w:color w:val="auto"/>
            </w:rPr>
            <w:fldChar w:fldCharType="separate"/>
          </w:r>
          <w:r>
            <w:rPr>
              <w:rFonts w:hint="eastAsia" w:ascii="楷体" w:hAnsi="楷体" w:eastAsia="楷体" w:cs="楷体"/>
              <w:color w:val="auto"/>
              <w:sz w:val="24"/>
              <w:szCs w:val="24"/>
            </w:rPr>
            <w:t>（三）发展目标</w:t>
          </w:r>
          <w:r>
            <w:rPr>
              <w:color w:val="auto"/>
              <w:sz w:val="24"/>
              <w:szCs w:val="24"/>
            </w:rPr>
            <w:tab/>
          </w:r>
          <w:bookmarkStart w:id="10" w:name="_Toc6044_WPSOffice_Level2Page"/>
          <w:r>
            <w:rPr>
              <w:color w:val="auto"/>
              <w:sz w:val="24"/>
              <w:szCs w:val="24"/>
            </w:rPr>
            <w:t>7</w:t>
          </w:r>
          <w:bookmarkEnd w:id="10"/>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"_Toc19957_WPSOffice_Level3" </w:instrText>
          </w:r>
          <w:r>
            <w:rPr>
              <w:color w:val="auto"/>
            </w:rPr>
            <w:fldChar w:fldCharType="separate"/>
          </w:r>
          <w:r>
            <w:rPr>
              <w:rFonts w:hint="eastAsia" w:ascii="仿宋" w:hAnsi="仿宋" w:eastAsia="仿宋" w:cs="仿宋"/>
              <w:color w:val="auto"/>
              <w:sz w:val="24"/>
              <w:szCs w:val="24"/>
            </w:rPr>
            <w:t>1.总体目标</w:t>
          </w:r>
          <w:r>
            <w:rPr>
              <w:color w:val="auto"/>
              <w:sz w:val="24"/>
              <w:szCs w:val="24"/>
            </w:rPr>
            <w:tab/>
          </w:r>
          <w:bookmarkStart w:id="11" w:name="_Toc19957_WPSOffice_Level3Page"/>
          <w:r>
            <w:rPr>
              <w:color w:val="auto"/>
              <w:sz w:val="24"/>
              <w:szCs w:val="24"/>
            </w:rPr>
            <w:t>8</w:t>
          </w:r>
          <w:bookmarkEnd w:id="11"/>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"_Toc6044_WPSOffice_Level3" </w:instrText>
          </w:r>
          <w:r>
            <w:rPr>
              <w:color w:val="auto"/>
            </w:rPr>
            <w:fldChar w:fldCharType="separate"/>
          </w:r>
          <w:r>
            <w:rPr>
              <w:rFonts w:hint="eastAsia" w:ascii="仿宋" w:hAnsi="仿宋" w:eastAsia="仿宋" w:cs="仿宋"/>
              <w:color w:val="auto"/>
              <w:sz w:val="24"/>
              <w:szCs w:val="24"/>
            </w:rPr>
            <w:t>2.主要指标</w:t>
          </w:r>
          <w:r>
            <w:rPr>
              <w:color w:val="auto"/>
              <w:sz w:val="24"/>
              <w:szCs w:val="24"/>
            </w:rPr>
            <w:tab/>
          </w:r>
          <w:bookmarkStart w:id="12" w:name="_Toc6044_WPSOffice_Level3Page"/>
          <w:r>
            <w:rPr>
              <w:color w:val="auto"/>
              <w:sz w:val="24"/>
              <w:szCs w:val="24"/>
            </w:rPr>
            <w:t>8</w:t>
          </w:r>
          <w:bookmarkEnd w:id="12"/>
          <w:r>
            <w:rPr>
              <w:color w:val="auto"/>
              <w:sz w:val="24"/>
              <w:szCs w:val="24"/>
            </w:rPr>
            <w:fldChar w:fldCharType="end"/>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"_Toc28378_WPSOffice_Level1" </w:instrText>
          </w:r>
          <w:r>
            <w:rPr>
              <w:color w:val="auto"/>
            </w:rPr>
            <w:fldChar w:fldCharType="separate"/>
          </w:r>
          <w:r>
            <w:rPr>
              <w:rFonts w:hint="eastAsia" w:ascii="黑体" w:hAnsi="黑体" w:eastAsia="黑体" w:cs="黑体"/>
              <w:color w:val="auto"/>
              <w:sz w:val="24"/>
              <w:szCs w:val="24"/>
            </w:rPr>
            <w:t>三、主要任务</w:t>
          </w:r>
          <w:r>
            <w:rPr>
              <w:color w:val="auto"/>
              <w:sz w:val="24"/>
              <w:szCs w:val="24"/>
            </w:rPr>
            <w:tab/>
          </w:r>
          <w:bookmarkStart w:id="13" w:name="_Toc28378_WPSOffice_Level1Page"/>
          <w:r>
            <w:rPr>
              <w:color w:val="auto"/>
              <w:sz w:val="24"/>
              <w:szCs w:val="24"/>
            </w:rPr>
            <w:t>9</w:t>
          </w:r>
          <w:bookmarkEnd w:id="13"/>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"_Toc14561_WPSOffice_Level2" </w:instrText>
          </w:r>
          <w:r>
            <w:rPr>
              <w:color w:val="auto"/>
            </w:rPr>
            <w:fldChar w:fldCharType="separate"/>
          </w:r>
          <w:r>
            <w:rPr>
              <w:rFonts w:hint="eastAsia" w:ascii="楷体" w:hAnsi="楷体" w:eastAsia="楷体" w:cs="楷体"/>
              <w:color w:val="auto"/>
              <w:sz w:val="24"/>
              <w:szCs w:val="24"/>
            </w:rPr>
            <w:t>（一）实施山区养老融合推进计划</w:t>
          </w:r>
          <w:r>
            <w:rPr>
              <w:color w:val="auto"/>
              <w:sz w:val="24"/>
              <w:szCs w:val="24"/>
            </w:rPr>
            <w:tab/>
          </w:r>
          <w:bookmarkStart w:id="14" w:name="_Toc14561_WPSOffice_Level2Page"/>
          <w:r>
            <w:rPr>
              <w:color w:val="auto"/>
              <w:sz w:val="24"/>
              <w:szCs w:val="24"/>
            </w:rPr>
            <w:t>9</w:t>
          </w:r>
          <w:bookmarkEnd w:id="14"/>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"_Toc14561_WPSOffice_Level3" </w:instrText>
          </w:r>
          <w:r>
            <w:rPr>
              <w:color w:val="auto"/>
            </w:rPr>
            <w:fldChar w:fldCharType="separate"/>
          </w:r>
          <w:r>
            <w:rPr>
              <w:rFonts w:hint="eastAsia" w:ascii="仿宋" w:hAnsi="仿宋" w:eastAsia="仿宋" w:cs="仿宋"/>
              <w:color w:val="auto"/>
              <w:sz w:val="24"/>
              <w:szCs w:val="24"/>
            </w:rPr>
            <w:t>1.健全政府、家庭和市场相融合的政策机制</w:t>
          </w:r>
          <w:r>
            <w:rPr>
              <w:color w:val="auto"/>
              <w:sz w:val="24"/>
              <w:szCs w:val="24"/>
            </w:rPr>
            <w:tab/>
          </w:r>
          <w:bookmarkStart w:id="15" w:name="_Toc14561_WPSOffice_Level3Page"/>
          <w:r>
            <w:rPr>
              <w:color w:val="auto"/>
              <w:sz w:val="24"/>
              <w:szCs w:val="24"/>
            </w:rPr>
            <w:t>9</w:t>
          </w:r>
          <w:bookmarkEnd w:id="15"/>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"_Toc12310_WPSOffice_Level3" </w:instrText>
          </w:r>
          <w:r>
            <w:rPr>
              <w:color w:val="auto"/>
            </w:rPr>
            <w:fldChar w:fldCharType="separate"/>
          </w:r>
          <w:r>
            <w:rPr>
              <w:rFonts w:hint="eastAsia" w:ascii="仿宋" w:hAnsi="仿宋" w:eastAsia="仿宋" w:cs="仿宋"/>
              <w:color w:val="auto"/>
              <w:sz w:val="24"/>
              <w:szCs w:val="24"/>
            </w:rPr>
            <w:t>2.完善居家、社区和机构相协调的服务网络</w:t>
          </w:r>
          <w:r>
            <w:rPr>
              <w:color w:val="auto"/>
              <w:sz w:val="24"/>
              <w:szCs w:val="24"/>
            </w:rPr>
            <w:tab/>
          </w:r>
          <w:bookmarkStart w:id="16" w:name="_Toc12310_WPSOffice_Level3Page"/>
          <w:r>
            <w:rPr>
              <w:color w:val="auto"/>
              <w:sz w:val="24"/>
              <w:szCs w:val="24"/>
            </w:rPr>
            <w:t>11</w:t>
          </w:r>
          <w:bookmarkEnd w:id="16"/>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"_Toc30813_WPSOffice_Level3" </w:instrText>
          </w:r>
          <w:r>
            <w:rPr>
              <w:color w:val="auto"/>
            </w:rPr>
            <w:fldChar w:fldCharType="separate"/>
          </w:r>
          <w:r>
            <w:rPr>
              <w:rFonts w:hint="eastAsia" w:ascii="仿宋" w:hAnsi="仿宋" w:eastAsia="仿宋" w:cs="仿宋"/>
              <w:color w:val="auto"/>
              <w:sz w:val="24"/>
              <w:szCs w:val="24"/>
            </w:rPr>
            <w:t>3.构建科技、人才和监管相依托的支撑体系</w:t>
          </w:r>
          <w:r>
            <w:rPr>
              <w:color w:val="auto"/>
              <w:sz w:val="24"/>
              <w:szCs w:val="24"/>
            </w:rPr>
            <w:tab/>
          </w:r>
          <w:bookmarkStart w:id="17" w:name="_Toc30813_WPSOffice_Level3Page"/>
          <w:r>
            <w:rPr>
              <w:color w:val="auto"/>
              <w:sz w:val="24"/>
              <w:szCs w:val="24"/>
            </w:rPr>
            <w:t>12</w:t>
          </w:r>
          <w:bookmarkEnd w:id="17"/>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"_Toc12310_WPSOffice_Level2" </w:instrText>
          </w:r>
          <w:r>
            <w:rPr>
              <w:color w:val="auto"/>
            </w:rPr>
            <w:fldChar w:fldCharType="separate"/>
          </w:r>
          <w:r>
            <w:rPr>
              <w:rFonts w:hint="eastAsia" w:ascii="楷体" w:hAnsi="楷体" w:eastAsia="楷体" w:cs="楷体"/>
              <w:color w:val="auto"/>
              <w:sz w:val="24"/>
              <w:szCs w:val="24"/>
            </w:rPr>
            <w:t>（二）实施社会救助精准保障计划</w:t>
          </w:r>
          <w:r>
            <w:rPr>
              <w:color w:val="auto"/>
              <w:sz w:val="24"/>
              <w:szCs w:val="24"/>
            </w:rPr>
            <w:tab/>
          </w:r>
          <w:bookmarkStart w:id="18" w:name="_Toc12310_WPSOffice_Level2Page"/>
          <w:r>
            <w:rPr>
              <w:color w:val="auto"/>
              <w:sz w:val="24"/>
              <w:szCs w:val="24"/>
            </w:rPr>
            <w:t>13</w:t>
          </w:r>
          <w:bookmarkEnd w:id="18"/>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"_Toc6403_WPSOffice_Level3" </w:instrText>
          </w:r>
          <w:r>
            <w:rPr>
              <w:color w:val="auto"/>
            </w:rPr>
            <w:fldChar w:fldCharType="separate"/>
          </w:r>
          <w:r>
            <w:rPr>
              <w:rFonts w:hint="eastAsia" w:ascii="仿宋" w:hAnsi="仿宋" w:eastAsia="仿宋" w:cs="仿宋"/>
              <w:color w:val="auto"/>
              <w:sz w:val="24"/>
              <w:szCs w:val="24"/>
            </w:rPr>
            <w:t>1.构建精准高效救助格局</w:t>
          </w:r>
          <w:r>
            <w:rPr>
              <w:color w:val="auto"/>
              <w:sz w:val="24"/>
              <w:szCs w:val="24"/>
            </w:rPr>
            <w:tab/>
          </w:r>
          <w:bookmarkStart w:id="19" w:name="_Toc6403_WPSOffice_Level3Page"/>
          <w:r>
            <w:rPr>
              <w:color w:val="auto"/>
              <w:sz w:val="24"/>
              <w:szCs w:val="24"/>
            </w:rPr>
            <w:t>14</w:t>
          </w:r>
          <w:bookmarkEnd w:id="19"/>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"_Toc273_WPSOffice_Level3" </w:instrText>
          </w:r>
          <w:r>
            <w:rPr>
              <w:color w:val="auto"/>
            </w:rPr>
            <w:fldChar w:fldCharType="separate"/>
          </w:r>
          <w:r>
            <w:rPr>
              <w:rFonts w:hint="eastAsia" w:ascii="仿宋" w:hAnsi="仿宋" w:eastAsia="仿宋" w:cs="仿宋"/>
              <w:color w:val="auto"/>
              <w:sz w:val="24"/>
              <w:szCs w:val="24"/>
            </w:rPr>
            <w:t>2.优化儿童福利关爱体系</w:t>
          </w:r>
          <w:r>
            <w:rPr>
              <w:color w:val="auto"/>
              <w:sz w:val="24"/>
              <w:szCs w:val="24"/>
            </w:rPr>
            <w:tab/>
          </w:r>
          <w:bookmarkStart w:id="20" w:name="_Toc273_WPSOffice_Level3Page"/>
          <w:r>
            <w:rPr>
              <w:color w:val="auto"/>
              <w:sz w:val="24"/>
              <w:szCs w:val="24"/>
            </w:rPr>
            <w:t>16</w:t>
          </w:r>
          <w:bookmarkEnd w:id="20"/>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"_Toc1944_WPSOffice_Level3" </w:instrText>
          </w:r>
          <w:r>
            <w:rPr>
              <w:color w:val="auto"/>
            </w:rPr>
            <w:fldChar w:fldCharType="separate"/>
          </w:r>
          <w:r>
            <w:rPr>
              <w:rFonts w:hint="eastAsia" w:ascii="仿宋" w:hAnsi="仿宋" w:eastAsia="仿宋" w:cs="仿宋"/>
              <w:color w:val="auto"/>
              <w:sz w:val="24"/>
              <w:szCs w:val="24"/>
            </w:rPr>
            <w:t>3.提升流浪乞讨救助水平</w:t>
          </w:r>
          <w:r>
            <w:rPr>
              <w:color w:val="auto"/>
              <w:sz w:val="24"/>
              <w:szCs w:val="24"/>
            </w:rPr>
            <w:tab/>
          </w:r>
          <w:bookmarkStart w:id="21" w:name="_Toc1944_WPSOffice_Level3Page"/>
          <w:r>
            <w:rPr>
              <w:color w:val="auto"/>
              <w:sz w:val="24"/>
              <w:szCs w:val="24"/>
            </w:rPr>
            <w:t>17</w:t>
          </w:r>
          <w:bookmarkEnd w:id="21"/>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"_Toc30813_WPSOffice_Level2" </w:instrText>
          </w:r>
          <w:r>
            <w:rPr>
              <w:color w:val="auto"/>
            </w:rPr>
            <w:fldChar w:fldCharType="separate"/>
          </w:r>
          <w:r>
            <w:rPr>
              <w:rFonts w:hint="eastAsia" w:ascii="楷体" w:hAnsi="楷体" w:eastAsia="楷体" w:cs="楷体"/>
              <w:color w:val="auto"/>
              <w:sz w:val="24"/>
              <w:szCs w:val="24"/>
            </w:rPr>
            <w:t>（三）实施社会治理活力焕发计划</w:t>
          </w:r>
          <w:r>
            <w:rPr>
              <w:color w:val="auto"/>
              <w:sz w:val="24"/>
              <w:szCs w:val="24"/>
            </w:rPr>
            <w:tab/>
          </w:r>
          <w:bookmarkStart w:id="22" w:name="_Toc30813_WPSOffice_Level2Page"/>
          <w:r>
            <w:rPr>
              <w:color w:val="auto"/>
              <w:sz w:val="24"/>
              <w:szCs w:val="24"/>
            </w:rPr>
            <w:t>18</w:t>
          </w:r>
          <w:bookmarkEnd w:id="22"/>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"_Toc8669_WPSOffice_Level3" </w:instrText>
          </w:r>
          <w:r>
            <w:rPr>
              <w:color w:val="auto"/>
            </w:rPr>
            <w:fldChar w:fldCharType="separate"/>
          </w:r>
          <w:r>
            <w:rPr>
              <w:rFonts w:hint="eastAsia" w:ascii="仿宋" w:hAnsi="仿宋" w:eastAsia="仿宋" w:cs="仿宋"/>
              <w:color w:val="auto"/>
              <w:sz w:val="24"/>
              <w:szCs w:val="24"/>
            </w:rPr>
            <w:t>1.全面提升城乡社区治理能力</w:t>
          </w:r>
          <w:r>
            <w:rPr>
              <w:color w:val="auto"/>
              <w:sz w:val="24"/>
              <w:szCs w:val="24"/>
            </w:rPr>
            <w:tab/>
          </w:r>
          <w:bookmarkStart w:id="23" w:name="_Toc8669_WPSOffice_Level3Page"/>
          <w:r>
            <w:rPr>
              <w:color w:val="auto"/>
              <w:sz w:val="24"/>
              <w:szCs w:val="24"/>
            </w:rPr>
            <w:t>18</w:t>
          </w:r>
          <w:bookmarkEnd w:id="23"/>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"_Toc19374_WPSOffice_Level3" </w:instrText>
          </w:r>
          <w:r>
            <w:rPr>
              <w:color w:val="auto"/>
            </w:rPr>
            <w:fldChar w:fldCharType="separate"/>
          </w:r>
          <w:r>
            <w:rPr>
              <w:rFonts w:hint="eastAsia" w:ascii="仿宋" w:hAnsi="仿宋" w:eastAsia="仿宋" w:cs="仿宋"/>
              <w:color w:val="auto"/>
              <w:sz w:val="24"/>
              <w:szCs w:val="24"/>
            </w:rPr>
            <w:t>2.有序推进社会组织健康发展</w:t>
          </w:r>
          <w:r>
            <w:rPr>
              <w:color w:val="auto"/>
              <w:sz w:val="24"/>
              <w:szCs w:val="24"/>
            </w:rPr>
            <w:tab/>
          </w:r>
          <w:bookmarkStart w:id="24" w:name="_Toc19374_WPSOffice_Level3Page"/>
          <w:r>
            <w:rPr>
              <w:color w:val="auto"/>
              <w:sz w:val="24"/>
              <w:szCs w:val="24"/>
            </w:rPr>
            <w:t>19</w:t>
          </w:r>
          <w:bookmarkEnd w:id="24"/>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"_Toc7629_WPSOffice_Level3" </w:instrText>
          </w:r>
          <w:r>
            <w:rPr>
              <w:color w:val="auto"/>
            </w:rPr>
            <w:fldChar w:fldCharType="separate"/>
          </w:r>
          <w:r>
            <w:rPr>
              <w:rFonts w:hint="eastAsia" w:ascii="仿宋" w:hAnsi="仿宋" w:eastAsia="仿宋" w:cs="仿宋"/>
              <w:color w:val="auto"/>
              <w:sz w:val="24"/>
              <w:szCs w:val="24"/>
            </w:rPr>
            <w:t>3.切实增强社会工作整体力量</w:t>
          </w:r>
          <w:r>
            <w:rPr>
              <w:color w:val="auto"/>
              <w:sz w:val="24"/>
              <w:szCs w:val="24"/>
            </w:rPr>
            <w:tab/>
          </w:r>
          <w:bookmarkStart w:id="25" w:name="_Toc7629_WPSOffice_Level3Page"/>
          <w:r>
            <w:rPr>
              <w:color w:val="auto"/>
              <w:sz w:val="24"/>
              <w:szCs w:val="24"/>
            </w:rPr>
            <w:t>21</w:t>
          </w:r>
          <w:bookmarkEnd w:id="25"/>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"_Toc19563_WPSOffice_Level3" </w:instrText>
          </w:r>
          <w:r>
            <w:rPr>
              <w:color w:val="auto"/>
            </w:rPr>
            <w:fldChar w:fldCharType="separate"/>
          </w:r>
          <w:r>
            <w:rPr>
              <w:rFonts w:hint="eastAsia" w:ascii="仿宋" w:hAnsi="仿宋" w:eastAsia="仿宋" w:cs="仿宋"/>
              <w:color w:val="auto"/>
              <w:sz w:val="24"/>
              <w:szCs w:val="24"/>
            </w:rPr>
            <w:t>4.大力促进慈善事业惠民利民</w:t>
          </w:r>
          <w:r>
            <w:rPr>
              <w:color w:val="auto"/>
              <w:sz w:val="24"/>
              <w:szCs w:val="24"/>
            </w:rPr>
            <w:tab/>
          </w:r>
          <w:bookmarkStart w:id="26" w:name="_Toc19563_WPSOffice_Level3Page"/>
          <w:r>
            <w:rPr>
              <w:color w:val="auto"/>
              <w:sz w:val="24"/>
              <w:szCs w:val="24"/>
            </w:rPr>
            <w:t>21</w:t>
          </w:r>
          <w:bookmarkEnd w:id="26"/>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"_Toc6403_WPSOffice_Level2" </w:instrText>
          </w:r>
          <w:r>
            <w:rPr>
              <w:color w:val="auto"/>
            </w:rPr>
            <w:fldChar w:fldCharType="separate"/>
          </w:r>
          <w:r>
            <w:rPr>
              <w:rFonts w:hint="eastAsia" w:ascii="楷体" w:hAnsi="楷体" w:eastAsia="楷体" w:cs="楷体"/>
              <w:color w:val="auto"/>
              <w:sz w:val="24"/>
              <w:szCs w:val="24"/>
            </w:rPr>
            <w:t>（四）实施专项事务暖心服务计划</w:t>
          </w:r>
          <w:r>
            <w:rPr>
              <w:color w:val="auto"/>
              <w:sz w:val="24"/>
              <w:szCs w:val="24"/>
            </w:rPr>
            <w:tab/>
          </w:r>
          <w:bookmarkStart w:id="27" w:name="_Toc6403_WPSOffice_Level2Page"/>
          <w:r>
            <w:rPr>
              <w:color w:val="auto"/>
              <w:sz w:val="24"/>
              <w:szCs w:val="24"/>
            </w:rPr>
            <w:t>22</w:t>
          </w:r>
          <w:bookmarkEnd w:id="27"/>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"_Toc22157_WPSOffice_Level3" </w:instrText>
          </w:r>
          <w:r>
            <w:rPr>
              <w:color w:val="auto"/>
            </w:rPr>
            <w:fldChar w:fldCharType="separate"/>
          </w:r>
          <w:r>
            <w:rPr>
              <w:rFonts w:hint="eastAsia" w:ascii="仿宋" w:hAnsi="仿宋" w:eastAsia="仿宋" w:cs="仿宋"/>
              <w:color w:val="auto"/>
              <w:sz w:val="24"/>
              <w:szCs w:val="24"/>
            </w:rPr>
            <w:t>1.加强区划地名管理</w:t>
          </w:r>
          <w:r>
            <w:rPr>
              <w:color w:val="auto"/>
              <w:sz w:val="24"/>
              <w:szCs w:val="24"/>
            </w:rPr>
            <w:tab/>
          </w:r>
          <w:bookmarkStart w:id="28" w:name="_Toc22157_WPSOffice_Level3Page"/>
          <w:r>
            <w:rPr>
              <w:color w:val="auto"/>
              <w:sz w:val="24"/>
              <w:szCs w:val="24"/>
            </w:rPr>
            <w:t>22</w:t>
          </w:r>
          <w:bookmarkEnd w:id="28"/>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"_Toc10086_WPSOffice_Level3" </w:instrText>
          </w:r>
          <w:r>
            <w:rPr>
              <w:color w:val="auto"/>
            </w:rPr>
            <w:fldChar w:fldCharType="separate"/>
          </w:r>
          <w:r>
            <w:rPr>
              <w:rFonts w:hint="eastAsia" w:ascii="仿宋" w:hAnsi="仿宋" w:eastAsia="仿宋" w:cs="仿宋"/>
              <w:color w:val="auto"/>
              <w:sz w:val="24"/>
              <w:szCs w:val="24"/>
            </w:rPr>
            <w:t>2.提升婚姻登记服务</w:t>
          </w:r>
          <w:r>
            <w:rPr>
              <w:color w:val="auto"/>
              <w:sz w:val="24"/>
              <w:szCs w:val="24"/>
            </w:rPr>
            <w:tab/>
          </w:r>
          <w:bookmarkStart w:id="29" w:name="_Toc10086_WPSOffice_Level3Page"/>
          <w:r>
            <w:rPr>
              <w:color w:val="auto"/>
              <w:sz w:val="24"/>
              <w:szCs w:val="24"/>
            </w:rPr>
            <w:t>23</w:t>
          </w:r>
          <w:bookmarkEnd w:id="29"/>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"_Toc5004_WPSOffice_Level3" </w:instrText>
          </w:r>
          <w:r>
            <w:rPr>
              <w:color w:val="auto"/>
            </w:rPr>
            <w:fldChar w:fldCharType="separate"/>
          </w:r>
          <w:r>
            <w:rPr>
              <w:rFonts w:hint="eastAsia" w:ascii="仿宋" w:hAnsi="仿宋" w:eastAsia="仿宋" w:cs="仿宋"/>
              <w:color w:val="auto"/>
              <w:sz w:val="24"/>
              <w:szCs w:val="24"/>
            </w:rPr>
            <w:t>3.优化殡葬管理和服务</w:t>
          </w:r>
          <w:r>
            <w:rPr>
              <w:color w:val="auto"/>
              <w:sz w:val="24"/>
              <w:szCs w:val="24"/>
            </w:rPr>
            <w:tab/>
          </w:r>
          <w:bookmarkStart w:id="30" w:name="_Toc5004_WPSOffice_Level3Page"/>
          <w:r>
            <w:rPr>
              <w:color w:val="auto"/>
              <w:sz w:val="24"/>
              <w:szCs w:val="24"/>
            </w:rPr>
            <w:t>23</w:t>
          </w:r>
          <w:bookmarkEnd w:id="30"/>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"_Toc273_WPSOffice_Level2" </w:instrText>
          </w:r>
          <w:r>
            <w:rPr>
              <w:color w:val="auto"/>
            </w:rPr>
            <w:fldChar w:fldCharType="separate"/>
          </w:r>
          <w:r>
            <w:rPr>
              <w:rFonts w:hint="eastAsia" w:ascii="楷体" w:hAnsi="楷体" w:eastAsia="楷体" w:cs="楷体"/>
              <w:color w:val="auto"/>
              <w:sz w:val="24"/>
              <w:szCs w:val="24"/>
            </w:rPr>
            <w:t>（五）实施数字赋能保障支撑计划</w:t>
          </w:r>
          <w:r>
            <w:rPr>
              <w:color w:val="auto"/>
              <w:sz w:val="24"/>
              <w:szCs w:val="24"/>
            </w:rPr>
            <w:tab/>
          </w:r>
          <w:bookmarkStart w:id="31" w:name="_Toc273_WPSOffice_Level2Page"/>
          <w:r>
            <w:rPr>
              <w:color w:val="auto"/>
              <w:sz w:val="24"/>
              <w:szCs w:val="24"/>
            </w:rPr>
            <w:t>24</w:t>
          </w:r>
          <w:bookmarkEnd w:id="31"/>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"_Toc28092_WPSOffice_Level3" </w:instrText>
          </w:r>
          <w:r>
            <w:rPr>
              <w:color w:val="auto"/>
            </w:rPr>
            <w:fldChar w:fldCharType="separate"/>
          </w:r>
          <w:r>
            <w:rPr>
              <w:rFonts w:hint="eastAsia" w:ascii="仿宋" w:hAnsi="仿宋" w:eastAsia="仿宋" w:cs="仿宋"/>
              <w:color w:val="auto"/>
              <w:sz w:val="24"/>
              <w:szCs w:val="24"/>
            </w:rPr>
            <w:t>1.“省建系统+个性应用”推动民政智能体系建设</w:t>
          </w:r>
          <w:r>
            <w:rPr>
              <w:color w:val="auto"/>
              <w:sz w:val="24"/>
              <w:szCs w:val="24"/>
            </w:rPr>
            <w:tab/>
          </w:r>
          <w:bookmarkStart w:id="32" w:name="_Toc28092_WPSOffice_Level3Page"/>
          <w:r>
            <w:rPr>
              <w:color w:val="auto"/>
              <w:sz w:val="24"/>
              <w:szCs w:val="24"/>
            </w:rPr>
            <w:t>25</w:t>
          </w:r>
          <w:bookmarkEnd w:id="32"/>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"_Toc4915_WPSOffice_Level3" </w:instrText>
          </w:r>
          <w:r>
            <w:rPr>
              <w:color w:val="auto"/>
            </w:rPr>
            <w:fldChar w:fldCharType="separate"/>
          </w:r>
          <w:r>
            <w:rPr>
              <w:rFonts w:hint="eastAsia" w:ascii="仿宋" w:hAnsi="仿宋" w:eastAsia="仿宋" w:cs="仿宋"/>
              <w:color w:val="auto"/>
              <w:sz w:val="24"/>
              <w:szCs w:val="24"/>
            </w:rPr>
            <w:t>2.“码上办+政务服务”推动民政服务迭代升级</w:t>
          </w:r>
          <w:r>
            <w:rPr>
              <w:color w:val="auto"/>
              <w:sz w:val="24"/>
              <w:szCs w:val="24"/>
            </w:rPr>
            <w:tab/>
          </w:r>
          <w:bookmarkStart w:id="33" w:name="_Toc4915_WPSOffice_Level3Page"/>
          <w:r>
            <w:rPr>
              <w:color w:val="auto"/>
              <w:sz w:val="24"/>
              <w:szCs w:val="24"/>
            </w:rPr>
            <w:t>25</w:t>
          </w:r>
          <w:bookmarkEnd w:id="33"/>
          <w:r>
            <w:rPr>
              <w:color w:val="auto"/>
              <w:sz w:val="24"/>
              <w:szCs w:val="24"/>
            </w:rPr>
            <w:fldChar w:fldCharType="end"/>
          </w:r>
        </w:p>
        <w:p>
          <w:pPr>
            <w:pStyle w:val="32"/>
            <w:tabs>
              <w:tab w:val="right" w:leader="dot" w:pos="8306"/>
            </w:tabs>
            <w:spacing w:line="540" w:lineRule="exact"/>
            <w:ind w:left="840"/>
            <w:rPr>
              <w:color w:val="auto"/>
              <w:sz w:val="24"/>
              <w:szCs w:val="24"/>
            </w:rPr>
          </w:pPr>
          <w:r>
            <w:rPr>
              <w:color w:val="auto"/>
            </w:rPr>
            <w:fldChar w:fldCharType="begin"/>
          </w:r>
          <w:r>
            <w:rPr>
              <w:color w:val="auto"/>
            </w:rPr>
            <w:instrText xml:space="preserve"> HYPERLINK \l "_Toc5867_WPSOffice_Level3" </w:instrText>
          </w:r>
          <w:r>
            <w:rPr>
              <w:color w:val="auto"/>
            </w:rPr>
            <w:fldChar w:fldCharType="separate"/>
          </w:r>
          <w:r>
            <w:rPr>
              <w:rFonts w:hint="eastAsia" w:ascii="仿宋" w:hAnsi="仿宋" w:eastAsia="仿宋" w:cs="仿宋"/>
              <w:color w:val="auto"/>
              <w:sz w:val="24"/>
              <w:szCs w:val="24"/>
            </w:rPr>
            <w:t>3.“数源提升+数据共享”推动多领域数据融合</w:t>
          </w:r>
          <w:r>
            <w:rPr>
              <w:color w:val="auto"/>
              <w:sz w:val="24"/>
              <w:szCs w:val="24"/>
            </w:rPr>
            <w:tab/>
          </w:r>
          <w:bookmarkStart w:id="34" w:name="_Toc5867_WPSOffice_Level3Page"/>
          <w:r>
            <w:rPr>
              <w:color w:val="auto"/>
              <w:sz w:val="24"/>
              <w:szCs w:val="24"/>
            </w:rPr>
            <w:t>25</w:t>
          </w:r>
          <w:bookmarkEnd w:id="34"/>
          <w:r>
            <w:rPr>
              <w:color w:val="auto"/>
              <w:sz w:val="24"/>
              <w:szCs w:val="24"/>
            </w:rPr>
            <w:fldChar w:fldCharType="end"/>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"_Toc10620_WPSOffice_Level1" </w:instrText>
          </w:r>
          <w:r>
            <w:rPr>
              <w:color w:val="auto"/>
            </w:rPr>
            <w:fldChar w:fldCharType="separate"/>
          </w:r>
          <w:r>
            <w:rPr>
              <w:rFonts w:hint="eastAsia" w:ascii="黑体" w:hAnsi="黑体" w:eastAsia="黑体" w:cs="黑体"/>
              <w:color w:val="auto"/>
              <w:sz w:val="24"/>
              <w:szCs w:val="24"/>
            </w:rPr>
            <w:t>四、保障措施</w:t>
          </w:r>
          <w:r>
            <w:rPr>
              <w:color w:val="auto"/>
              <w:sz w:val="24"/>
              <w:szCs w:val="24"/>
            </w:rPr>
            <w:tab/>
          </w:r>
          <w:bookmarkStart w:id="35" w:name="_Toc10620_WPSOffice_Level1Page"/>
          <w:r>
            <w:rPr>
              <w:color w:val="auto"/>
              <w:sz w:val="24"/>
              <w:szCs w:val="24"/>
            </w:rPr>
            <w:t>26</w:t>
          </w:r>
          <w:bookmarkEnd w:id="35"/>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"_Toc1944_WPSOffice_Level2" </w:instrText>
          </w:r>
          <w:r>
            <w:rPr>
              <w:color w:val="auto"/>
            </w:rPr>
            <w:fldChar w:fldCharType="separate"/>
          </w:r>
          <w:r>
            <w:rPr>
              <w:rFonts w:hint="eastAsia" w:ascii="楷体" w:hAnsi="楷体" w:eastAsia="楷体" w:cs="楷体"/>
              <w:color w:val="auto"/>
              <w:sz w:val="24"/>
              <w:szCs w:val="24"/>
            </w:rPr>
            <w:t>（一）坚持党的全面领导</w:t>
          </w:r>
          <w:r>
            <w:rPr>
              <w:color w:val="auto"/>
              <w:sz w:val="24"/>
              <w:szCs w:val="24"/>
            </w:rPr>
            <w:tab/>
          </w:r>
          <w:bookmarkStart w:id="36" w:name="_Toc1944_WPSOffice_Level2Page"/>
          <w:r>
            <w:rPr>
              <w:color w:val="auto"/>
              <w:sz w:val="24"/>
              <w:szCs w:val="24"/>
            </w:rPr>
            <w:t>26</w:t>
          </w:r>
          <w:bookmarkEnd w:id="36"/>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"_Toc8669_WPSOffice_Level2" </w:instrText>
          </w:r>
          <w:r>
            <w:rPr>
              <w:color w:val="auto"/>
            </w:rPr>
            <w:fldChar w:fldCharType="separate"/>
          </w:r>
          <w:r>
            <w:rPr>
              <w:rFonts w:hint="eastAsia" w:ascii="楷体" w:hAnsi="楷体" w:eastAsia="楷体" w:cs="楷体"/>
              <w:color w:val="auto"/>
              <w:sz w:val="24"/>
              <w:szCs w:val="24"/>
            </w:rPr>
            <w:t>（二）提高民政法治水平</w:t>
          </w:r>
          <w:r>
            <w:rPr>
              <w:color w:val="auto"/>
              <w:sz w:val="24"/>
              <w:szCs w:val="24"/>
            </w:rPr>
            <w:tab/>
          </w:r>
          <w:bookmarkStart w:id="37" w:name="_Toc8669_WPSOffice_Level2Page"/>
          <w:r>
            <w:rPr>
              <w:color w:val="auto"/>
              <w:sz w:val="24"/>
              <w:szCs w:val="24"/>
            </w:rPr>
            <w:t>26</w:t>
          </w:r>
          <w:bookmarkEnd w:id="37"/>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"_Toc19374_WPSOffice_Level2" </w:instrText>
          </w:r>
          <w:r>
            <w:rPr>
              <w:color w:val="auto"/>
            </w:rPr>
            <w:fldChar w:fldCharType="separate"/>
          </w:r>
          <w:r>
            <w:rPr>
              <w:rFonts w:hint="eastAsia" w:ascii="楷体" w:hAnsi="楷体" w:eastAsia="楷体" w:cs="楷体"/>
              <w:color w:val="auto"/>
              <w:sz w:val="24"/>
              <w:szCs w:val="24"/>
            </w:rPr>
            <w:t>（三）强化资源要素保障</w:t>
          </w:r>
          <w:r>
            <w:rPr>
              <w:color w:val="auto"/>
              <w:sz w:val="24"/>
              <w:szCs w:val="24"/>
            </w:rPr>
            <w:tab/>
          </w:r>
          <w:bookmarkStart w:id="38" w:name="_Toc19374_WPSOffice_Level2Page"/>
          <w:r>
            <w:rPr>
              <w:color w:val="auto"/>
              <w:sz w:val="24"/>
              <w:szCs w:val="24"/>
            </w:rPr>
            <w:t>27</w:t>
          </w:r>
          <w:bookmarkEnd w:id="38"/>
          <w:r>
            <w:rPr>
              <w:color w:val="auto"/>
              <w:sz w:val="24"/>
              <w:szCs w:val="24"/>
            </w:rPr>
            <w:fldChar w:fldCharType="end"/>
          </w:r>
        </w:p>
        <w:p>
          <w:pPr>
            <w:pStyle w:val="31"/>
            <w:tabs>
              <w:tab w:val="right" w:leader="dot" w:pos="8306"/>
            </w:tabs>
            <w:spacing w:line="540" w:lineRule="exact"/>
            <w:ind w:left="420"/>
            <w:rPr>
              <w:color w:val="auto"/>
              <w:sz w:val="24"/>
              <w:szCs w:val="24"/>
            </w:rPr>
          </w:pPr>
          <w:r>
            <w:rPr>
              <w:color w:val="auto"/>
            </w:rPr>
            <w:fldChar w:fldCharType="begin"/>
          </w:r>
          <w:r>
            <w:rPr>
              <w:color w:val="auto"/>
            </w:rPr>
            <w:instrText xml:space="preserve"> HYPERLINK \l "_Toc7629_WPSOffice_Level2" </w:instrText>
          </w:r>
          <w:r>
            <w:rPr>
              <w:color w:val="auto"/>
            </w:rPr>
            <w:fldChar w:fldCharType="separate"/>
          </w:r>
          <w:r>
            <w:rPr>
              <w:rFonts w:hint="eastAsia" w:ascii="楷体" w:hAnsi="楷体" w:eastAsia="楷体" w:cs="楷体"/>
              <w:color w:val="auto"/>
              <w:sz w:val="24"/>
              <w:szCs w:val="24"/>
            </w:rPr>
            <w:t>（四）加强规划监测评估</w:t>
          </w:r>
          <w:r>
            <w:rPr>
              <w:color w:val="auto"/>
              <w:sz w:val="24"/>
              <w:szCs w:val="24"/>
            </w:rPr>
            <w:tab/>
          </w:r>
          <w:bookmarkStart w:id="39" w:name="_Toc7629_WPSOffice_Level2Page"/>
          <w:r>
            <w:rPr>
              <w:color w:val="auto"/>
              <w:sz w:val="24"/>
              <w:szCs w:val="24"/>
            </w:rPr>
            <w:t>27</w:t>
          </w:r>
          <w:bookmarkEnd w:id="39"/>
          <w:r>
            <w:rPr>
              <w:color w:val="auto"/>
              <w:sz w:val="24"/>
              <w:szCs w:val="24"/>
            </w:rPr>
            <w:fldChar w:fldCharType="end"/>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"_Toc19957_WPSOffice_Level1" </w:instrText>
          </w:r>
          <w:r>
            <w:rPr>
              <w:color w:val="auto"/>
            </w:rPr>
            <w:fldChar w:fldCharType="separate"/>
          </w:r>
          <w:r>
            <w:rPr>
              <w:rFonts w:ascii="仿宋" w:hAnsi="仿宋" w:eastAsia="仿宋" w:cs="仿宋"/>
              <w:color w:val="auto"/>
              <w:sz w:val="24"/>
              <w:szCs w:val="24"/>
            </w:rPr>
            <w:t>附件</w:t>
          </w:r>
          <w:r>
            <w:rPr>
              <w:rFonts w:hint="eastAsia" w:ascii="仿宋" w:hAnsi="仿宋" w:eastAsia="仿宋" w:cs="仿宋"/>
              <w:color w:val="auto"/>
              <w:sz w:val="24"/>
              <w:szCs w:val="24"/>
            </w:rPr>
            <w:t>1：名词解释</w:t>
          </w:r>
          <w:r>
            <w:rPr>
              <w:color w:val="auto"/>
              <w:sz w:val="24"/>
              <w:szCs w:val="24"/>
            </w:rPr>
            <w:tab/>
          </w:r>
          <w:bookmarkStart w:id="40" w:name="_Toc19957_WPSOffice_Level1Page"/>
          <w:r>
            <w:rPr>
              <w:color w:val="auto"/>
              <w:sz w:val="24"/>
              <w:szCs w:val="24"/>
            </w:rPr>
            <w:t>2</w:t>
          </w:r>
          <w:bookmarkEnd w:id="40"/>
          <w:r>
            <w:rPr>
              <w:rFonts w:hint="eastAsia"/>
              <w:color w:val="auto"/>
              <w:sz w:val="24"/>
              <w:szCs w:val="24"/>
            </w:rPr>
            <w:t>9</w:t>
          </w:r>
          <w:r>
            <w:rPr>
              <w:rFonts w:hint="eastAsia"/>
              <w:color w:val="auto"/>
              <w:sz w:val="24"/>
              <w:szCs w:val="24"/>
            </w:rPr>
            <w:fldChar w:fldCharType="end"/>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"_Toc6044_WPSOffice_Level1" </w:instrText>
          </w:r>
          <w:r>
            <w:rPr>
              <w:color w:val="auto"/>
            </w:rPr>
            <w:fldChar w:fldCharType="separate"/>
          </w:r>
          <w:r>
            <w:rPr>
              <w:rFonts w:ascii="仿宋" w:hAnsi="仿宋" w:eastAsia="仿宋" w:cs="仿宋"/>
              <w:color w:val="auto"/>
              <w:sz w:val="24"/>
              <w:szCs w:val="24"/>
            </w:rPr>
            <w:t>附件</w:t>
          </w:r>
          <w:r>
            <w:rPr>
              <w:rFonts w:hint="eastAsia" w:ascii="仿宋" w:hAnsi="仿宋" w:eastAsia="仿宋" w:cs="仿宋"/>
              <w:color w:val="auto"/>
              <w:sz w:val="24"/>
              <w:szCs w:val="24"/>
            </w:rPr>
            <w:t>2：丽水市“十四五”时期民政事业发展政策</w:t>
          </w:r>
          <w:r>
            <w:rPr>
              <w:color w:val="auto"/>
              <w:sz w:val="24"/>
              <w:szCs w:val="24"/>
            </w:rPr>
            <w:tab/>
          </w:r>
          <w:r>
            <w:rPr>
              <w:rFonts w:hint="eastAsia"/>
              <w:color w:val="auto"/>
              <w:sz w:val="24"/>
              <w:szCs w:val="24"/>
            </w:rPr>
            <w:t>3</w:t>
          </w:r>
          <w:r>
            <w:rPr>
              <w:rFonts w:hint="eastAsia"/>
              <w:color w:val="auto"/>
              <w:sz w:val="24"/>
              <w:szCs w:val="24"/>
            </w:rPr>
            <w:fldChar w:fldCharType="end"/>
          </w:r>
          <w:r>
            <w:rPr>
              <w:rFonts w:hint="eastAsia"/>
              <w:color w:val="auto"/>
              <w:sz w:val="24"/>
              <w:szCs w:val="24"/>
            </w:rPr>
            <w:t>1</w:t>
          </w:r>
        </w:p>
        <w:p>
          <w:pPr>
            <w:pStyle w:val="30"/>
            <w:tabs>
              <w:tab w:val="right" w:leader="dot" w:pos="8306"/>
            </w:tabs>
            <w:spacing w:line="540" w:lineRule="exact"/>
            <w:rPr>
              <w:color w:val="auto"/>
              <w:sz w:val="24"/>
              <w:szCs w:val="24"/>
            </w:rPr>
          </w:pPr>
          <w:r>
            <w:rPr>
              <w:rFonts w:ascii="仿宋" w:hAnsi="仿宋" w:eastAsia="仿宋" w:cs="仿宋"/>
              <w:color w:val="auto"/>
              <w:sz w:val="24"/>
              <w:szCs w:val="24"/>
            </w:rPr>
            <w:t>附件</w:t>
          </w:r>
          <w:r>
            <w:rPr>
              <w:rFonts w:hint="eastAsia" w:ascii="仿宋" w:hAnsi="仿宋" w:eastAsia="仿宋" w:cs="仿宋"/>
              <w:color w:val="auto"/>
              <w:sz w:val="24"/>
              <w:szCs w:val="24"/>
            </w:rPr>
            <w:t>3：</w:t>
          </w:r>
          <w:r>
            <w:rPr>
              <w:color w:val="auto"/>
            </w:rPr>
            <w:fldChar w:fldCharType="begin"/>
          </w:r>
          <w:r>
            <w:rPr>
              <w:color w:val="auto"/>
            </w:rPr>
            <w:instrText xml:space="preserve"> HYPERLINK \l "_Toc14561_WPSOffice_Level1" </w:instrText>
          </w:r>
          <w:r>
            <w:rPr>
              <w:color w:val="auto"/>
            </w:rPr>
            <w:fldChar w:fldCharType="separate"/>
          </w:r>
          <w:r>
            <w:rPr>
              <w:rFonts w:hint="eastAsia" w:ascii="仿宋" w:hAnsi="仿宋" w:eastAsia="仿宋" w:cs="仿宋"/>
              <w:color w:val="auto"/>
              <w:sz w:val="24"/>
              <w:szCs w:val="24"/>
            </w:rPr>
            <w:t>丽水市“十四五”时期民政事业发展机制</w:t>
          </w:r>
          <w:r>
            <w:rPr>
              <w:color w:val="auto"/>
              <w:sz w:val="24"/>
              <w:szCs w:val="24"/>
            </w:rPr>
            <w:tab/>
          </w:r>
          <w:r>
            <w:rPr>
              <w:rFonts w:hint="eastAsia"/>
              <w:color w:val="auto"/>
              <w:sz w:val="24"/>
              <w:szCs w:val="24"/>
            </w:rPr>
            <w:t>3</w:t>
          </w:r>
          <w:r>
            <w:rPr>
              <w:rFonts w:hint="eastAsia"/>
              <w:color w:val="auto"/>
              <w:sz w:val="24"/>
              <w:szCs w:val="24"/>
            </w:rPr>
            <w:fldChar w:fldCharType="end"/>
          </w:r>
          <w:r>
            <w:rPr>
              <w:rFonts w:hint="eastAsia"/>
              <w:color w:val="auto"/>
              <w:sz w:val="24"/>
              <w:szCs w:val="24"/>
            </w:rPr>
            <w:t>3</w:t>
          </w:r>
        </w:p>
        <w:p>
          <w:pPr>
            <w:pStyle w:val="30"/>
            <w:tabs>
              <w:tab w:val="right" w:leader="dot" w:pos="8306"/>
            </w:tabs>
            <w:spacing w:line="540" w:lineRule="exact"/>
            <w:rPr>
              <w:color w:val="auto"/>
              <w:sz w:val="24"/>
              <w:szCs w:val="24"/>
            </w:rPr>
          </w:pPr>
          <w:r>
            <w:rPr>
              <w:color w:val="auto"/>
            </w:rPr>
            <w:fldChar w:fldCharType="begin"/>
          </w:r>
          <w:r>
            <w:rPr>
              <w:color w:val="auto"/>
            </w:rPr>
            <w:instrText xml:space="preserve"> HYPERLINK \l "_Toc12310_WPSOffice_Level1" </w:instrText>
          </w:r>
          <w:r>
            <w:rPr>
              <w:color w:val="auto"/>
            </w:rPr>
            <w:fldChar w:fldCharType="separate"/>
          </w:r>
          <w:r>
            <w:rPr>
              <w:rFonts w:ascii="仿宋" w:hAnsi="仿宋" w:eastAsia="仿宋" w:cs="仿宋"/>
              <w:color w:val="auto"/>
              <w:sz w:val="24"/>
              <w:szCs w:val="24"/>
            </w:rPr>
            <w:t>附件</w:t>
          </w:r>
          <w:r>
            <w:rPr>
              <w:rFonts w:hint="eastAsia" w:ascii="仿宋" w:hAnsi="仿宋" w:eastAsia="仿宋" w:cs="仿宋"/>
              <w:color w:val="auto"/>
              <w:sz w:val="24"/>
              <w:szCs w:val="24"/>
            </w:rPr>
            <w:t>4：丽水市“十四五”时期民政事业发展工程</w:t>
          </w:r>
          <w:r>
            <w:rPr>
              <w:color w:val="auto"/>
              <w:sz w:val="24"/>
              <w:szCs w:val="24"/>
            </w:rPr>
            <w:tab/>
          </w:r>
          <w:r>
            <w:rPr>
              <w:rFonts w:hint="eastAsia"/>
              <w:color w:val="auto"/>
              <w:sz w:val="24"/>
              <w:szCs w:val="24"/>
            </w:rPr>
            <w:t>3</w:t>
          </w:r>
          <w:r>
            <w:rPr>
              <w:rFonts w:hint="eastAsia"/>
              <w:color w:val="auto"/>
              <w:sz w:val="24"/>
              <w:szCs w:val="24"/>
            </w:rPr>
            <w:fldChar w:fldCharType="end"/>
          </w:r>
          <w:r>
            <w:rPr>
              <w:rFonts w:hint="eastAsia"/>
              <w:color w:val="auto"/>
              <w:sz w:val="24"/>
              <w:szCs w:val="24"/>
            </w:rPr>
            <w:t>5</w:t>
          </w:r>
        </w:p>
        <w:p>
          <w:pPr>
            <w:widowControl/>
            <w:adjustRightInd w:val="0"/>
            <w:snapToGrid w:val="0"/>
            <w:spacing w:line="540" w:lineRule="exact"/>
            <w:ind w:firstLine="420" w:firstLineChars="200"/>
            <w:jc w:val="left"/>
            <w:rPr>
              <w:rFonts w:ascii="仿宋" w:hAnsi="仿宋" w:eastAsia="仿宋" w:cs="仿宋"/>
              <w:color w:val="auto"/>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sdtContent>
    </w:sdt>
    <w:bookmarkEnd w:id="0"/>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为全面深入推进丽水市民政事业高质量发展，依据《</w:t>
      </w:r>
      <w:r>
        <w:rPr>
          <w:rFonts w:ascii="仿宋" w:hAnsi="仿宋" w:eastAsia="仿宋" w:cs="仿宋"/>
          <w:color w:val="auto"/>
          <w:sz w:val="32"/>
          <w:szCs w:val="32"/>
        </w:rPr>
        <w:t>中华人民共和国国民经济和社会发展第十四个五年规划和2035年远景目标纲要</w:t>
      </w:r>
      <w:r>
        <w:rPr>
          <w:rFonts w:hint="eastAsia" w:ascii="仿宋" w:hAnsi="仿宋" w:eastAsia="仿宋" w:cs="仿宋"/>
          <w:color w:val="auto"/>
          <w:sz w:val="32"/>
          <w:szCs w:val="32"/>
        </w:rPr>
        <w:t>》《国务院关于新时代支持革命老区振兴发展的意见》《浙江省民政事业发展“十四五”规划》和《丽水市国民经济和社会发展第十四个五年规划和二〇三五远景目标纲要》，制定本规划。</w:t>
      </w:r>
    </w:p>
    <w:p>
      <w:pPr>
        <w:spacing w:line="540" w:lineRule="exact"/>
        <w:ind w:firstLine="640" w:firstLineChars="200"/>
        <w:outlineLvl w:val="1"/>
        <w:rPr>
          <w:rFonts w:ascii="黑体" w:hAnsi="黑体" w:eastAsia="黑体" w:cs="黑体"/>
          <w:color w:val="auto"/>
          <w:sz w:val="32"/>
          <w:szCs w:val="32"/>
        </w:rPr>
      </w:pPr>
      <w:bookmarkStart w:id="41" w:name="_Toc6751_WPSOffice_Level1"/>
      <w:r>
        <w:rPr>
          <w:rFonts w:hint="eastAsia" w:ascii="黑体" w:hAnsi="黑体" w:eastAsia="黑体" w:cs="黑体"/>
          <w:color w:val="auto"/>
          <w:sz w:val="32"/>
          <w:szCs w:val="32"/>
        </w:rPr>
        <w:t>一、规划背景</w:t>
      </w:r>
      <w:bookmarkEnd w:id="41"/>
    </w:p>
    <w:p>
      <w:pPr>
        <w:spacing w:line="540" w:lineRule="exact"/>
        <w:ind w:firstLine="643" w:firstLineChars="200"/>
        <w:outlineLvl w:val="1"/>
        <w:rPr>
          <w:rFonts w:ascii="楷体" w:hAnsi="楷体" w:eastAsia="楷体" w:cs="楷体"/>
          <w:b/>
          <w:color w:val="auto"/>
          <w:sz w:val="32"/>
          <w:szCs w:val="32"/>
        </w:rPr>
      </w:pPr>
      <w:bookmarkStart w:id="42" w:name="_Toc2901_WPSOffice_Level2"/>
      <w:r>
        <w:rPr>
          <w:rFonts w:hint="eastAsia" w:ascii="楷体" w:hAnsi="楷体" w:eastAsia="楷体" w:cs="楷体"/>
          <w:b/>
          <w:color w:val="auto"/>
          <w:sz w:val="32"/>
          <w:szCs w:val="32"/>
        </w:rPr>
        <w:t>（一）“十三五”取得的成就</w:t>
      </w:r>
      <w:bookmarkEnd w:id="42"/>
    </w:p>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市民政系统在市委、市政府的正确领导和省民政厅的精心指导下，围绕中心，服务大局，全面履行基本民生保障、基层社会治理和基本社会服务职责，进一步提升民政事业现代化服务保障水平，为丽水经济社会发展做出了积极贡献。</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养老服务发展成效明显。</w:t>
      </w:r>
      <w:r>
        <w:rPr>
          <w:rFonts w:hint="eastAsia" w:ascii="仿宋" w:hAnsi="仿宋" w:eastAsia="仿宋" w:cs="仿宋"/>
          <w:color w:val="auto"/>
          <w:sz w:val="32"/>
          <w:szCs w:val="32"/>
        </w:rPr>
        <w:t>成功入选全国第四批居家和社区养老服务综合改革试点并通过验收。深入开展全省唯一两轮厅市养老专项合作，争取上级专项补助及各类转移支付资金约5.5亿元，带动全市养老领域总投入超过11亿元，为推进丽水养老服务业发展提供强大动能。大力推进养老服务设施建设，在全省率先编制完成“1+8”全市养老服务设施专项布局规划，各地公办示范性养老机构全面建成、引领发展，农村敬老院全面改造、转型升级，居家养老服务中心全域推进、渐成规模，创成首个省级“老年友好城市”。截止2020年底，全市机构养老床位1.93万张，每百名老人达到3.6张。其中护理型床位1.06万张，占机构养老床位的54.9%。全市累计建成乡镇(街道)居家养老服务中心127个、村(社区)照料中心1842个。发布实施《关于推进全市社区嵌入式养老护理机构建设和运营的实施意见》，让养老机构像幼儿园一样，成为住宅小区的标配，让失能、失智等刚需老人在家门口享受专业养老服务；发布实施《关于推进养老服务体系建设的实施意见》，首次实现营利性、非营利性养老服务机构同等享受财政扶持政策；制定出台《丽水市养老人才培养实施办法》，在养老人才概念、专技职称评定、精英人才培养、医护职业通道等多个方面实现创新突破，突出养老人才的“持续化、专业化、系统化”培训。创新推进养老服务机构公建民营改革，引进培育光大百龄帮、上海佰仁、浙江唯康等6家专业品牌机构和春满园、不老松等10多家居家服务组织，参与全市各类养老服务设施社会化运营，实现连锁化、规模化、品牌化发展；积极探索莲都区</w:t>
      </w:r>
      <w:r>
        <w:rPr>
          <w:rFonts w:ascii="仿宋" w:hAnsi="仿宋" w:eastAsia="仿宋" w:cs="仿宋"/>
          <w:color w:val="auto"/>
          <w:sz w:val="32"/>
          <w:szCs w:val="32"/>
        </w:rPr>
        <w:t>“</w:t>
      </w:r>
      <w:r>
        <w:rPr>
          <w:rFonts w:hint="eastAsia" w:ascii="仿宋" w:hAnsi="仿宋" w:eastAsia="仿宋" w:cs="仿宋"/>
          <w:color w:val="auto"/>
          <w:sz w:val="32"/>
          <w:szCs w:val="32"/>
        </w:rPr>
        <w:t>社区</w:t>
      </w:r>
      <w:r>
        <w:rPr>
          <w:rFonts w:ascii="仿宋" w:hAnsi="仿宋" w:eastAsia="仿宋" w:cs="仿宋"/>
          <w:color w:val="auto"/>
          <w:sz w:val="32"/>
          <w:szCs w:val="32"/>
        </w:rPr>
        <w:t>居家养老”</w:t>
      </w:r>
      <w:r>
        <w:rPr>
          <w:rFonts w:hint="eastAsia" w:ascii="仿宋" w:hAnsi="仿宋" w:eastAsia="仿宋" w:cs="仿宋"/>
          <w:color w:val="auto"/>
          <w:sz w:val="32"/>
          <w:szCs w:val="32"/>
        </w:rPr>
        <w:t>、松阳县“宅基地换养老”、龙泉市“兼职保姆+好邻居帮帮团+照料中心”、遂昌县“家庭式微型养院”、云和县“爱心驿站”等山区特色养老服务模式。</w:t>
      </w:r>
    </w:p>
    <w:p>
      <w:pPr>
        <w:widowControl/>
        <w:adjustRightInd w:val="0"/>
        <w:snapToGrid w:val="0"/>
        <w:spacing w:line="540" w:lineRule="exact"/>
        <w:ind w:firstLine="643" w:firstLineChars="200"/>
        <w:rPr>
          <w:rFonts w:ascii="仿宋" w:hAnsi="仿宋" w:eastAsia="仿宋" w:cs="仿宋"/>
          <w:color w:val="auto"/>
          <w:sz w:val="32"/>
          <w:szCs w:val="32"/>
        </w:rPr>
      </w:pPr>
      <w:bookmarkStart w:id="43" w:name="_Toc10182_WPSOffice_Level3"/>
      <w:r>
        <w:rPr>
          <w:rFonts w:hint="eastAsia" w:ascii="仿宋" w:hAnsi="仿宋" w:eastAsia="仿宋" w:cs="仿宋"/>
          <w:b/>
          <w:bCs/>
          <w:color w:val="auto"/>
          <w:sz w:val="32"/>
          <w:szCs w:val="32"/>
        </w:rPr>
        <w:t>社会救助水平</w:t>
      </w:r>
      <w:bookmarkEnd w:id="43"/>
      <w:r>
        <w:rPr>
          <w:rFonts w:hint="eastAsia" w:ascii="仿宋" w:hAnsi="仿宋" w:eastAsia="仿宋" w:cs="仿宋"/>
          <w:b/>
          <w:bCs/>
          <w:color w:val="auto"/>
          <w:sz w:val="32"/>
          <w:szCs w:val="32"/>
        </w:rPr>
        <w:t>稳步提升。</w:t>
      </w:r>
      <w:r>
        <w:rPr>
          <w:rFonts w:hint="eastAsia" w:ascii="仿宋" w:hAnsi="仿宋" w:eastAsia="仿宋" w:cs="仿宋"/>
          <w:color w:val="auto"/>
          <w:sz w:val="32"/>
          <w:szCs w:val="32"/>
        </w:rPr>
        <w:t>社会救助工作在脱贫攻坚中切实发挥兜底保障作用，低保、低边对象人数占比全省最高，三年低保整治工作成效明显，为所有低收入农户统筹采购农村小额保险。在新冠疫情期间，简化救助程序，快速实现救助。统一全市各类社会救助标准，特困人员供养基本生活标准达到每人每月1210元，最低生活保障标准达到每人每月850元，医疗救助实现“一站式”结算，临时救助1万元内审批权限下放乡镇（街道），所有救助资金统一发放到社保卡。云和圆满完成全国社会救助综合改革和全省社会救助精准保障标杆区建设试点工作，试点经验成为全省社会救助领域十大创新案例，建成“联连帮”大救助服务中心，向所有救助对象推送“幸福清单”，让困难群众真正感受到获得感、幸福感、安全感。建立普惠型儿童福利制度，保障水平持续提升，全市孤儿基本生活保障标准达到每人每月1518-2021元，困境儿童基本生活保障标准达到每人每月850-1518元，惠及儿童2.3万人，市万地爱心儿童福利院软硬件水平走在全省前列，实现全市孤残儿童集中养育。创新开展“添翼计划”“焕新乐园”和“儿童之家”三项省级试点，“添翼计划”作为示范样板在全国推广，累计开展17期，受益儿童454人次，“焕新乐园”完成改造2000户，“儿童之家”建成200家。加强生活无着流浪乞讨人员救助管理，开展“冬送温暖”“夏送清凉”专项救助行动，累计救助困难群众10187人次，培育“北斗寻亲”党建品牌，成功帮助192名精神障碍患者回归家庭。</w:t>
      </w:r>
    </w:p>
    <w:p>
      <w:pPr>
        <w:widowControl/>
        <w:adjustRightInd w:val="0"/>
        <w:snapToGrid w:val="0"/>
        <w:spacing w:line="540" w:lineRule="exact"/>
        <w:ind w:firstLine="643" w:firstLineChars="200"/>
        <w:rPr>
          <w:rFonts w:ascii="仿宋" w:hAnsi="仿宋" w:eastAsia="仿宋" w:cs="仿宋"/>
          <w:color w:val="auto"/>
          <w:sz w:val="32"/>
          <w:szCs w:val="32"/>
        </w:rPr>
      </w:pPr>
      <w:bookmarkStart w:id="44" w:name="_Toc28445_WPSOffice_Level3"/>
      <w:r>
        <w:rPr>
          <w:rFonts w:hint="eastAsia" w:ascii="仿宋" w:hAnsi="仿宋" w:eastAsia="仿宋" w:cs="仿宋"/>
          <w:b/>
          <w:bCs/>
          <w:color w:val="auto"/>
          <w:sz w:val="32"/>
          <w:szCs w:val="32"/>
        </w:rPr>
        <w:t>基层社会</w:t>
      </w:r>
      <w:bookmarkEnd w:id="44"/>
      <w:r>
        <w:rPr>
          <w:rFonts w:hint="eastAsia" w:ascii="仿宋" w:hAnsi="仿宋" w:eastAsia="仿宋" w:cs="仿宋"/>
          <w:b/>
          <w:bCs/>
          <w:color w:val="auto"/>
          <w:sz w:val="32"/>
          <w:szCs w:val="32"/>
        </w:rPr>
        <w:t>活力日益凸显。</w:t>
      </w:r>
      <w:r>
        <w:rPr>
          <w:rFonts w:hint="eastAsia" w:ascii="仿宋" w:hAnsi="仿宋" w:eastAsia="仿宋" w:cs="仿宋"/>
          <w:color w:val="auto"/>
          <w:sz w:val="32"/>
          <w:szCs w:val="32"/>
        </w:rPr>
        <w:t>党组织领导下的村（居）民自治机制进一步健全，“村级事务阳光票决制”写入《中共浙江省委关于认真学习贯彻党的十九届四中全会精神高水平推进省域治理现代化的决定》。龙泉市宝溪乡完成省级城乡社区治理和服务创新实验区创建，遂昌县石练镇创建工作有序推进。行政村规模调整优化工作圆满完成，涉及调整6个县（市）2061个村，减少1227个，调整率40.7%。村（居）民委员会换届选举工作高质量完成。市本级及九县（市、区）均已成立社会组织综合党委，全市社会组织实现党建工作全覆盖，截止2020年底，我市共登记社会组织3430家，其中社会团体2109家，民办非企业单位1314家，基金会7家。社工人才“十百千”素质提升工程深入实施，丽水市“绿谷社工师”评选活动和绿谷金牌社工督导项目创新开展，全市共新增2190名持证社工。</w:t>
      </w:r>
      <w:bookmarkStart w:id="45" w:name="_Toc30711_WPSOffice_Level3"/>
      <w:r>
        <w:rPr>
          <w:rFonts w:hint="eastAsia" w:ascii="仿宋" w:hAnsi="仿宋" w:eastAsia="仿宋" w:cs="仿宋"/>
          <w:color w:val="auto"/>
          <w:sz w:val="32"/>
          <w:szCs w:val="32"/>
        </w:rPr>
        <w:t>“邮善邮乐”慈善超市成为省级试点并推广，慈善精准帮扶基地建设稳步推进，慈善基地实现全覆盖。</w:t>
      </w:r>
      <w:bookmarkEnd w:id="45"/>
    </w:p>
    <w:p>
      <w:pPr>
        <w:widowControl/>
        <w:adjustRightInd w:val="0"/>
        <w:snapToGrid w:val="0"/>
        <w:spacing w:line="54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专项事务管理不断规范。</w:t>
      </w:r>
      <w:r>
        <w:rPr>
          <w:rFonts w:hint="eastAsia" w:ascii="仿宋" w:hAnsi="仿宋" w:eastAsia="仿宋" w:cs="仿宋"/>
          <w:color w:val="auto"/>
          <w:sz w:val="32"/>
          <w:szCs w:val="32"/>
        </w:rPr>
        <w:t>完成青田县一街道一乡镇行政区划调整。深化平安边界建设，提升界线管理水平。完成第二次全国地名普查工作，推进“智慧地名”文化建设，规范地名管理服务，加强地名文化遗产保护，建成“青田地名文化展示馆”，缙云县首创“地名书房”，推广“微信扫一扫，地名知多少”项目。持续加强婚姻登记机关规范化、标准化建设，全市8个婚姻登记机关场地达到国家3A标准，不断健全婚姻家庭纠纷预防化解机制。大力开展“青山白化”治理，稳步推行节地生态安葬，逐步形成节俭文明治丧新风尚，建成丽水市殡仪馆并投入使用，全省首创个性化殡仪服务整体委托专业团队运营，打造弘扬以孝文化和生命文化为主题的传统文化基地。民政事项100%实现“最多跑一次”，通过浙江政务服务网和“浙里办”APP办理民政业务网办率达到96.</w:t>
      </w:r>
      <w:r>
        <w:rPr>
          <w:rFonts w:ascii="仿宋" w:hAnsi="仿宋" w:eastAsia="仿宋" w:cs="仿宋"/>
          <w:color w:val="auto"/>
          <w:sz w:val="32"/>
          <w:szCs w:val="32"/>
        </w:rPr>
        <w:t>96</w:t>
      </w:r>
      <w:r>
        <w:rPr>
          <w:rFonts w:hint="eastAsia" w:ascii="仿宋" w:hAnsi="仿宋" w:eastAsia="仿宋" w:cs="仿宋"/>
          <w:color w:val="auto"/>
          <w:sz w:val="32"/>
          <w:szCs w:val="32"/>
        </w:rPr>
        <w:t>%，</w:t>
      </w:r>
      <w:r>
        <w:rPr>
          <w:rFonts w:ascii="仿宋" w:hAnsi="仿宋" w:eastAsia="仿宋" w:cs="仿宋"/>
          <w:color w:val="auto"/>
          <w:sz w:val="32"/>
          <w:szCs w:val="32"/>
        </w:rPr>
        <w:t>婚</w:t>
      </w:r>
      <w:r>
        <w:rPr>
          <w:rFonts w:hint="eastAsia" w:ascii="仿宋" w:hAnsi="仿宋" w:eastAsia="仿宋" w:cs="仿宋"/>
          <w:color w:val="auto"/>
          <w:sz w:val="32"/>
          <w:szCs w:val="32"/>
        </w:rPr>
        <w:t>育户、殡葬、社会救助三个“一件事”协同高效办理，</w:t>
      </w:r>
      <w:r>
        <w:rPr>
          <w:rFonts w:ascii="仿宋" w:hAnsi="仿宋" w:eastAsia="仿宋" w:cs="仿宋"/>
          <w:color w:val="auto"/>
          <w:sz w:val="32"/>
          <w:szCs w:val="32"/>
        </w:rPr>
        <w:t>创新推出“智慧殡葬”“居养平台”“联连帮”“低保核对助手”等民政特色平台，让传统领域的民政工作焕发出勃勃生机</w:t>
      </w:r>
      <w:r>
        <w:rPr>
          <w:rFonts w:hint="eastAsia" w:ascii="仿宋" w:hAnsi="仿宋" w:eastAsia="仿宋" w:cs="仿宋"/>
          <w:color w:val="auto"/>
          <w:sz w:val="32"/>
          <w:szCs w:val="32"/>
        </w:rPr>
        <w:t>。</w:t>
      </w:r>
    </w:p>
    <w:p>
      <w:pPr>
        <w:widowControl/>
        <w:adjustRightInd w:val="0"/>
        <w:snapToGrid w:val="0"/>
        <w:spacing w:line="540" w:lineRule="exact"/>
        <w:ind w:firstLine="640" w:firstLineChars="200"/>
        <w:rPr>
          <w:rFonts w:ascii="仿宋" w:hAnsi="仿宋" w:eastAsia="仿宋" w:cs="仿宋"/>
          <w:color w:val="auto"/>
          <w:sz w:val="32"/>
          <w:szCs w:val="32"/>
        </w:rPr>
      </w:pPr>
    </w:p>
    <w:p>
      <w:pPr>
        <w:widowControl/>
        <w:adjustRightInd w:val="0"/>
        <w:snapToGrid w:val="0"/>
        <w:spacing w:line="540" w:lineRule="exact"/>
        <w:ind w:firstLine="640" w:firstLineChars="200"/>
        <w:rPr>
          <w:rFonts w:ascii="仿宋" w:hAnsi="仿宋" w:eastAsia="仿宋" w:cs="仿宋"/>
          <w:color w:val="auto"/>
          <w:sz w:val="32"/>
          <w:szCs w:val="32"/>
        </w:rPr>
      </w:pPr>
    </w:p>
    <w:p>
      <w:pPr>
        <w:widowControl/>
        <w:adjustRightInd w:val="0"/>
        <w:snapToGrid w:val="0"/>
        <w:spacing w:line="540" w:lineRule="exact"/>
        <w:ind w:firstLine="640" w:firstLineChars="200"/>
        <w:rPr>
          <w:rFonts w:ascii="仿宋" w:hAnsi="仿宋" w:eastAsia="仿宋" w:cs="仿宋"/>
          <w:color w:val="auto"/>
          <w:sz w:val="32"/>
          <w:szCs w:val="32"/>
        </w:rPr>
      </w:pPr>
    </w:p>
    <w:tbl>
      <w:tblPr>
        <w:tblStyle w:val="12"/>
        <w:tblpPr w:leftFromText="180" w:rightFromText="180" w:vertAnchor="text" w:horzAnchor="page" w:tblpX="1679" w:tblpY="536"/>
        <w:tblOverlap w:val="never"/>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4663"/>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8596"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黑体" w:cs="Times New Roman"/>
                <w:b/>
                <w:color w:val="auto"/>
                <w:szCs w:val="21"/>
              </w:rPr>
            </w:pPr>
            <w:r>
              <w:rPr>
                <w:rFonts w:ascii="Times New Roman" w:hAnsi="Times New Roman" w:eastAsia="黑体" w:cs="Times New Roman"/>
                <w:b/>
                <w:color w:val="auto"/>
                <w:sz w:val="24"/>
                <w:szCs w:val="24"/>
              </w:rPr>
              <w:t xml:space="preserve"> “十三五”期间</w:t>
            </w:r>
            <w:r>
              <w:rPr>
                <w:rFonts w:hint="eastAsia" w:ascii="Times New Roman" w:hAnsi="Times New Roman" w:eastAsia="黑体" w:cs="Times New Roman"/>
                <w:b/>
                <w:color w:val="auto"/>
                <w:sz w:val="24"/>
                <w:szCs w:val="24"/>
              </w:rPr>
              <w:t>丽水市</w:t>
            </w:r>
            <w:r>
              <w:rPr>
                <w:rFonts w:ascii="Times New Roman" w:hAnsi="Times New Roman" w:eastAsia="黑体" w:cs="Times New Roman"/>
                <w:b/>
                <w:color w:val="auto"/>
                <w:sz w:val="24"/>
                <w:szCs w:val="24"/>
              </w:rPr>
              <w:t>民政事业发展主要</w:t>
            </w:r>
            <w:r>
              <w:rPr>
                <w:rFonts w:hint="eastAsia" w:ascii="Times New Roman" w:hAnsi="Times New Roman" w:eastAsia="黑体" w:cs="Times New Roman"/>
                <w:b/>
                <w:color w:val="auto"/>
                <w:sz w:val="24"/>
                <w:szCs w:val="24"/>
              </w:rPr>
              <w:t>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spacing w:line="240" w:lineRule="exact"/>
              <w:jc w:val="center"/>
              <w:rPr>
                <w:rFonts w:ascii="Times New Roman" w:hAnsi="Times New Roman" w:eastAsia="楷体_GB2312" w:cs="Times New Roman"/>
                <w:bCs/>
                <w:color w:val="auto"/>
                <w:sz w:val="24"/>
                <w:szCs w:val="24"/>
              </w:rPr>
            </w:pPr>
            <w:r>
              <w:rPr>
                <w:rFonts w:ascii="Times New Roman" w:hAnsi="Times New Roman" w:eastAsia="楷体_GB2312" w:cs="Times New Roman"/>
                <w:bCs/>
                <w:color w:val="auto"/>
                <w:sz w:val="24"/>
                <w:szCs w:val="24"/>
              </w:rPr>
              <w:t>序号</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spacing w:line="240" w:lineRule="exact"/>
              <w:jc w:val="center"/>
              <w:rPr>
                <w:rFonts w:ascii="Times New Roman" w:hAnsi="Times New Roman" w:eastAsia="楷体_GB2312" w:cs="Times New Roman"/>
                <w:bCs/>
                <w:color w:val="auto"/>
                <w:sz w:val="24"/>
                <w:szCs w:val="24"/>
              </w:rPr>
            </w:pPr>
            <w:r>
              <w:rPr>
                <w:rFonts w:ascii="Times New Roman" w:hAnsi="Times New Roman" w:eastAsia="楷体_GB2312" w:cs="Times New Roman"/>
                <w:bCs/>
                <w:color w:val="auto"/>
                <w:sz w:val="24"/>
                <w:szCs w:val="24"/>
              </w:rPr>
              <w:t>指 标</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spacing w:line="240" w:lineRule="exact"/>
              <w:jc w:val="center"/>
              <w:rPr>
                <w:rFonts w:ascii="Times New Roman" w:hAnsi="Times New Roman" w:eastAsia="楷体_GB2312" w:cs="Times New Roman"/>
                <w:bCs/>
                <w:color w:val="auto"/>
                <w:sz w:val="24"/>
                <w:szCs w:val="24"/>
              </w:rPr>
            </w:pPr>
            <w:r>
              <w:rPr>
                <w:rFonts w:ascii="Times New Roman" w:hAnsi="Times New Roman" w:eastAsia="楷体_GB2312" w:cs="Times New Roman"/>
                <w:bCs/>
                <w:color w:val="auto"/>
                <w:sz w:val="24"/>
                <w:szCs w:val="24"/>
              </w:rPr>
              <w:t>2020年</w:t>
            </w:r>
          </w:p>
          <w:p>
            <w:pPr>
              <w:adjustRightInd w:val="0"/>
              <w:snapToGrid w:val="0"/>
              <w:spacing w:line="240" w:lineRule="exact"/>
              <w:jc w:val="center"/>
              <w:rPr>
                <w:rFonts w:ascii="Times New Roman" w:hAnsi="Times New Roman" w:eastAsia="楷体_GB2312" w:cs="Times New Roman"/>
                <w:bCs/>
                <w:color w:val="auto"/>
                <w:sz w:val="24"/>
                <w:szCs w:val="24"/>
              </w:rPr>
            </w:pPr>
            <w:r>
              <w:rPr>
                <w:rFonts w:ascii="Times New Roman" w:hAnsi="Times New Roman" w:eastAsia="楷体_GB2312" w:cs="Times New Roman"/>
                <w:bCs/>
                <w:color w:val="auto"/>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6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tcMar>
              <w:left w:w="0" w:type="dxa"/>
              <w:right w:w="0" w:type="dxa"/>
            </w:tcMar>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1</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tcMar>
              <w:left w:w="0" w:type="dxa"/>
              <w:right w:w="0" w:type="dxa"/>
            </w:tcMar>
            <w:vAlign w:val="center"/>
          </w:tcPr>
          <w:p>
            <w:pPr>
              <w:adjustRightInd w:val="0"/>
              <w:snapToGrid w:val="0"/>
              <w:jc w:val="left"/>
              <w:rPr>
                <w:rFonts w:ascii="Times New Roman" w:hAnsi="Times New Roman" w:eastAsia="楷体_GB2312" w:cs="Times New Roman"/>
                <w:color w:val="auto"/>
                <w:spacing w:val="-6"/>
                <w:sz w:val="24"/>
                <w:szCs w:val="24"/>
              </w:rPr>
            </w:pPr>
            <w:r>
              <w:rPr>
                <w:rFonts w:ascii="Times New Roman" w:hAnsi="Times New Roman" w:eastAsia="楷体_GB2312" w:cs="Times New Roman"/>
                <w:color w:val="auto"/>
                <w:spacing w:val="-6"/>
                <w:sz w:val="24"/>
                <w:szCs w:val="24"/>
              </w:rPr>
              <w:t>每千名老年人拥有社会养老床位数（张）</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其中：护理型床位占机构床位比率（%）</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exact"/>
        </w:trPr>
        <w:tc>
          <w:tcPr>
            <w:tcW w:w="560" w:type="dxa"/>
            <w:vMerge w:val="restart"/>
            <w:tcBorders>
              <w:top w:val="single" w:color="000000" w:sz="8" w:space="0"/>
              <w:left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2</w:t>
            </w:r>
          </w:p>
        </w:tc>
        <w:tc>
          <w:tcPr>
            <w:tcW w:w="4663" w:type="dxa"/>
            <w:tcBorders>
              <w:top w:val="single" w:color="000000" w:sz="8" w:space="0"/>
              <w:left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福利彩票年销售量（亿元）</w:t>
            </w:r>
          </w:p>
        </w:tc>
        <w:tc>
          <w:tcPr>
            <w:tcW w:w="3373" w:type="dxa"/>
            <w:tcBorders>
              <w:top w:val="single" w:color="000000" w:sz="8" w:space="0"/>
              <w:left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exact"/>
        </w:trPr>
        <w:tc>
          <w:tcPr>
            <w:tcW w:w="560" w:type="dxa"/>
            <w:vMerge w:val="continue"/>
            <w:tcBorders>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p>
        </w:tc>
        <w:tc>
          <w:tcPr>
            <w:tcW w:w="4663" w:type="dxa"/>
            <w:tcBorders>
              <w:top w:val="single" w:color="auto" w:sz="4" w:space="0"/>
              <w:left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筹集市、福彩县两级公益金</w:t>
            </w:r>
            <w:r>
              <w:rPr>
                <w:rFonts w:ascii="Times New Roman" w:hAnsi="Times New Roman" w:eastAsia="楷体_GB2312" w:cs="Times New Roman"/>
                <w:color w:val="auto"/>
                <w:sz w:val="24"/>
                <w:szCs w:val="24"/>
              </w:rPr>
              <w:t>（亿元）</w:t>
            </w:r>
          </w:p>
        </w:tc>
        <w:tc>
          <w:tcPr>
            <w:tcW w:w="3373" w:type="dxa"/>
            <w:tcBorders>
              <w:top w:val="single" w:color="auto" w:sz="4" w:space="0"/>
              <w:left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3</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低保</w:t>
            </w:r>
            <w:r>
              <w:rPr>
                <w:rFonts w:hint="eastAsia" w:ascii="Times New Roman" w:hAnsi="Times New Roman" w:eastAsia="楷体_GB2312" w:cs="Times New Roman"/>
                <w:color w:val="auto"/>
                <w:sz w:val="24"/>
                <w:szCs w:val="24"/>
              </w:rPr>
              <w:t>、特困</w:t>
            </w:r>
            <w:r>
              <w:rPr>
                <w:rFonts w:ascii="Times New Roman" w:hAnsi="Times New Roman" w:eastAsia="楷体_GB2312" w:cs="Times New Roman"/>
                <w:color w:val="auto"/>
                <w:sz w:val="24"/>
                <w:szCs w:val="24"/>
              </w:rPr>
              <w:t>标准城乡一体化程度（%）</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4</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万人拥有社会组织数量（个）</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5</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社会工作专业人才占总人口比率（‰）</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6</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农村社区服务中心覆盖率（%）</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7</w:t>
            </w:r>
          </w:p>
        </w:tc>
        <w:tc>
          <w:tcPr>
            <w:tcW w:w="466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left"/>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生态葬法行政村覆盖率（%）</w:t>
            </w:r>
          </w:p>
        </w:tc>
        <w:tc>
          <w:tcPr>
            <w:tcW w:w="33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adjustRightInd w:val="0"/>
              <w:snapToGrid w:val="0"/>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rPr>
              <w:t>100</w:t>
            </w:r>
          </w:p>
        </w:tc>
      </w:tr>
    </w:tbl>
    <w:p>
      <w:pPr>
        <w:widowControl/>
        <w:adjustRightInd w:val="0"/>
        <w:snapToGrid w:val="0"/>
        <w:spacing w:line="540" w:lineRule="exact"/>
        <w:ind w:firstLine="640" w:firstLineChars="200"/>
        <w:rPr>
          <w:rFonts w:ascii="楷体" w:hAnsi="楷体" w:eastAsia="楷体" w:cs="楷体"/>
          <w:b/>
          <w:color w:val="auto"/>
          <w:sz w:val="32"/>
          <w:szCs w:val="32"/>
        </w:rPr>
      </w:pPr>
      <w:bookmarkStart w:id="46" w:name="_Toc28378_WPSOffice_Level2"/>
      <w:r>
        <w:rPr>
          <w:rFonts w:hint="eastAsia" w:ascii="仿宋" w:hAnsi="仿宋" w:eastAsia="仿宋" w:cs="仿宋"/>
          <w:bCs/>
          <w:color w:val="auto"/>
          <w:sz w:val="32"/>
          <w:szCs w:val="32"/>
        </w:rPr>
        <w:t>但是，面对新形势，也要清醒看到我市民政事业还存在不少问题和短板。主要表现为：养老政策精准度不够、服务资源碎片化；社会救助力量薄弱、手段单一；社区治理方式较为传统，</w:t>
      </w:r>
      <w:r>
        <w:rPr>
          <w:rFonts w:hint="eastAsia" w:ascii="仿宋" w:hAnsi="仿宋" w:eastAsia="仿宋" w:cs="仿宋"/>
          <w:color w:val="auto"/>
          <w:sz w:val="32"/>
          <w:szCs w:val="32"/>
        </w:rPr>
        <w:t>社会力量参与不足；专</w:t>
      </w:r>
      <w:r>
        <w:rPr>
          <w:rFonts w:hint="eastAsia" w:ascii="仿宋" w:hAnsi="仿宋" w:eastAsia="仿宋" w:cs="仿宋"/>
          <w:bCs/>
          <w:color w:val="auto"/>
          <w:sz w:val="32"/>
          <w:szCs w:val="32"/>
        </w:rPr>
        <w:t>项事务管理水平有待提升；民政数字化建设滞后；专业化人才短缺和基层民政服务力量薄弱等问题仍然比较突出。</w:t>
      </w:r>
    </w:p>
    <w:p>
      <w:pPr>
        <w:widowControl/>
        <w:adjustRightInd w:val="0"/>
        <w:snapToGrid w:val="0"/>
        <w:spacing w:line="540" w:lineRule="exact"/>
        <w:ind w:firstLine="643" w:firstLineChars="200"/>
        <w:rPr>
          <w:rFonts w:ascii="楷体" w:hAnsi="楷体" w:eastAsia="楷体" w:cs="楷体"/>
          <w:color w:val="auto"/>
          <w:sz w:val="32"/>
          <w:szCs w:val="32"/>
        </w:rPr>
      </w:pPr>
      <w:r>
        <w:rPr>
          <w:rFonts w:hint="eastAsia" w:ascii="楷体" w:hAnsi="楷体" w:eastAsia="楷体" w:cs="楷体"/>
          <w:b/>
          <w:color w:val="auto"/>
          <w:sz w:val="32"/>
          <w:szCs w:val="32"/>
        </w:rPr>
        <w:t>（二）“十四五”面临的形势</w:t>
      </w:r>
      <w:bookmarkEnd w:id="46"/>
    </w:p>
    <w:p>
      <w:pPr>
        <w:widowControl/>
        <w:adjustRightInd w:val="0"/>
        <w:snapToGrid w:val="0"/>
        <w:spacing w:line="540" w:lineRule="exact"/>
        <w:ind w:firstLine="643" w:firstLineChars="200"/>
        <w:rPr>
          <w:rFonts w:ascii="仿宋" w:hAnsi="仿宋" w:eastAsia="仿宋" w:cs="仿宋"/>
          <w:b/>
          <w:bCs/>
          <w:color w:val="auto"/>
          <w:sz w:val="32"/>
          <w:szCs w:val="32"/>
        </w:rPr>
      </w:pPr>
      <w:bookmarkStart w:id="47" w:name="_Toc863_WPSOffice_Level3"/>
      <w:bookmarkStart w:id="48" w:name="_Toc8416_WPSOffice_Level3"/>
      <w:bookmarkStart w:id="49" w:name="_Toc2901_WPSOffice_Level3"/>
      <w:bookmarkStart w:id="50" w:name="_Toc17032_WPSOffice_Level3"/>
      <w:bookmarkStart w:id="51" w:name="_Toc15499_WPSOffice_Level3"/>
      <w:bookmarkStart w:id="52" w:name="_Toc25517_WPSOffice_Level3"/>
      <w:bookmarkStart w:id="53" w:name="_Toc17785_WPSOffice_Level3"/>
      <w:bookmarkStart w:id="54" w:name="_Toc4188_WPSOffice_Level3"/>
      <w:bookmarkStart w:id="55" w:name="_Toc21145_WPSOffice_Level3"/>
      <w:bookmarkStart w:id="56" w:name="_Toc3184_WPSOffice_Level3"/>
      <w:bookmarkStart w:id="57" w:name="_Toc6256_WPSOffice_Level3"/>
      <w:bookmarkStart w:id="58" w:name="_Toc23720_WPSOffice_Level3"/>
      <w:bookmarkStart w:id="59" w:name="_Toc12616_WPSOffice_Level3"/>
      <w:r>
        <w:rPr>
          <w:rFonts w:hint="eastAsia" w:ascii="仿宋" w:hAnsi="仿宋" w:eastAsia="仿宋" w:cs="仿宋"/>
          <w:b/>
          <w:bCs/>
          <w:color w:val="auto"/>
          <w:sz w:val="32"/>
          <w:szCs w:val="32"/>
        </w:rPr>
        <w:t>1.现代化新征程提出新要求</w:t>
      </w:r>
      <w:bookmarkEnd w:id="47"/>
      <w:bookmarkEnd w:id="48"/>
      <w:bookmarkEnd w:id="49"/>
      <w:bookmarkEnd w:id="50"/>
      <w:bookmarkEnd w:id="51"/>
      <w:bookmarkEnd w:id="52"/>
      <w:bookmarkEnd w:id="53"/>
      <w:bookmarkEnd w:id="54"/>
      <w:bookmarkEnd w:id="55"/>
      <w:bookmarkEnd w:id="56"/>
      <w:bookmarkEnd w:id="57"/>
      <w:bookmarkEnd w:id="58"/>
      <w:bookmarkEnd w:id="59"/>
    </w:p>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“十四五”时期是我国全面建设社会主义现代化国家新征程的起步期，是</w:t>
      </w:r>
      <w:r>
        <w:rPr>
          <w:rFonts w:ascii="仿宋" w:hAnsi="仿宋" w:eastAsia="仿宋" w:cs="仿宋"/>
          <w:color w:val="auto"/>
          <w:sz w:val="32"/>
          <w:szCs w:val="32"/>
        </w:rPr>
        <w:t>浙江高质量发展建设共同富裕示范区</w:t>
      </w:r>
      <w:r>
        <w:rPr>
          <w:rFonts w:hint="eastAsia" w:ascii="仿宋" w:hAnsi="仿宋" w:eastAsia="仿宋" w:cs="仿宋"/>
          <w:color w:val="auto"/>
          <w:sz w:val="32"/>
          <w:szCs w:val="32"/>
        </w:rPr>
        <w:t>的</w:t>
      </w:r>
      <w:r>
        <w:rPr>
          <w:rFonts w:ascii="仿宋" w:hAnsi="仿宋" w:eastAsia="仿宋" w:cs="仿宋"/>
          <w:color w:val="auto"/>
          <w:sz w:val="32"/>
          <w:szCs w:val="32"/>
        </w:rPr>
        <w:t>重要历史机遇</w:t>
      </w:r>
      <w:r>
        <w:rPr>
          <w:rFonts w:hint="eastAsia" w:ascii="仿宋" w:hAnsi="仿宋" w:eastAsia="仿宋" w:cs="仿宋"/>
          <w:color w:val="auto"/>
          <w:sz w:val="32"/>
          <w:szCs w:val="32"/>
        </w:rPr>
        <w:t>期，也是丽水市打造“</w:t>
      </w:r>
      <w:r>
        <w:rPr>
          <w:rFonts w:ascii="仿宋" w:hAnsi="仿宋" w:eastAsia="仿宋" w:cs="仿宋"/>
          <w:color w:val="auto"/>
          <w:sz w:val="32"/>
          <w:szCs w:val="32"/>
        </w:rPr>
        <w:t>高水平建设和高质量发展重要窗口</w:t>
      </w:r>
      <w:r>
        <w:rPr>
          <w:rFonts w:hint="eastAsia" w:ascii="仿宋" w:hAnsi="仿宋" w:eastAsia="仿宋" w:cs="仿宋"/>
          <w:color w:val="auto"/>
          <w:sz w:val="32"/>
          <w:szCs w:val="32"/>
        </w:rPr>
        <w:t>”建设期。新起点新要求，“合力推进”成为民政工作机制创新的方向，城乡一体成为统筹民政工作布局新要求，而数字化改革要求树立数字意识、全面推进智治民政，后疫情时代的基层社会治理则更需“精密”，概言之，“高质量发展”明确了民政事业的目标与内涵，助力共同富裕赋予了民政事业新的历史使命。</w:t>
      </w:r>
    </w:p>
    <w:p>
      <w:pPr>
        <w:widowControl/>
        <w:adjustRightInd w:val="0"/>
        <w:snapToGrid w:val="0"/>
        <w:spacing w:line="540" w:lineRule="exact"/>
        <w:ind w:firstLine="643" w:firstLineChars="200"/>
        <w:rPr>
          <w:rFonts w:ascii="仿宋" w:hAnsi="仿宋" w:eastAsia="仿宋" w:cs="仿宋"/>
          <w:b/>
          <w:bCs/>
          <w:color w:val="auto"/>
          <w:sz w:val="32"/>
          <w:szCs w:val="32"/>
        </w:rPr>
      </w:pPr>
      <w:bookmarkStart w:id="60" w:name="_Toc28584_WPSOffice_Level3"/>
      <w:bookmarkStart w:id="61" w:name="_Toc3513_WPSOffice_Level3"/>
      <w:bookmarkStart w:id="62" w:name="_Toc2657_WPSOffice_Level3"/>
      <w:bookmarkStart w:id="63" w:name="_Toc22256_WPSOffice_Level3"/>
      <w:bookmarkStart w:id="64" w:name="_Toc17190_WPSOffice_Level3"/>
      <w:bookmarkStart w:id="65" w:name="_Toc32707_WPSOffice_Level3"/>
      <w:bookmarkStart w:id="66" w:name="_Toc25428_WPSOffice_Level3"/>
      <w:bookmarkStart w:id="67" w:name="_Toc14819_WPSOffice_Level3"/>
      <w:bookmarkStart w:id="68" w:name="_Toc20942_WPSOffice_Level3"/>
      <w:bookmarkStart w:id="69" w:name="_Toc21927_WPSOffice_Level3"/>
      <w:bookmarkStart w:id="70" w:name="_Toc28378_WPSOffice_Level3"/>
      <w:bookmarkStart w:id="71" w:name="_Toc20191_WPSOffice_Level3"/>
      <w:bookmarkStart w:id="72" w:name="_Toc29008_WPSOffice_Level3"/>
      <w:bookmarkStart w:id="73" w:name="_Toc28070_WPSOffice_Level3"/>
      <w:bookmarkStart w:id="74" w:name="_Toc6886_WPSOffice_Level3"/>
      <w:bookmarkStart w:id="75" w:name="_Toc10529_WPSOffice_Level3"/>
      <w:bookmarkStart w:id="76" w:name="_Toc1561_WPSOffice_Level3"/>
      <w:bookmarkStart w:id="77" w:name="_Toc9670_WPSOffice_Level3"/>
      <w:bookmarkStart w:id="78" w:name="_Toc8171_WPSOffice_Level3"/>
      <w:bookmarkStart w:id="79" w:name="_Toc23555_WPSOffice_Level3"/>
      <w:r>
        <w:rPr>
          <w:rFonts w:hint="eastAsia" w:ascii="仿宋" w:hAnsi="仿宋" w:eastAsia="仿宋" w:cs="仿宋"/>
          <w:b/>
          <w:bCs/>
          <w:color w:val="auto"/>
          <w:sz w:val="32"/>
          <w:szCs w:val="32"/>
        </w:rPr>
        <w:t>2.</w:t>
      </w:r>
      <w:bookmarkEnd w:id="60"/>
      <w:bookmarkEnd w:id="61"/>
      <w:bookmarkEnd w:id="62"/>
      <w:bookmarkEnd w:id="63"/>
      <w:bookmarkEnd w:id="64"/>
      <w:bookmarkEnd w:id="65"/>
      <w:bookmarkEnd w:id="66"/>
      <w:r>
        <w:rPr>
          <w:rFonts w:hint="eastAsia" w:ascii="仿宋" w:hAnsi="仿宋" w:eastAsia="仿宋" w:cs="仿宋"/>
          <w:b/>
          <w:bCs/>
          <w:color w:val="auto"/>
          <w:sz w:val="32"/>
          <w:szCs w:val="32"/>
        </w:rPr>
        <w:t>国家重大战略带来新机遇</w:t>
      </w:r>
      <w:bookmarkEnd w:id="67"/>
      <w:bookmarkEnd w:id="68"/>
      <w:bookmarkEnd w:id="69"/>
      <w:bookmarkEnd w:id="70"/>
      <w:bookmarkEnd w:id="71"/>
      <w:bookmarkEnd w:id="72"/>
    </w:p>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积极应对人口老龄化国家战略深入实施，长三角一体化加速推进，《国务院关于新时代支持革命老区振兴发展的意见》（国发〔2021〕3号）明确将浙西南革命老区纳入国家战略，省委省政府部署加快推进山区26县跨越式高质量发展的决策，为丽水跨越式发展提供了新动能。区域发展新战略为加强民政管理的精准化和民政服务的精细化经验交流与机制协同，为促进民政人才、资本、信息、技术等创新要素的跨区域流动、融合，提供了新的机遇窗口。</w:t>
      </w:r>
    </w:p>
    <w:p>
      <w:pPr>
        <w:widowControl/>
        <w:adjustRightInd w:val="0"/>
        <w:snapToGrid w:val="0"/>
        <w:spacing w:line="540" w:lineRule="exact"/>
        <w:ind w:firstLine="643" w:firstLineChars="200"/>
        <w:rPr>
          <w:rFonts w:ascii="仿宋" w:hAnsi="仿宋" w:eastAsia="仿宋" w:cs="仿宋"/>
          <w:b/>
          <w:bCs/>
          <w:color w:val="auto"/>
          <w:sz w:val="32"/>
          <w:szCs w:val="32"/>
        </w:rPr>
      </w:pPr>
      <w:bookmarkStart w:id="80" w:name="_Toc22152_WPSOffice_Level3"/>
      <w:bookmarkStart w:id="81" w:name="_Toc8192_WPSOffice_Level3"/>
      <w:bookmarkStart w:id="82" w:name="_Toc17509_WPSOffice_Level3"/>
      <w:bookmarkStart w:id="83" w:name="_Toc28133_WPSOffice_Level3"/>
      <w:bookmarkStart w:id="84" w:name="_Toc10620_WPSOffice_Level3"/>
      <w:bookmarkStart w:id="85" w:name="_Toc14388_WPSOffice_Level3"/>
      <w:r>
        <w:rPr>
          <w:rFonts w:hint="eastAsia" w:ascii="仿宋" w:hAnsi="仿宋" w:eastAsia="仿宋" w:cs="仿宋"/>
          <w:b/>
          <w:bCs/>
          <w:color w:val="auto"/>
          <w:sz w:val="32"/>
          <w:szCs w:val="32"/>
        </w:rPr>
        <w:t>3.市域新格局迎来新挑战</w:t>
      </w:r>
      <w:bookmarkEnd w:id="73"/>
      <w:bookmarkEnd w:id="74"/>
      <w:bookmarkEnd w:id="75"/>
      <w:bookmarkEnd w:id="76"/>
      <w:bookmarkEnd w:id="77"/>
      <w:bookmarkEnd w:id="78"/>
      <w:bookmarkEnd w:id="79"/>
      <w:bookmarkEnd w:id="80"/>
      <w:bookmarkEnd w:id="81"/>
      <w:bookmarkEnd w:id="82"/>
      <w:bookmarkEnd w:id="83"/>
      <w:bookmarkEnd w:id="84"/>
      <w:bookmarkEnd w:id="85"/>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“一带三区”发展新格局的构建，将加快人口集聚， 2025年市中心常住人口接近百万。在赋予城市新活力的同时，人口结构将发生重大调整，留守儿童、留守妇女、留守老人等相应增多，对老龄化程度本已高于全国平均水平、留守儿童留守妇女问题比较突出的丽水来说，民生保障和服务功能面临巨大挑战，</w:t>
      </w:r>
      <w:r>
        <w:rPr>
          <w:rFonts w:hint="eastAsia" w:ascii="仿宋" w:hAnsi="仿宋" w:eastAsia="仿宋" w:cs="仿宋"/>
          <w:bCs/>
          <w:color w:val="auto"/>
          <w:sz w:val="32"/>
          <w:szCs w:val="32"/>
        </w:rPr>
        <w:t>迫切需要民政工作提质增效，不断满足人民群众对美好生活的需求。</w:t>
      </w:r>
    </w:p>
    <w:p>
      <w:pPr>
        <w:adjustRightInd w:val="0"/>
        <w:snapToGrid w:val="0"/>
        <w:spacing w:line="54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 xml:space="preserve"> “十四五”时期，要坚持问题导向，聚焦群众需求，在危机中寻新机，于变局中开新局，奋力开创具有丽水特色的新时代民政事业发展新局面。</w:t>
      </w:r>
    </w:p>
    <w:p>
      <w:pPr>
        <w:spacing w:line="540" w:lineRule="exact"/>
        <w:ind w:firstLine="640" w:firstLineChars="200"/>
        <w:outlineLvl w:val="0"/>
        <w:rPr>
          <w:rFonts w:ascii="黑体" w:hAnsi="黑体" w:eastAsia="黑体" w:cs="黑体"/>
          <w:color w:val="auto"/>
          <w:sz w:val="32"/>
          <w:szCs w:val="32"/>
        </w:rPr>
      </w:pPr>
      <w:bookmarkStart w:id="86" w:name="_Toc2901_WPSOffice_Level1"/>
      <w:r>
        <w:rPr>
          <w:rFonts w:hint="eastAsia" w:ascii="黑体" w:hAnsi="黑体" w:eastAsia="黑体" w:cs="黑体"/>
          <w:color w:val="auto"/>
          <w:sz w:val="32"/>
          <w:szCs w:val="32"/>
        </w:rPr>
        <w:t>二、指导思想、基本原则和发展目标</w:t>
      </w:r>
      <w:bookmarkEnd w:id="86"/>
    </w:p>
    <w:p>
      <w:pPr>
        <w:spacing w:line="540" w:lineRule="exact"/>
        <w:ind w:firstLine="643" w:firstLineChars="200"/>
        <w:outlineLvl w:val="1"/>
        <w:rPr>
          <w:rFonts w:ascii="楷体" w:hAnsi="楷体" w:eastAsia="楷体" w:cs="楷体"/>
          <w:b/>
          <w:color w:val="auto"/>
          <w:sz w:val="32"/>
          <w:szCs w:val="32"/>
        </w:rPr>
      </w:pPr>
      <w:bookmarkStart w:id="87" w:name="_Toc10620_WPSOffice_Level2"/>
      <w:r>
        <w:rPr>
          <w:rFonts w:hint="eastAsia" w:ascii="楷体" w:hAnsi="楷体" w:eastAsia="楷体" w:cs="楷体"/>
          <w:b/>
          <w:color w:val="auto"/>
          <w:sz w:val="32"/>
          <w:szCs w:val="32"/>
        </w:rPr>
        <w:t>（一）指导思想</w:t>
      </w:r>
      <w:bookmarkEnd w:id="87"/>
    </w:p>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深入贯彻党的十九大和历次全会精神,全面落实习近平总书记对民政工作的重要指示，坚持党建引领，践行以人民为中心发展思想，秉持“民政为民、民政爱民”工作理念，以高质量绿色发展为主线，以数字智治为支撑，以“五大计划”为抓手，以“丽水之干”担纲“丽水之赞”，高效推进省“民政30条”、市“民政</w:t>
      </w:r>
      <w:r>
        <w:rPr>
          <w:rFonts w:ascii="仿宋" w:hAnsi="仿宋" w:eastAsia="仿宋" w:cs="仿宋"/>
          <w:color w:val="auto"/>
          <w:sz w:val="32"/>
          <w:szCs w:val="32"/>
        </w:rPr>
        <w:t>22</w:t>
      </w:r>
      <w:r>
        <w:rPr>
          <w:rFonts w:hint="eastAsia" w:ascii="仿宋" w:hAnsi="仿宋" w:eastAsia="仿宋" w:cs="仿宋"/>
          <w:color w:val="auto"/>
          <w:sz w:val="32"/>
          <w:szCs w:val="32"/>
        </w:rPr>
        <w:t>条”落地，全面打造幸福颐养、精准保障、和谐自治、暖心服务“四个标杆区”，加快构建与“高水平建设和高质量发展重要窗口”相适应的丽水民政新格局。</w:t>
      </w:r>
    </w:p>
    <w:p>
      <w:pPr>
        <w:spacing w:line="540" w:lineRule="exact"/>
        <w:ind w:firstLine="643" w:firstLineChars="200"/>
        <w:outlineLvl w:val="1"/>
        <w:rPr>
          <w:rFonts w:ascii="楷体" w:hAnsi="楷体" w:eastAsia="楷体" w:cs="楷体"/>
          <w:b/>
          <w:color w:val="auto"/>
          <w:sz w:val="32"/>
          <w:szCs w:val="32"/>
        </w:rPr>
      </w:pPr>
      <w:bookmarkStart w:id="88" w:name="_Toc19957_WPSOffice_Level2"/>
      <w:r>
        <w:rPr>
          <w:rFonts w:hint="eastAsia" w:ascii="楷体" w:hAnsi="楷体" w:eastAsia="楷体" w:cs="楷体"/>
          <w:b/>
          <w:color w:val="auto"/>
          <w:sz w:val="32"/>
          <w:szCs w:val="32"/>
        </w:rPr>
        <w:t>（二）基本原则</w:t>
      </w:r>
      <w:bookmarkEnd w:id="88"/>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——坚持党建引领，统筹发展</w:t>
      </w:r>
      <w:r>
        <w:rPr>
          <w:rFonts w:hint="eastAsia" w:ascii="仿宋" w:hAnsi="仿宋" w:eastAsia="仿宋" w:cs="仿宋"/>
          <w:color w:val="auto"/>
          <w:sz w:val="32"/>
          <w:szCs w:val="32"/>
        </w:rPr>
        <w:t>。坚持党的全面领导，把党的领导贯穿民政事业改革发展全过程，推动党建引领和民政工作“双融双促”，为民政高质量发展提供保障。坚持系统思维，发挥政府统筹职能，调动市场与社会力量，形成供给合力，满足群众多样化和多层次需求。</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——坚持民生为本，共享发展。</w:t>
      </w:r>
      <w:r>
        <w:rPr>
          <w:rFonts w:hint="eastAsia" w:ascii="仿宋" w:hAnsi="仿宋" w:eastAsia="仿宋" w:cs="仿宋"/>
          <w:color w:val="auto"/>
          <w:sz w:val="32"/>
          <w:szCs w:val="32"/>
        </w:rPr>
        <w:t>着力解决人民群众最关心最直接最现实的民生问题，补齐民生领域短板。推动公共服务均衡发展，实现优质公共资源共享，不断提升人民群众获得感和幸福感，促进共同富裕。</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——坚持数字赋能，创新发展</w:t>
      </w:r>
      <w:r>
        <w:rPr>
          <w:rFonts w:hint="eastAsia" w:ascii="仿宋" w:hAnsi="仿宋" w:eastAsia="仿宋" w:cs="仿宋"/>
          <w:color w:val="auto"/>
          <w:sz w:val="32"/>
          <w:szCs w:val="32"/>
        </w:rPr>
        <w:t>。推进民政数字化转型，树立“整体智治、高效协同”理念，增强数字意识，完善数据质量。创新模式，实现个性化应用场景突破，为民政暖心服务和治理效能提供支撑。</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——坚持依法行政，健康发展。</w:t>
      </w:r>
      <w:r>
        <w:rPr>
          <w:rFonts w:hint="eastAsia" w:ascii="仿宋" w:hAnsi="仿宋" w:eastAsia="仿宋" w:cs="仿宋"/>
          <w:color w:val="auto"/>
          <w:sz w:val="32"/>
          <w:szCs w:val="32"/>
        </w:rPr>
        <w:t>推进法治民政建设，加强依法监管，营造尊法、学法、守法、用法良好风气，树立底线思维和风险意识。加强民政工作制度化、规范化、科学化管理，促进民政事业稳步健康发展。</w:t>
      </w:r>
    </w:p>
    <w:p>
      <w:pPr>
        <w:autoSpaceDE w:val="0"/>
        <w:autoSpaceDN w:val="0"/>
        <w:adjustRightInd w:val="0"/>
        <w:spacing w:line="540" w:lineRule="exact"/>
        <w:ind w:firstLine="643" w:firstLineChars="200"/>
        <w:outlineLvl w:val="1"/>
        <w:rPr>
          <w:rFonts w:ascii="楷体" w:hAnsi="楷体" w:eastAsia="楷体" w:cs="楷体"/>
          <w:color w:val="auto"/>
          <w:kern w:val="0"/>
          <w:sz w:val="32"/>
          <w:szCs w:val="32"/>
        </w:rPr>
      </w:pPr>
      <w:bookmarkStart w:id="89" w:name="_Toc6044_WPSOffice_Level2"/>
      <w:r>
        <w:rPr>
          <w:rFonts w:hint="eastAsia" w:ascii="楷体" w:hAnsi="楷体" w:eastAsia="楷体" w:cs="楷体"/>
          <w:b/>
          <w:color w:val="auto"/>
          <w:sz w:val="32"/>
          <w:szCs w:val="32"/>
        </w:rPr>
        <w:t>（三）发展目标</w:t>
      </w:r>
      <w:bookmarkEnd w:id="89"/>
    </w:p>
    <w:p>
      <w:pPr>
        <w:widowControl/>
        <w:adjustRightInd w:val="0"/>
        <w:snapToGrid w:val="0"/>
        <w:spacing w:line="540" w:lineRule="exact"/>
        <w:ind w:firstLine="643" w:firstLineChars="200"/>
        <w:rPr>
          <w:rFonts w:ascii="仿宋" w:hAnsi="仿宋" w:eastAsia="仿宋" w:cs="仿宋"/>
          <w:b/>
          <w:bCs/>
          <w:color w:val="auto"/>
          <w:sz w:val="32"/>
          <w:szCs w:val="32"/>
        </w:rPr>
      </w:pPr>
      <w:bookmarkStart w:id="90" w:name="_Toc19957_WPSOffice_Level3"/>
      <w:bookmarkStart w:id="91" w:name="_Toc18948_WPSOffice_Level3"/>
      <w:r>
        <w:rPr>
          <w:rFonts w:hint="eastAsia" w:ascii="仿宋" w:hAnsi="仿宋" w:eastAsia="仿宋" w:cs="仿宋"/>
          <w:b/>
          <w:bCs/>
          <w:color w:val="auto"/>
          <w:sz w:val="32"/>
          <w:szCs w:val="32"/>
        </w:rPr>
        <w:t>1.总体目标</w:t>
      </w:r>
      <w:bookmarkEnd w:id="90"/>
      <w:bookmarkEnd w:id="91"/>
    </w:p>
    <w:p>
      <w:pPr>
        <w:widowControl/>
        <w:adjustRightInd w:val="0"/>
        <w:snapToGrid w:val="0"/>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到2025年，基本建成与经济社会发展水平相适应的民政事业发展新格局，养老服务更加专业、更加多元，社会救助更加精准、更有温度，社区治理更加和谐、更具活力，社会服务更加便捷、更加暖心，力争整体发展水平与全省同步走在全国前列，部分领域工作为全省乃至全国提供丽水样板。</w:t>
      </w:r>
    </w:p>
    <w:p>
      <w:pPr>
        <w:widowControl/>
        <w:adjustRightInd w:val="0"/>
        <w:snapToGrid w:val="0"/>
        <w:spacing w:line="540" w:lineRule="exact"/>
        <w:ind w:firstLine="643" w:firstLineChars="200"/>
        <w:jc w:val="left"/>
        <w:rPr>
          <w:rFonts w:ascii="仿宋" w:hAnsi="仿宋" w:eastAsia="仿宋" w:cs="仿宋"/>
          <w:b/>
          <w:bCs/>
          <w:color w:val="auto"/>
          <w:sz w:val="32"/>
          <w:szCs w:val="32"/>
        </w:rPr>
      </w:pPr>
      <w:bookmarkStart w:id="92" w:name="_Toc824_WPSOffice_Level3"/>
      <w:bookmarkStart w:id="93" w:name="_Toc6044_WPSOffice_Level3"/>
      <w:r>
        <w:rPr>
          <w:rFonts w:hint="eastAsia" w:ascii="仿宋" w:hAnsi="仿宋" w:eastAsia="仿宋" w:cs="仿宋"/>
          <w:b/>
          <w:bCs/>
          <w:color w:val="auto"/>
          <w:sz w:val="32"/>
          <w:szCs w:val="32"/>
        </w:rPr>
        <w:t>2.主要指标</w:t>
      </w:r>
      <w:bookmarkEnd w:id="92"/>
      <w:bookmarkEnd w:id="93"/>
    </w:p>
    <w:tbl>
      <w:tblPr>
        <w:tblStyle w:val="3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897"/>
        <w:gridCol w:w="913"/>
        <w:gridCol w:w="1262"/>
        <w:gridCol w:w="123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Pr>
          <w:p>
            <w:pPr>
              <w:jc w:val="center"/>
              <w:rPr>
                <w:rFonts w:ascii="Calibri" w:hAnsi="Calibri" w:eastAsia="宋体" w:cs="Times New Roman"/>
                <w:color w:val="auto"/>
                <w:szCs w:val="24"/>
              </w:rPr>
            </w:pPr>
            <w:r>
              <w:rPr>
                <w:rFonts w:hint="eastAsia" w:ascii="Calibri" w:hAnsi="Calibri" w:eastAsia="宋体" w:cs="Times New Roman"/>
                <w:b/>
                <w:bCs/>
                <w:color w:val="auto"/>
                <w:sz w:val="28"/>
                <w:szCs w:val="28"/>
              </w:rPr>
              <w:t>丽水市民政事业“十四五”时期发展主要指标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序号</w:t>
            </w:r>
          </w:p>
        </w:tc>
        <w:tc>
          <w:tcPr>
            <w:tcW w:w="3897"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主要指标</w:t>
            </w:r>
          </w:p>
        </w:tc>
        <w:tc>
          <w:tcPr>
            <w:tcW w:w="913"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2020年</w:t>
            </w:r>
          </w:p>
          <w:p>
            <w:pPr>
              <w:jc w:val="center"/>
              <w:rPr>
                <w:rFonts w:ascii="Calibri" w:hAnsi="Calibri" w:eastAsia="宋体" w:cs="Times New Roman"/>
                <w:b/>
                <w:bCs/>
                <w:color w:val="auto"/>
              </w:rPr>
            </w:pPr>
            <w:r>
              <w:rPr>
                <w:rFonts w:hint="eastAsia" w:ascii="Calibri" w:hAnsi="Calibri" w:eastAsia="宋体" w:cs="Times New Roman"/>
                <w:b/>
                <w:bCs/>
                <w:color w:val="auto"/>
              </w:rPr>
              <w:t>实际值</w:t>
            </w:r>
          </w:p>
        </w:tc>
        <w:tc>
          <w:tcPr>
            <w:tcW w:w="1262"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2022年</w:t>
            </w:r>
          </w:p>
          <w:p>
            <w:pPr>
              <w:jc w:val="center"/>
              <w:rPr>
                <w:rFonts w:ascii="Calibri" w:hAnsi="Calibri" w:eastAsia="宋体" w:cs="Times New Roman"/>
                <w:b/>
                <w:bCs/>
                <w:color w:val="auto"/>
              </w:rPr>
            </w:pPr>
            <w:r>
              <w:rPr>
                <w:rFonts w:hint="eastAsia" w:ascii="Calibri" w:hAnsi="Calibri" w:eastAsia="宋体" w:cs="Times New Roman"/>
                <w:b/>
                <w:bCs/>
                <w:color w:val="auto"/>
              </w:rPr>
              <w:t>目标值</w:t>
            </w:r>
          </w:p>
        </w:tc>
        <w:tc>
          <w:tcPr>
            <w:tcW w:w="1238"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2025年</w:t>
            </w:r>
          </w:p>
          <w:p>
            <w:pPr>
              <w:jc w:val="center"/>
              <w:rPr>
                <w:rFonts w:ascii="Calibri" w:hAnsi="Calibri" w:eastAsia="宋体" w:cs="Times New Roman"/>
                <w:b/>
                <w:bCs/>
                <w:color w:val="auto"/>
              </w:rPr>
            </w:pPr>
            <w:r>
              <w:rPr>
                <w:rFonts w:hint="eastAsia" w:ascii="Calibri" w:hAnsi="Calibri" w:eastAsia="宋体" w:cs="Times New Roman"/>
                <w:b/>
                <w:bCs/>
                <w:color w:val="auto"/>
              </w:rPr>
              <w:t>目标值</w:t>
            </w:r>
          </w:p>
        </w:tc>
        <w:tc>
          <w:tcPr>
            <w:tcW w:w="875" w:type="dxa"/>
            <w:vAlign w:val="center"/>
          </w:tcPr>
          <w:p>
            <w:pPr>
              <w:jc w:val="center"/>
              <w:rPr>
                <w:rFonts w:ascii="Calibri" w:hAnsi="Calibri" w:eastAsia="宋体" w:cs="Times New Roman"/>
                <w:b/>
                <w:bCs/>
                <w:color w:val="auto"/>
              </w:rPr>
            </w:pPr>
            <w:r>
              <w:rPr>
                <w:rFonts w:hint="eastAsia" w:ascii="Calibri" w:hAnsi="Calibri" w:eastAsia="宋体" w:cs="Times New Roman"/>
                <w:b/>
                <w:bCs/>
                <w:color w:val="auto"/>
              </w:rPr>
              <w:t>指标</w:t>
            </w:r>
          </w:p>
          <w:p>
            <w:pPr>
              <w:jc w:val="center"/>
              <w:rPr>
                <w:rFonts w:ascii="Calibri" w:hAnsi="Calibri" w:eastAsia="宋体" w:cs="Times New Roman"/>
                <w:b/>
                <w:bCs/>
                <w:color w:val="auto"/>
              </w:rPr>
            </w:pPr>
            <w:r>
              <w:rPr>
                <w:rFonts w:hint="eastAsia" w:ascii="Calibri" w:hAnsi="Calibri" w:eastAsia="宋体" w:cs="Times New Roman"/>
                <w:b/>
                <w:bCs/>
                <w:color w:val="auto"/>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vAlign w:val="center"/>
          </w:tcPr>
          <w:p>
            <w:pPr>
              <w:jc w:val="left"/>
              <w:rPr>
                <w:rFonts w:ascii="Calibri" w:hAnsi="Calibri" w:eastAsia="宋体" w:cs="Times New Roman"/>
                <w:b/>
                <w:bCs/>
                <w:color w:val="auto"/>
              </w:rPr>
            </w:pPr>
            <w:r>
              <w:rPr>
                <w:rFonts w:hint="eastAsia" w:ascii="Calibri" w:hAnsi="Calibri" w:eastAsia="宋体" w:cs="Times New Roman"/>
                <w:b/>
                <w:bCs/>
                <w:color w:val="auto"/>
                <w:szCs w:val="24"/>
              </w:rPr>
              <w:t>幸福颐养标杆区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1</w:t>
            </w:r>
          </w:p>
        </w:tc>
        <w:tc>
          <w:tcPr>
            <w:tcW w:w="3897" w:type="dxa"/>
            <w:vAlign w:val="center"/>
          </w:tcPr>
          <w:p>
            <w:pPr>
              <w:rPr>
                <w:rFonts w:ascii="Calibri" w:hAnsi="Calibri" w:eastAsia="宋体" w:cs="Times New Roman"/>
                <w:b/>
                <w:bCs/>
                <w:color w:val="auto"/>
              </w:rPr>
            </w:pPr>
            <w:r>
              <w:rPr>
                <w:rFonts w:hint="eastAsia" w:ascii="Calibri" w:hAnsi="Calibri" w:eastAsia="宋体" w:cs="Times New Roman"/>
                <w:color w:val="auto"/>
                <w:szCs w:val="24"/>
              </w:rPr>
              <w:t>每万老年人拥有执证养老护理员数（人）</w:t>
            </w:r>
          </w:p>
        </w:tc>
        <w:tc>
          <w:tcPr>
            <w:tcW w:w="913"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12</w:t>
            </w:r>
          </w:p>
        </w:tc>
        <w:tc>
          <w:tcPr>
            <w:tcW w:w="1262"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2</w:t>
            </w:r>
            <w:r>
              <w:rPr>
                <w:rFonts w:ascii="Calibri" w:hAnsi="Calibri" w:eastAsia="宋体" w:cs="Times New Roman"/>
                <w:color w:val="auto"/>
                <w:szCs w:val="24"/>
              </w:rPr>
              <w:t>0</w:t>
            </w:r>
          </w:p>
        </w:tc>
        <w:tc>
          <w:tcPr>
            <w:tcW w:w="1238"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25</w:t>
            </w:r>
          </w:p>
        </w:tc>
        <w:tc>
          <w:tcPr>
            <w:tcW w:w="87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2</w:t>
            </w:r>
          </w:p>
        </w:tc>
        <w:tc>
          <w:tcPr>
            <w:tcW w:w="3897" w:type="dxa"/>
            <w:vAlign w:val="center"/>
          </w:tcPr>
          <w:p>
            <w:pPr>
              <w:rPr>
                <w:rFonts w:ascii="Calibri" w:hAnsi="Calibri" w:eastAsia="宋体" w:cs="Times New Roman"/>
                <w:b/>
                <w:bCs/>
                <w:color w:val="auto"/>
              </w:rPr>
            </w:pPr>
            <w:r>
              <w:rPr>
                <w:rFonts w:hint="eastAsia" w:ascii="Calibri" w:hAnsi="Calibri" w:eastAsia="宋体" w:cs="Times New Roman"/>
                <w:color w:val="auto"/>
                <w:szCs w:val="24"/>
              </w:rPr>
              <w:t>护理型床位占养老机构床位比例（%）</w:t>
            </w:r>
          </w:p>
        </w:tc>
        <w:tc>
          <w:tcPr>
            <w:tcW w:w="913"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54.9</w:t>
            </w:r>
          </w:p>
        </w:tc>
        <w:tc>
          <w:tcPr>
            <w:tcW w:w="1262" w:type="dxa"/>
            <w:vAlign w:val="center"/>
          </w:tcPr>
          <w:p>
            <w:pPr>
              <w:jc w:val="center"/>
              <w:rPr>
                <w:rFonts w:ascii="Calibri" w:hAnsi="Calibri" w:eastAsia="宋体" w:cs="Times New Roman"/>
                <w:b/>
                <w:bCs/>
                <w:color w:val="auto"/>
              </w:rPr>
            </w:pPr>
            <w:r>
              <w:rPr>
                <w:rFonts w:ascii="Calibri" w:hAnsi="Calibri" w:eastAsia="宋体" w:cs="Times New Roman"/>
                <w:color w:val="auto"/>
                <w:szCs w:val="24"/>
              </w:rPr>
              <w:t>55</w:t>
            </w:r>
          </w:p>
        </w:tc>
        <w:tc>
          <w:tcPr>
            <w:tcW w:w="1238"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58</w:t>
            </w:r>
          </w:p>
        </w:tc>
        <w:tc>
          <w:tcPr>
            <w:tcW w:w="87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3</w:t>
            </w:r>
          </w:p>
        </w:tc>
        <w:tc>
          <w:tcPr>
            <w:tcW w:w="3897" w:type="dxa"/>
            <w:vAlign w:val="center"/>
          </w:tcPr>
          <w:p>
            <w:pPr>
              <w:rPr>
                <w:rFonts w:ascii="Calibri" w:hAnsi="Calibri" w:eastAsia="宋体" w:cs="Times New Roman"/>
                <w:b/>
                <w:bCs/>
                <w:color w:val="auto"/>
              </w:rPr>
            </w:pPr>
            <w:r>
              <w:rPr>
                <w:rFonts w:hint="eastAsia" w:ascii="Calibri" w:hAnsi="Calibri" w:eastAsia="宋体" w:cs="Times New Roman"/>
                <w:color w:val="auto"/>
                <w:szCs w:val="24"/>
              </w:rPr>
              <w:t>康养联合体数（个）</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0</w:t>
            </w:r>
          </w:p>
        </w:tc>
        <w:tc>
          <w:tcPr>
            <w:tcW w:w="1262" w:type="dxa"/>
            <w:vAlign w:val="center"/>
          </w:tcPr>
          <w:p>
            <w:pPr>
              <w:jc w:val="center"/>
              <w:rPr>
                <w:rFonts w:ascii="Calibri" w:hAnsi="Calibri" w:eastAsia="宋体" w:cs="Times New Roman"/>
                <w:b/>
                <w:bCs/>
                <w:color w:val="auto"/>
              </w:rPr>
            </w:pPr>
            <w:r>
              <w:rPr>
                <w:rFonts w:ascii="Calibri" w:hAnsi="Calibri" w:eastAsia="宋体" w:cs="Times New Roman"/>
                <w:color w:val="auto"/>
                <w:szCs w:val="24"/>
              </w:rPr>
              <w:t>40</w:t>
            </w:r>
          </w:p>
        </w:tc>
        <w:tc>
          <w:tcPr>
            <w:tcW w:w="1238"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100</w:t>
            </w:r>
          </w:p>
        </w:tc>
        <w:tc>
          <w:tcPr>
            <w:tcW w:w="875" w:type="dxa"/>
            <w:vAlign w:val="center"/>
          </w:tcPr>
          <w:p>
            <w:pPr>
              <w:jc w:val="center"/>
              <w:rPr>
                <w:rFonts w:ascii="Calibri" w:hAnsi="Calibri" w:eastAsia="宋体" w:cs="Times New Roman"/>
                <w:b/>
                <w:bCs/>
                <w:color w:val="auto"/>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Pr>
          <w:p>
            <w:pPr>
              <w:rPr>
                <w:rFonts w:ascii="Calibri" w:hAnsi="Calibri" w:eastAsia="宋体" w:cs="Times New Roman"/>
                <w:color w:val="auto"/>
                <w:szCs w:val="24"/>
              </w:rPr>
            </w:pPr>
            <w:r>
              <w:rPr>
                <w:rFonts w:hint="eastAsia" w:ascii="Calibri" w:hAnsi="Calibri" w:eastAsia="宋体" w:cs="Times New Roman"/>
                <w:b/>
                <w:bCs/>
                <w:color w:val="auto"/>
                <w:szCs w:val="24"/>
              </w:rPr>
              <w:t>精准保障标杆区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4</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城乡居民最低生活保障标准（元/年）</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10200</w:t>
            </w:r>
          </w:p>
        </w:tc>
        <w:tc>
          <w:tcPr>
            <w:tcW w:w="1262"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11000</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13000</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5</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救助“一件事”惠民联办率（%）</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0</w:t>
            </w:r>
          </w:p>
        </w:tc>
        <w:tc>
          <w:tcPr>
            <w:tcW w:w="1262"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70</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100</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Pr>
          <w:p>
            <w:pPr>
              <w:rPr>
                <w:rFonts w:ascii="Calibri" w:hAnsi="Calibri" w:eastAsia="宋体" w:cs="Times New Roman"/>
                <w:color w:val="auto"/>
                <w:szCs w:val="24"/>
              </w:rPr>
            </w:pPr>
            <w:r>
              <w:rPr>
                <w:rFonts w:hint="eastAsia" w:ascii="Calibri" w:hAnsi="Calibri" w:eastAsia="宋体" w:cs="Times New Roman"/>
                <w:b/>
                <w:bCs/>
                <w:color w:val="auto"/>
                <w:szCs w:val="24"/>
              </w:rPr>
              <w:t>和谐自治标杆区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6</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每万人拥有登记社会组织数（个）</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12.7</w:t>
            </w:r>
          </w:p>
        </w:tc>
        <w:tc>
          <w:tcPr>
            <w:tcW w:w="1262"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w:t>
            </w:r>
            <w:r>
              <w:rPr>
                <w:rFonts w:ascii="Calibri" w:hAnsi="Calibri" w:eastAsia="宋体" w:cs="Times New Roman"/>
                <w:color w:val="auto"/>
                <w:szCs w:val="24"/>
              </w:rPr>
              <w:t>3</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16</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7</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每万人持证社会工作专业人才数（人）</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9</w:t>
            </w:r>
          </w:p>
        </w:tc>
        <w:tc>
          <w:tcPr>
            <w:tcW w:w="1262"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1</w:t>
            </w:r>
            <w:r>
              <w:rPr>
                <w:rFonts w:ascii="Calibri" w:hAnsi="Calibri" w:eastAsia="宋体" w:cs="Times New Roman"/>
                <w:color w:val="auto"/>
                <w:szCs w:val="24"/>
              </w:rPr>
              <w:t>8</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20</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Pr>
          <w:p>
            <w:pPr>
              <w:rPr>
                <w:rFonts w:ascii="Calibri" w:hAnsi="Calibri" w:eastAsia="宋体" w:cs="Times New Roman"/>
                <w:color w:val="auto"/>
                <w:szCs w:val="24"/>
              </w:rPr>
            </w:pPr>
            <w:r>
              <w:rPr>
                <w:rFonts w:hint="eastAsia" w:ascii="Calibri" w:hAnsi="Calibri" w:eastAsia="宋体" w:cs="Times New Roman"/>
                <w:b/>
                <w:bCs/>
                <w:color w:val="auto"/>
                <w:szCs w:val="24"/>
              </w:rPr>
              <w:t>暖心服务标杆区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8</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节地生态安葬率（%）</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58</w:t>
            </w:r>
          </w:p>
        </w:tc>
        <w:tc>
          <w:tcPr>
            <w:tcW w:w="1262" w:type="dxa"/>
            <w:vAlign w:val="center"/>
          </w:tcPr>
          <w:p>
            <w:pPr>
              <w:jc w:val="center"/>
              <w:rPr>
                <w:rFonts w:ascii="Calibri" w:hAnsi="Calibri" w:eastAsia="宋体" w:cs="Times New Roman"/>
                <w:color w:val="auto"/>
                <w:szCs w:val="24"/>
              </w:rPr>
            </w:pPr>
            <w:r>
              <w:rPr>
                <w:rFonts w:ascii="Calibri" w:hAnsi="Calibri" w:eastAsia="宋体" w:cs="Times New Roman"/>
                <w:color w:val="auto"/>
                <w:szCs w:val="24"/>
              </w:rPr>
              <w:t>60</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70</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9</w:t>
            </w:r>
          </w:p>
        </w:tc>
        <w:tc>
          <w:tcPr>
            <w:tcW w:w="3897" w:type="dxa"/>
            <w:vAlign w:val="center"/>
          </w:tcPr>
          <w:p>
            <w:pPr>
              <w:rPr>
                <w:rFonts w:ascii="Calibri" w:hAnsi="Calibri" w:eastAsia="宋体" w:cs="Times New Roman"/>
                <w:color w:val="auto"/>
                <w:szCs w:val="24"/>
              </w:rPr>
            </w:pPr>
            <w:r>
              <w:rPr>
                <w:rFonts w:hint="eastAsia" w:ascii="Calibri" w:hAnsi="Calibri" w:eastAsia="宋体" w:cs="Times New Roman"/>
                <w:color w:val="auto"/>
                <w:szCs w:val="24"/>
              </w:rPr>
              <w:t>4A级标准婚姻登记机关覆盖率（%）</w:t>
            </w:r>
          </w:p>
        </w:tc>
        <w:tc>
          <w:tcPr>
            <w:tcW w:w="913"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0</w:t>
            </w:r>
          </w:p>
        </w:tc>
        <w:tc>
          <w:tcPr>
            <w:tcW w:w="1262"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20</w:t>
            </w:r>
          </w:p>
        </w:tc>
        <w:tc>
          <w:tcPr>
            <w:tcW w:w="1238"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40</w:t>
            </w:r>
          </w:p>
        </w:tc>
        <w:tc>
          <w:tcPr>
            <w:tcW w:w="875" w:type="dxa"/>
            <w:vAlign w:val="center"/>
          </w:tcPr>
          <w:p>
            <w:pPr>
              <w:jc w:val="center"/>
              <w:rPr>
                <w:rFonts w:ascii="Calibri" w:hAnsi="Calibri" w:eastAsia="宋体" w:cs="Times New Roman"/>
                <w:color w:val="auto"/>
                <w:szCs w:val="24"/>
              </w:rPr>
            </w:pPr>
            <w:r>
              <w:rPr>
                <w:rFonts w:hint="eastAsia" w:ascii="Calibri" w:hAnsi="Calibri" w:eastAsia="宋体" w:cs="Times New Roman"/>
                <w:color w:val="auto"/>
                <w:szCs w:val="24"/>
              </w:rPr>
              <w:t>预期性</w:t>
            </w:r>
          </w:p>
        </w:tc>
      </w:tr>
    </w:tbl>
    <w:p>
      <w:pPr>
        <w:spacing w:line="540" w:lineRule="exact"/>
        <w:ind w:firstLine="640" w:firstLineChars="200"/>
        <w:outlineLvl w:val="0"/>
        <w:rPr>
          <w:rFonts w:ascii="黑体" w:hAnsi="黑体" w:eastAsia="黑体" w:cs="黑体"/>
          <w:color w:val="auto"/>
          <w:sz w:val="32"/>
          <w:szCs w:val="32"/>
        </w:rPr>
      </w:pPr>
      <w:bookmarkStart w:id="94" w:name="_Toc28378_WPSOffice_Level1"/>
      <w:r>
        <w:rPr>
          <w:rFonts w:hint="eastAsia" w:ascii="黑体" w:hAnsi="黑体" w:eastAsia="黑体" w:cs="黑体"/>
          <w:color w:val="auto"/>
          <w:sz w:val="32"/>
          <w:szCs w:val="32"/>
        </w:rPr>
        <w:t>三、主要任务</w:t>
      </w:r>
      <w:bookmarkEnd w:id="94"/>
    </w:p>
    <w:p>
      <w:pPr>
        <w:spacing w:line="540" w:lineRule="exact"/>
        <w:ind w:firstLine="643" w:firstLineChars="200"/>
        <w:outlineLvl w:val="1"/>
        <w:rPr>
          <w:rFonts w:ascii="楷体" w:hAnsi="楷体" w:eastAsia="楷体" w:cs="楷体"/>
          <w:b/>
          <w:color w:val="auto"/>
          <w:sz w:val="32"/>
          <w:szCs w:val="32"/>
        </w:rPr>
      </w:pPr>
      <w:bookmarkStart w:id="95" w:name="_Toc14561_WPSOffice_Level2"/>
      <w:bookmarkStart w:id="96" w:name="_Toc18016_WPSOffice_Level2"/>
      <w:r>
        <w:rPr>
          <w:rFonts w:hint="eastAsia" w:ascii="楷体" w:hAnsi="楷体" w:eastAsia="楷体" w:cs="楷体"/>
          <w:b/>
          <w:color w:val="auto"/>
          <w:sz w:val="32"/>
          <w:szCs w:val="32"/>
        </w:rPr>
        <w:t>（一）实施山区养老融合推进计划</w:t>
      </w:r>
      <w:bookmarkEnd w:id="95"/>
      <w:bookmarkEnd w:id="96"/>
    </w:p>
    <w:p>
      <w:pPr>
        <w:spacing w:line="54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积极应对人口老龄化，着眼建设居家社区机构相协调、医养康养相结合的养老服务体系，聚焦基本养老服务，聚焦失能失智照护，聚焦专业人才培养，激发家庭养老功能、促进多元市场培育、强化行业综合监管、弘扬积极老龄观念，努力打造全省的“幸福颐养标杆区”，不断提升老年人及其家庭的获得感、幸福感和安全感。</w:t>
      </w:r>
    </w:p>
    <w:p>
      <w:pPr>
        <w:spacing w:line="540" w:lineRule="exact"/>
        <w:ind w:firstLine="643" w:firstLineChars="200"/>
        <w:rPr>
          <w:rFonts w:ascii="仿宋" w:hAnsi="仿宋" w:eastAsia="仿宋" w:cs="仿宋"/>
          <w:color w:val="auto"/>
          <w:sz w:val="32"/>
          <w:szCs w:val="32"/>
          <w:shd w:val="clear" w:color="auto" w:fill="FFFFFF"/>
        </w:rPr>
      </w:pPr>
      <w:bookmarkStart w:id="97" w:name="_Toc14561_WPSOffice_Level3"/>
      <w:r>
        <w:rPr>
          <w:rFonts w:hint="eastAsia" w:ascii="仿宋" w:hAnsi="仿宋" w:eastAsia="仿宋" w:cs="仿宋"/>
          <w:b/>
          <w:bCs/>
          <w:color w:val="auto"/>
          <w:sz w:val="32"/>
          <w:szCs w:val="32"/>
          <w:shd w:val="clear" w:color="auto" w:fill="FFFFFF"/>
        </w:rPr>
        <w:t>1.健全政府、家庭和市场相融合的政策机制</w:t>
      </w:r>
      <w:bookmarkEnd w:id="97"/>
    </w:p>
    <w:p>
      <w:pPr>
        <w:spacing w:line="54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按照“政府主导、家庭主责、市场主体”的养老服务体系建设职能定位，统筹谋划养老服务政策机制，引导推进养老服务事业和产业协调有序发展。</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突出政府基本养老服务。</w:t>
      </w:r>
      <w:r>
        <w:rPr>
          <w:rFonts w:hint="eastAsia" w:ascii="仿宋" w:hAnsi="仿宋" w:eastAsia="仿宋" w:cs="仿宋"/>
          <w:color w:val="auto"/>
          <w:sz w:val="32"/>
          <w:szCs w:val="32"/>
          <w:shd w:val="clear" w:color="auto" w:fill="FFFFFF"/>
        </w:rPr>
        <w:t>坚持“保障基本、聚焦刚需、适度普惠”的原则，明确基本养老服务的保障对象、服务项目、补贴标准和支付渠道，兜住基本养老民生底线。</w:t>
      </w:r>
      <w:r>
        <w:rPr>
          <w:rFonts w:hint="eastAsia" w:ascii="仿宋" w:hAnsi="仿宋" w:eastAsia="仿宋" w:cs="仿宋"/>
          <w:b/>
          <w:bCs/>
          <w:color w:val="auto"/>
          <w:sz w:val="32"/>
          <w:szCs w:val="32"/>
          <w:shd w:val="clear" w:color="auto" w:fill="FFFFFF"/>
        </w:rPr>
        <w:t>一是精准认定基本养老服务保障对象。</w:t>
      </w:r>
      <w:r>
        <w:rPr>
          <w:rFonts w:hint="eastAsia" w:ascii="仿宋" w:hAnsi="仿宋" w:eastAsia="仿宋" w:cs="仿宋"/>
          <w:color w:val="auto"/>
          <w:sz w:val="32"/>
          <w:szCs w:val="32"/>
          <w:shd w:val="clear" w:color="auto" w:fill="FFFFFF"/>
        </w:rPr>
        <w:t>在全面开展养老服务需求调查摸底的基础上，实施统一的老年人能力评估、照护需求评估及辅具适配评估，依托“浙里养”和丽水居养平台，建立基本养老服务对象信息和需求动态数据库，精准识别服务对象和需求，分类确定照护等级和方式。</w:t>
      </w:r>
      <w:r>
        <w:rPr>
          <w:rFonts w:hint="eastAsia" w:ascii="仿宋" w:hAnsi="仿宋" w:eastAsia="仿宋" w:cs="仿宋"/>
          <w:b/>
          <w:bCs/>
          <w:color w:val="auto"/>
          <w:sz w:val="32"/>
          <w:szCs w:val="32"/>
          <w:shd w:val="clear" w:color="auto" w:fill="FFFFFF"/>
        </w:rPr>
        <w:t>二是合理编制基本养老服务项目清单。</w:t>
      </w:r>
      <w:r>
        <w:rPr>
          <w:rFonts w:hint="eastAsia" w:ascii="仿宋" w:hAnsi="仿宋" w:eastAsia="仿宋" w:cs="仿宋"/>
          <w:color w:val="auto"/>
          <w:sz w:val="32"/>
          <w:szCs w:val="32"/>
          <w:shd w:val="clear" w:color="auto" w:fill="FFFFFF"/>
        </w:rPr>
        <w:t>聚焦失能失智老年人的专业照护需求，全面梳理、归类现有政府购买养老服务项目内容，编制丽水市基本养老服务项目清单，明确具体项目、服务标准、指导价格及绩效评价等内容。基本养老服务项目突出失能失智老年人的生活照料、康复护理、辅具适配等专业照护内容。</w:t>
      </w:r>
      <w:r>
        <w:rPr>
          <w:rFonts w:hint="eastAsia" w:ascii="仿宋" w:hAnsi="仿宋" w:eastAsia="仿宋" w:cs="仿宋"/>
          <w:b/>
          <w:bCs/>
          <w:color w:val="auto"/>
          <w:sz w:val="32"/>
          <w:szCs w:val="32"/>
          <w:shd w:val="clear" w:color="auto" w:fill="FFFFFF"/>
        </w:rPr>
        <w:t>三是健全完善基本养老服务支付体系。</w:t>
      </w:r>
      <w:r>
        <w:rPr>
          <w:rFonts w:hint="eastAsia" w:ascii="仿宋" w:hAnsi="仿宋" w:eastAsia="仿宋" w:cs="仿宋"/>
          <w:color w:val="auto"/>
          <w:sz w:val="32"/>
          <w:szCs w:val="32"/>
          <w:shd w:val="clear" w:color="auto" w:fill="FFFFFF"/>
        </w:rPr>
        <w:t>重点做好养老服务补贴、重度残疾人护理补贴</w:t>
      </w:r>
      <w:r>
        <w:rPr>
          <w:rFonts w:hint="eastAsia" w:ascii="仿宋" w:hAnsi="仿宋" w:eastAsia="仿宋" w:cs="仿宋"/>
          <w:color w:val="auto"/>
          <w:sz w:val="32"/>
          <w:szCs w:val="32"/>
          <w:shd w:val="clear" w:color="auto" w:fill="FFFFFF"/>
          <w:lang w:eastAsia="zh-CN"/>
        </w:rPr>
        <w:t>等</w:t>
      </w:r>
      <w:r>
        <w:rPr>
          <w:rFonts w:hint="eastAsia" w:ascii="仿宋" w:hAnsi="仿宋" w:eastAsia="仿宋" w:cs="仿宋"/>
          <w:color w:val="auto"/>
          <w:sz w:val="32"/>
          <w:szCs w:val="32"/>
          <w:shd w:val="clear" w:color="auto" w:fill="FFFFFF"/>
        </w:rPr>
        <w:t xml:space="preserve">制度的有效整合、有序转接和相互补充。修订新一轮《丽水市养老服务补贴实施办法》，从护理需求等级和家庭经济状况两个维度，对基本养老服务对象分类给予不同补贴，重点保障特殊和困难家庭基本养老服务需求，支持引导普通家庭养老服务消费。 </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巩固支持家庭养老。</w:t>
      </w:r>
      <w:r>
        <w:rPr>
          <w:rFonts w:hint="eastAsia" w:ascii="仿宋" w:hAnsi="仿宋" w:eastAsia="仿宋" w:cs="仿宋"/>
          <w:color w:val="auto"/>
          <w:sz w:val="32"/>
          <w:szCs w:val="32"/>
          <w:shd w:val="clear" w:color="auto" w:fill="FFFFFF"/>
        </w:rPr>
        <w:t>落实</w:t>
      </w:r>
      <w:r>
        <w:rPr>
          <w:rFonts w:hint="eastAsia" w:ascii="仿宋" w:hAnsi="仿宋" w:eastAsia="仿宋" w:cs="仿宋"/>
          <w:color w:val="auto"/>
          <w:sz w:val="32"/>
          <w:szCs w:val="32"/>
          <w:shd w:val="clear" w:color="auto" w:fill="FFFFFF"/>
          <w:lang w:eastAsia="zh-CN"/>
        </w:rPr>
        <w:t>《中华人民共和国老年人权益保障法》</w:t>
      </w:r>
      <w:r>
        <w:rPr>
          <w:rFonts w:hint="eastAsia" w:ascii="仿宋" w:hAnsi="仿宋" w:eastAsia="仿宋" w:cs="仿宋"/>
          <w:color w:val="auto"/>
          <w:sz w:val="32"/>
          <w:szCs w:val="32"/>
          <w:shd w:val="clear" w:color="auto" w:fill="FFFFFF"/>
        </w:rPr>
        <w:t>，出台《丽水市居家养老服务条例》，强化居家养老主体地位，强化家庭成员赡养责任，将传统孝道作为公民道德建设、党员干部教育和村规民约的重要内容。鼓励子女与老年人共同生活或就近居住，努力探索建立子女护理照料假制度，完善老年人自愿随子女迁移落户政策，依法保障老年人享受迁入地基本公共服务。实施家庭照护者培训计划，为失能失智老年人的家庭成员提供免费照护知识和技能培训。探索设立家庭养老照护床位，建立家庭养老床位与机构养老床位有序互转的评估、运营机制。鼓励和支持专业养老机构为失能失智老年人家庭提供免费或低偿的“喘息服务”。探索建立特殊困难老年人定期探访制度，重点关注高龄、空巢、独居、失能、失智、重残和计划生育特殊家庭、重点优抚对象等老年群体，月探访率达到100%。</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培育多元养老服务市场。</w:t>
      </w:r>
      <w:r>
        <w:rPr>
          <w:rFonts w:hint="eastAsia" w:ascii="仿宋" w:hAnsi="仿宋" w:eastAsia="仿宋" w:cs="仿宋"/>
          <w:color w:val="auto"/>
          <w:sz w:val="32"/>
          <w:szCs w:val="32"/>
          <w:shd w:val="clear" w:color="auto" w:fill="FFFFFF"/>
        </w:rPr>
        <w:t>调整养老政策扶持方向，从“补供方”向“补需方”转变，对接纳政府兜底保障对象的各类养老机构，政府按照购买服务方式给予支持。深化养老机构公建民营改革，创新“养老管家”服务模式，促进社会组织、志愿者参与养老服务，培育一批本土化连锁养老服务运营机构和养老服务品牌，培养一批老年康复辅具、食品药品、益智产品等涉老企业，引进一批国际、国内知名品牌企业发展康养产业，推进养老服务与文化、旅游、餐饮、体育、家政、教育、养生、健康、金融、地产等融合发展，吸引大中城市老年人来丽中短期养老，做大养老产业。结合浙西南康养基地建设，整合各类医疗、康复、养老资源进入养老服务领域，推进康养联合体试点建设，服务机构与居家老年人，加强未来社区康养场景建设，到2</w:t>
      </w:r>
      <w:r>
        <w:rPr>
          <w:rFonts w:ascii="仿宋" w:hAnsi="仿宋" w:eastAsia="仿宋" w:cs="仿宋"/>
          <w:color w:val="auto"/>
          <w:sz w:val="32"/>
          <w:szCs w:val="32"/>
          <w:shd w:val="clear" w:color="auto" w:fill="FFFFFF"/>
        </w:rPr>
        <w:t>022</w:t>
      </w:r>
      <w:r>
        <w:rPr>
          <w:rFonts w:hint="eastAsia" w:ascii="仿宋" w:hAnsi="仿宋" w:eastAsia="仿宋" w:cs="仿宋"/>
          <w:color w:val="auto"/>
          <w:sz w:val="32"/>
          <w:szCs w:val="32"/>
          <w:shd w:val="clear" w:color="auto" w:fill="FFFFFF"/>
        </w:rPr>
        <w:t>年，全市建成</w:t>
      </w:r>
      <w:r>
        <w:rPr>
          <w:rFonts w:ascii="仿宋" w:hAnsi="仿宋" w:eastAsia="仿宋" w:cs="仿宋"/>
          <w:color w:val="auto"/>
          <w:sz w:val="32"/>
          <w:szCs w:val="32"/>
          <w:shd w:val="clear" w:color="auto" w:fill="FFFFFF"/>
        </w:rPr>
        <w:t>4</w:t>
      </w:r>
      <w:r>
        <w:rPr>
          <w:rFonts w:hint="eastAsia" w:ascii="仿宋" w:hAnsi="仿宋" w:eastAsia="仿宋" w:cs="仿宋"/>
          <w:color w:val="auto"/>
          <w:sz w:val="32"/>
          <w:szCs w:val="32"/>
          <w:shd w:val="clear" w:color="auto" w:fill="FFFFFF"/>
        </w:rPr>
        <w:t>0家康养联合体，2025年</w:t>
      </w:r>
      <w:bookmarkStart w:id="98" w:name="_Hlk66020172"/>
      <w:r>
        <w:rPr>
          <w:rFonts w:hint="eastAsia" w:ascii="仿宋" w:hAnsi="仿宋" w:eastAsia="仿宋" w:cs="仿宋"/>
          <w:color w:val="auto"/>
          <w:sz w:val="32"/>
          <w:szCs w:val="32"/>
          <w:shd w:val="clear" w:color="auto" w:fill="FFFFFF"/>
        </w:rPr>
        <w:t>建成100家</w:t>
      </w:r>
      <w:bookmarkEnd w:id="98"/>
      <w:r>
        <w:rPr>
          <w:rFonts w:hint="eastAsia" w:ascii="仿宋" w:hAnsi="仿宋" w:eastAsia="仿宋" w:cs="仿宋"/>
          <w:color w:val="auto"/>
          <w:sz w:val="32"/>
          <w:szCs w:val="32"/>
          <w:shd w:val="clear" w:color="auto" w:fill="FFFFFF"/>
        </w:rPr>
        <w:t>。</w:t>
      </w:r>
    </w:p>
    <w:p>
      <w:pPr>
        <w:spacing w:line="540" w:lineRule="exact"/>
        <w:ind w:firstLine="643" w:firstLineChars="200"/>
        <w:rPr>
          <w:rFonts w:ascii="仿宋" w:hAnsi="仿宋" w:eastAsia="仿宋" w:cs="仿宋"/>
          <w:color w:val="auto"/>
          <w:sz w:val="32"/>
          <w:szCs w:val="32"/>
          <w:shd w:val="clear" w:color="auto" w:fill="FFFFFF"/>
        </w:rPr>
      </w:pPr>
      <w:bookmarkStart w:id="99" w:name="_Toc12310_WPSOffice_Level3"/>
      <w:r>
        <w:rPr>
          <w:rFonts w:hint="eastAsia" w:ascii="仿宋" w:hAnsi="仿宋" w:eastAsia="仿宋" w:cs="仿宋"/>
          <w:b/>
          <w:bCs/>
          <w:color w:val="auto"/>
          <w:sz w:val="32"/>
          <w:szCs w:val="32"/>
          <w:shd w:val="clear" w:color="auto" w:fill="FFFFFF"/>
        </w:rPr>
        <w:t>2.完善居家、社区和机构相协调的服务网络</w:t>
      </w:r>
      <w:bookmarkEnd w:id="99"/>
    </w:p>
    <w:p>
      <w:pPr>
        <w:spacing w:line="540" w:lineRule="exact"/>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    按照“机构分层分类、居家社区成网、环境适老宜居”的原则，着力构建城乡区域相协调，居家社区机构相协调的养老服务网络，做到“机构跟着老人走，让服务触手可及”。</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优化养老机构分层分类布局。</w:t>
      </w:r>
      <w:r>
        <w:rPr>
          <w:rFonts w:hint="eastAsia" w:ascii="仿宋" w:hAnsi="仿宋" w:eastAsia="仿宋" w:cs="仿宋"/>
          <w:color w:val="auto"/>
          <w:sz w:val="32"/>
          <w:szCs w:val="32"/>
          <w:shd w:val="clear" w:color="auto" w:fill="FFFFFF"/>
        </w:rPr>
        <w:t>结合社区规划调整，落实新一轮全市养老服务设施专项布局规划，城市突出社区嵌入式小型养老护理机构建设，采取“闲置房产改建、规划用地新建、出让（安置）地块配建”等方式，让养老院成为住宅小区的标配，让老年人离家不离社区，就近享受便捷专业的养老服务。农村突出敬老院改造提升，转型为区域性综合养老服务中心，在实现特困人员兜底保障的基础上，面向社会老人提供服务，补齐农村养老设施短板，促进城乡均衡发展。到2022年底，所有敬老院均达到国家养老院二级以上标准，全市养老机构护理型床位达到5</w:t>
      </w:r>
      <w:r>
        <w:rPr>
          <w:rFonts w:ascii="仿宋" w:hAnsi="仿宋" w:eastAsia="仿宋" w:cs="仿宋"/>
          <w:color w:val="auto"/>
          <w:sz w:val="32"/>
          <w:szCs w:val="32"/>
          <w:shd w:val="clear" w:color="auto" w:fill="FFFFFF"/>
        </w:rPr>
        <w:t>5</w:t>
      </w:r>
      <w:r>
        <w:rPr>
          <w:rFonts w:hint="eastAsia" w:ascii="仿宋" w:hAnsi="仿宋" w:eastAsia="仿宋" w:cs="仿宋"/>
          <w:color w:val="auto"/>
          <w:sz w:val="32"/>
          <w:szCs w:val="32"/>
          <w:shd w:val="clear" w:color="auto" w:fill="FFFFFF"/>
        </w:rPr>
        <w:t>%，2025年</w:t>
      </w:r>
      <w:bookmarkStart w:id="100" w:name="_Hlk66020230"/>
      <w:r>
        <w:rPr>
          <w:rFonts w:hint="eastAsia" w:ascii="仿宋" w:hAnsi="仿宋" w:eastAsia="仿宋" w:cs="仿宋"/>
          <w:color w:val="auto"/>
          <w:sz w:val="32"/>
          <w:szCs w:val="32"/>
          <w:shd w:val="clear" w:color="auto" w:fill="FFFFFF"/>
        </w:rPr>
        <w:t>达到58%</w:t>
      </w:r>
      <w:bookmarkEnd w:id="100"/>
      <w:r>
        <w:rPr>
          <w:rFonts w:hint="eastAsia" w:ascii="仿宋" w:hAnsi="仿宋" w:eastAsia="仿宋" w:cs="仿宋"/>
          <w:color w:val="auto"/>
          <w:sz w:val="32"/>
          <w:szCs w:val="32"/>
          <w:shd w:val="clear" w:color="auto" w:fill="FFFFFF"/>
        </w:rPr>
        <w:t>，每万名老年人配有20张认知障碍床位。</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完善社区和居家养老设施网络。</w:t>
      </w:r>
      <w:r>
        <w:rPr>
          <w:rFonts w:hint="eastAsia" w:ascii="仿宋" w:hAnsi="仿宋" w:eastAsia="仿宋" w:cs="仿宋"/>
          <w:color w:val="auto"/>
          <w:sz w:val="32"/>
          <w:szCs w:val="32"/>
          <w:shd w:val="clear" w:color="auto" w:fill="FFFFFF"/>
        </w:rPr>
        <w:t>创新乡镇(街道)养老服务中心长效运行机制，整合区域范围内乡镇(街道)养老服务中心和村(社区)照料中心、老年食堂等资源，依托专业机构连锁运营，发挥区域整体资源优势和机构专业优势，实现社区和居家养老“管家式对接、专业化服务、可及性供给”。新建小区养老服务用房与住宅同步规划、同步建设、同步验收、同步交付，严格落实新、旧住宅小区居家养老服务用房按标准配建，并无偿</w:t>
      </w:r>
      <w:r>
        <w:rPr>
          <w:rFonts w:hint="eastAsia" w:ascii="仿宋" w:hAnsi="仿宋" w:eastAsia="仿宋" w:cs="仿宋"/>
          <w:color w:val="auto"/>
          <w:sz w:val="32"/>
          <w:szCs w:val="32"/>
          <w:shd w:val="clear" w:color="auto" w:fill="FFFFFF"/>
          <w:lang w:eastAsia="zh-CN"/>
        </w:rPr>
        <w:t>或抵偿</w:t>
      </w:r>
      <w:r>
        <w:rPr>
          <w:rFonts w:hint="eastAsia" w:ascii="仿宋" w:hAnsi="仿宋" w:eastAsia="仿宋" w:cs="仿宋"/>
          <w:color w:val="auto"/>
          <w:sz w:val="32"/>
          <w:szCs w:val="32"/>
          <w:shd w:val="clear" w:color="auto" w:fill="FFFFFF"/>
        </w:rPr>
        <w:t>提供给社会专业机构运营。深入开展困难家庭适老化改造，2022年前完成困难老年人家庭最急需的适老化改造。将既有住宅加装电梯、社区公共设施无障碍环境改造等纳入老旧小区综合改造计划，着力打造全龄、全域、全周期友好型老年宜居城市。</w:t>
      </w:r>
    </w:p>
    <w:p>
      <w:pPr>
        <w:spacing w:line="540" w:lineRule="exact"/>
        <w:ind w:firstLine="648"/>
        <w:rPr>
          <w:rFonts w:ascii="仿宋" w:hAnsi="仿宋" w:eastAsia="仿宋" w:cs="仿宋"/>
          <w:b/>
          <w:bCs/>
          <w:color w:val="auto"/>
          <w:sz w:val="32"/>
          <w:szCs w:val="32"/>
          <w:shd w:val="clear" w:color="auto" w:fill="FFFFFF"/>
        </w:rPr>
      </w:pPr>
      <w:bookmarkStart w:id="101" w:name="_Toc30813_WPSOffice_Level3"/>
      <w:r>
        <w:rPr>
          <w:rFonts w:hint="eastAsia" w:ascii="仿宋" w:hAnsi="仿宋" w:eastAsia="仿宋" w:cs="仿宋"/>
          <w:b/>
          <w:bCs/>
          <w:color w:val="auto"/>
          <w:sz w:val="32"/>
          <w:szCs w:val="32"/>
          <w:shd w:val="clear" w:color="auto" w:fill="FFFFFF"/>
        </w:rPr>
        <w:t>3.构建科技、人才和监管相依托的支撑体系</w:t>
      </w:r>
      <w:bookmarkEnd w:id="101"/>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创新智慧养老服务模式。</w:t>
      </w:r>
      <w:r>
        <w:rPr>
          <w:rFonts w:hint="eastAsia" w:ascii="仿宋" w:hAnsi="仿宋" w:eastAsia="仿宋" w:cs="仿宋"/>
          <w:color w:val="auto"/>
          <w:sz w:val="32"/>
          <w:szCs w:val="32"/>
          <w:shd w:val="clear" w:color="auto" w:fill="FFFFFF"/>
        </w:rPr>
        <w:t>依托省“浙里养”服务平台，深化“丽水居养”综合服务平台，完善养老服务数据库，推进养老服务信息与户籍、医疗、社会保险、社会救助等信息资源对接，实现数据开放共享和精准推送。鼓励养老机构运用智慧养老系统进行日常管理，并将服务延伸至社区居家。支持家庭安装智能终端设备，利用智能化手段形成“服务对象申请-派单-服务-审核支付-评价”等闭环式服务体系，为老年人提供“菜单式”多元化养老服务。到2022年全市至少建设10家智慧养老院，到2025年至少建设20家。</w:t>
      </w:r>
    </w:p>
    <w:p>
      <w:pPr>
        <w:spacing w:line="540" w:lineRule="exact"/>
        <w:ind w:firstLine="643" w:firstLineChars="200"/>
        <w:rPr>
          <w:rFonts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突出养老专业人才培养。</w:t>
      </w:r>
      <w:r>
        <w:rPr>
          <w:rFonts w:hint="eastAsia" w:ascii="仿宋" w:hAnsi="仿宋" w:eastAsia="仿宋" w:cs="仿宋"/>
          <w:color w:val="auto"/>
          <w:sz w:val="32"/>
          <w:szCs w:val="32"/>
          <w:shd w:val="clear" w:color="auto" w:fill="FFFFFF"/>
        </w:rPr>
        <w:t>落实《丽水市养老人才培养实施办法》，聚焦涉老部门业务骨干和养老机构投资运营等管理人才培养，实施两轮养老行业精英人才培养计划，到2025年，全市培育养老行业精英人才150名，评定健康养生养老产业精英50名。开展丽水市养老服务领域专业技术人才评定工作，打通养老服务机构医护人员职业晋升通道。探索建立养老人才定向委托培养制度，支持在丽水学院、职业院校开设康复治疗、养老护理等相关专业。将养老护理员及家庭照护者培训纳入职业技能提升专项行动，培育一批养老培训专业机构和培训基地</w:t>
      </w:r>
      <w:bookmarkStart w:id="102" w:name="_Hlk66020413"/>
      <w:r>
        <w:rPr>
          <w:rFonts w:hint="eastAsia" w:ascii="仿宋" w:hAnsi="仿宋" w:eastAsia="仿宋" w:cs="仿宋"/>
          <w:color w:val="auto"/>
          <w:sz w:val="32"/>
          <w:szCs w:val="32"/>
          <w:shd w:val="clear" w:color="auto" w:fill="FFFFFF"/>
        </w:rPr>
        <w:t>。到202</w:t>
      </w:r>
      <w:r>
        <w:rPr>
          <w:rFonts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rPr>
        <w:t>年，每万名老年人拥有持证养老护理员</w:t>
      </w:r>
      <w:r>
        <w:rPr>
          <w:rFonts w:ascii="仿宋" w:hAnsi="仿宋" w:eastAsia="仿宋" w:cs="仿宋"/>
          <w:color w:val="auto"/>
          <w:sz w:val="32"/>
          <w:szCs w:val="32"/>
          <w:shd w:val="clear" w:color="auto" w:fill="FFFFFF"/>
        </w:rPr>
        <w:t>20</w:t>
      </w:r>
      <w:r>
        <w:rPr>
          <w:rFonts w:hint="eastAsia" w:ascii="仿宋" w:hAnsi="仿宋" w:eastAsia="仿宋" w:cs="仿宋"/>
          <w:color w:val="auto"/>
          <w:sz w:val="32"/>
          <w:szCs w:val="32"/>
          <w:shd w:val="clear" w:color="auto" w:fill="FFFFFF"/>
        </w:rPr>
        <w:t>人，2025年达到25人，</w:t>
      </w:r>
      <w:bookmarkEnd w:id="102"/>
      <w:r>
        <w:rPr>
          <w:rFonts w:hint="eastAsia" w:ascii="仿宋" w:hAnsi="仿宋" w:eastAsia="仿宋" w:cs="仿宋"/>
          <w:color w:val="auto"/>
          <w:sz w:val="32"/>
          <w:szCs w:val="32"/>
          <w:shd w:val="clear" w:color="auto" w:fill="FFFFFF"/>
        </w:rPr>
        <w:t>对有需求的家庭照护者实施培训。</w:t>
      </w:r>
    </w:p>
    <w:p>
      <w:pPr>
        <w:widowControl/>
        <w:spacing w:line="54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shd w:val="clear" w:color="auto" w:fill="FFFFFF"/>
        </w:rPr>
        <w:t>强化养老服务综合监管。</w:t>
      </w:r>
      <w:r>
        <w:rPr>
          <w:rFonts w:hint="eastAsia" w:ascii="仿宋" w:hAnsi="仿宋" w:eastAsia="仿宋" w:cs="仿宋"/>
          <w:color w:val="auto"/>
          <w:sz w:val="32"/>
          <w:szCs w:val="32"/>
          <w:shd w:val="clear" w:color="auto" w:fill="FFFFFF"/>
        </w:rPr>
        <w:t>严格落实《浙江省养老机构等级评定管理办法》，建立老年人护理需求等级评定、养老服务机构星级评定、居家养老服务质量评价等领域的第三方评估机制。健全“双随机、一公开”联合检查机制，强化养老服务机构事中事后监管，突出质量安全监管、从业人员监管、涉及资金监管、运营秩序监管和突发事件应对等重点环节，守住安全底线。加强养老服务信用管理和信息公开，依法依规对养老服务机构、从业人员、服务对象实施守信联合激励和失信联合惩戒，引导养老服务机构诚信守法经营。</w:t>
      </w:r>
    </w:p>
    <w:p>
      <w:pPr>
        <w:spacing w:line="540" w:lineRule="exact"/>
        <w:ind w:firstLine="643" w:firstLineChars="200"/>
        <w:outlineLvl w:val="1"/>
        <w:rPr>
          <w:rFonts w:ascii="楷体" w:hAnsi="楷体" w:eastAsia="楷体" w:cs="楷体"/>
          <w:b/>
          <w:color w:val="auto"/>
          <w:sz w:val="32"/>
          <w:szCs w:val="32"/>
        </w:rPr>
      </w:pPr>
      <w:bookmarkStart w:id="103" w:name="_Toc12310_WPSOffice_Level2"/>
      <w:bookmarkStart w:id="104" w:name="_Toc14259_WPSOffice_Level2"/>
      <w:r>
        <w:rPr>
          <w:rFonts w:hint="eastAsia" w:ascii="楷体" w:hAnsi="楷体" w:eastAsia="楷体" w:cs="楷体"/>
          <w:b/>
          <w:color w:val="auto"/>
          <w:sz w:val="32"/>
          <w:szCs w:val="32"/>
        </w:rPr>
        <w:t>（二）实施社会救助精准保障计划</w:t>
      </w:r>
      <w:bookmarkEnd w:id="103"/>
    </w:p>
    <w:p>
      <w:pPr>
        <w:spacing w:line="54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健全完善“1+8+X”的新时代社会大救助体系。加快推进社会救助从收入型单维度救助向综合型多维度救助、从按户籍人口救助向按常住人口救助、从物质类救助向“物质+服务”类救助、从分散型救助向联合型救助转变，实现社会救助全人群覆盖、全口径集成和全区域通办，助力困难群体共同富裕，高水平打造“精准保障标杆区”。</w:t>
      </w:r>
    </w:p>
    <w:p>
      <w:pPr>
        <w:spacing w:line="540" w:lineRule="exact"/>
        <w:ind w:firstLine="643" w:firstLineChars="200"/>
        <w:rPr>
          <w:rFonts w:ascii="仿宋" w:hAnsi="仿宋" w:eastAsia="仿宋" w:cs="仿宋"/>
          <w:color w:val="auto"/>
          <w:kern w:val="0"/>
          <w:sz w:val="32"/>
          <w:szCs w:val="32"/>
        </w:rPr>
      </w:pPr>
      <w:bookmarkStart w:id="105" w:name="_Toc18888_WPSOffice_Level3"/>
      <w:bookmarkStart w:id="106" w:name="_Toc6403_WPSOffice_Level3"/>
      <w:r>
        <w:rPr>
          <w:rFonts w:hint="eastAsia" w:ascii="仿宋" w:hAnsi="仿宋" w:eastAsia="仿宋" w:cs="仿宋"/>
          <w:b/>
          <w:bCs/>
          <w:color w:val="auto"/>
          <w:sz w:val="32"/>
          <w:szCs w:val="32"/>
          <w:shd w:val="clear" w:color="auto" w:fill="FFFFFF"/>
        </w:rPr>
        <w:t>1.构建精准高效救助格局</w:t>
      </w:r>
      <w:bookmarkEnd w:id="105"/>
      <w:bookmarkEnd w:id="106"/>
    </w:p>
    <w:p>
      <w:pPr>
        <w:widowControl/>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合力打造智慧救助新机制，健全相对贫困的兜底保障机制，完善救助标准与城镇居民消费支出动态调整机制，建成城乡统筹覆盖全面的社会救助体系。</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智慧救助更便捷。</w:t>
      </w:r>
      <w:r>
        <w:rPr>
          <w:rFonts w:hint="eastAsia" w:ascii="仿宋" w:hAnsi="仿宋" w:eastAsia="仿宋" w:cs="仿宋"/>
          <w:color w:val="auto"/>
          <w:kern w:val="0"/>
          <w:sz w:val="32"/>
          <w:szCs w:val="32"/>
        </w:rPr>
        <w:t>建立“一窗对外、信息共享、分工负责、部门协作、整体服务”的工作协同机制。推广“联连帮”大救助信息平台等建设经验，</w:t>
      </w:r>
    </w:p>
    <w:p>
      <w:pPr>
        <w:widowControl/>
        <w:spacing w:line="540" w:lineRule="exact"/>
        <w:ind w:firstLine="640" w:firstLineChars="200"/>
        <w:rPr>
          <w:rFonts w:ascii="仿宋" w:hAnsi="仿宋" w:eastAsia="仿宋" w:cs="仿宋"/>
          <w:b/>
          <w:bCs/>
          <w:color w:val="auto"/>
          <w:kern w:val="0"/>
          <w:sz w:val="32"/>
          <w:szCs w:val="32"/>
        </w:rPr>
      </w:pPr>
      <w:r>
        <w:rPr>
          <w:rFonts w:hint="eastAsia" w:ascii="仿宋" w:hAnsi="仿宋" w:eastAsia="仿宋" w:cs="仿宋"/>
          <w:color w:val="auto"/>
          <w:kern w:val="0"/>
          <w:sz w:val="32"/>
          <w:szCs w:val="32"/>
        </w:rPr>
        <w:t>依托政务服务2.0，设立社会救助事项“一门受理”线上窗口，推进实现“一证通办”，着力推进困难群众救助“一件事”改革，为困难群众提供“物质+服务”幸福清单，实现困难群众社会救助、特殊群体救助、公共事业民生补贴等事项“一件事”一站式线上集成办理100%。</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兜底保障再扩面。</w:t>
      </w:r>
      <w:r>
        <w:rPr>
          <w:rFonts w:hint="eastAsia" w:ascii="仿宋" w:hAnsi="仿宋" w:eastAsia="仿宋" w:cs="仿宋"/>
          <w:color w:val="auto"/>
          <w:kern w:val="0"/>
          <w:sz w:val="32"/>
          <w:szCs w:val="32"/>
        </w:rPr>
        <w:t>健全主动发现、精准识贫、长效帮扶、诚信评价和尽职免责机制。完善城乡低保对象认定方法，适当提高低保标准，推动社会救助有序扩面，放宽低保边缘家庭人均月收入认定标准至低保标准的2倍，延长未成年人特困救助供养对象年龄至18周岁，拓展贫困家庭刚性支出扣减范围至房租、物业费、赡养费等项目。</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救助水平再提升。</w:t>
      </w:r>
      <w:r>
        <w:rPr>
          <w:rFonts w:hint="eastAsia" w:ascii="仿宋" w:hAnsi="仿宋" w:eastAsia="仿宋" w:cs="仿宋"/>
          <w:color w:val="auto"/>
          <w:kern w:val="0"/>
          <w:sz w:val="32"/>
          <w:szCs w:val="32"/>
        </w:rPr>
        <w:t>建立健全解决相对贫困的长效机制，助力困难群体共同富裕，城乡居民最低生活保障标准达到13000元/年。特困人员基本生活标准按不低于上年度当地城镇人均消费支出的50%确定，且达到当地最低生活保障标准1.3倍以上。现有机构养育孤儿基本生活最低养育标准按不低于上年度当地城镇人均消费支出的70%确定，2025年达到25000元/年。社会散居孤儿、困境儿童最低养育标准不低于机构养育孤儿标准的80%。</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救助服务更多元。</w:t>
      </w:r>
      <w:r>
        <w:rPr>
          <w:rFonts w:hint="eastAsia" w:ascii="仿宋" w:hAnsi="仿宋" w:eastAsia="仿宋" w:cs="仿宋"/>
          <w:color w:val="auto"/>
          <w:kern w:val="0"/>
          <w:sz w:val="32"/>
          <w:szCs w:val="32"/>
        </w:rPr>
        <w:t>开展脱贫攻坚兜底“回头看”，继续做好低收入农户兜底保障，完善日常性帮扶措施。进一步规范特困供养制度，提升特困供养人员住院期间照料护理服务水平。加大临时救助力度，简化审核审批流程，健全与疫情灾情等突发事件相适应的应急救助机制。实施“同心向善”促进行动，完善政府购买服务形式，鼓励和促进各类市场主体和社会力量参与助学、助医、助困等活动，发展社会救助志愿服务，鼓励以乡镇（街道）、村社为单位成立“关爱基金”，大力培育社会救助专业社工，健全“救急难”群众互助机制和困难群众探访关爱制度，不断扩大社会救助服务供给。</w:t>
      </w:r>
      <w:r>
        <w:rPr>
          <w:rFonts w:hint="eastAsia" w:ascii="仿宋" w:hAnsi="仿宋" w:eastAsia="仿宋" w:cs="仿宋"/>
          <w:color w:val="auto"/>
          <w:kern w:val="0"/>
          <w:sz w:val="32"/>
          <w:szCs w:val="32"/>
          <w:lang w:eastAsia="zh-CN"/>
        </w:rPr>
        <w:t>逐步</w:t>
      </w:r>
      <w:r>
        <w:rPr>
          <w:rFonts w:hint="eastAsia" w:ascii="仿宋" w:hAnsi="仿宋" w:eastAsia="仿宋" w:cs="仿宋"/>
          <w:color w:val="auto"/>
          <w:kern w:val="0"/>
          <w:sz w:val="32"/>
          <w:szCs w:val="32"/>
        </w:rPr>
        <w:t>推广云和全国社会救助综合改革试点经验，加快推进社会救助从收入型单维度救助向综合型多维度救助、从按户籍人口救助向按常住人口救助。全面推进社会救助审批权限下放乡镇(街道)。推进社会救助申请承诺与个人征信挂钩。全面开展“幸福清单”标准化建设及数字化应用，创新“物质+服务”呈现模式，派发率实现100%。通过发放“幸福清单”，开展感恩教育，加大宣传力度，引导形成全社会关心社会救助、关爱困难群体的氛围。积极开展以就业救助和教育救助为核心的发展型救助。</w:t>
      </w:r>
    </w:p>
    <w:p>
      <w:pPr>
        <w:widowControl/>
        <w:spacing w:line="540" w:lineRule="exact"/>
        <w:ind w:firstLine="643" w:firstLineChars="200"/>
        <w:rPr>
          <w:rFonts w:ascii="仿宋" w:hAnsi="仿宋" w:eastAsia="仿宋" w:cs="仿宋"/>
          <w:b/>
          <w:bCs/>
          <w:color w:val="auto"/>
          <w:kern w:val="0"/>
          <w:sz w:val="32"/>
          <w:szCs w:val="32"/>
        </w:rPr>
      </w:pPr>
      <w:bookmarkStart w:id="107" w:name="_Toc273_WPSOffice_Level3"/>
      <w:r>
        <w:rPr>
          <w:rFonts w:hint="eastAsia" w:ascii="仿宋" w:hAnsi="仿宋" w:eastAsia="仿宋" w:cs="仿宋"/>
          <w:b/>
          <w:bCs/>
          <w:color w:val="auto"/>
          <w:sz w:val="32"/>
          <w:szCs w:val="32"/>
          <w:shd w:val="clear" w:color="auto" w:fill="FFFFFF"/>
        </w:rPr>
        <w:t>2.优化儿童福利关爱体系</w:t>
      </w:r>
      <w:bookmarkEnd w:id="107"/>
    </w:p>
    <w:p>
      <w:pPr>
        <w:widowControl/>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贯彻落实《中华人民共和国民法典》和《中华人民共和国未成年人保护法》，保障儿童合法权益，建立儿童福利关爱工作机制，形成“政府主导、民政牵头、部门协作、社会参与”的儿童保护体系，筑牢新时代儿童福利保障网。</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健全儿童福利保障机制。</w:t>
      </w:r>
      <w:r>
        <w:rPr>
          <w:rFonts w:hint="eastAsia" w:ascii="仿宋" w:hAnsi="仿宋" w:eastAsia="仿宋" w:cs="仿宋"/>
          <w:color w:val="auto"/>
          <w:kern w:val="0"/>
          <w:sz w:val="32"/>
          <w:szCs w:val="32"/>
        </w:rPr>
        <w:t>强化孤儿和困境儿童基本生活保障，建立完善主动发现机制，加强事实无人抚养儿童精准认定，简化申请审批流程，实现孤儿和困境儿童“一证通办”，确保符合条件的孤困儿童应保尽保。健全留守儿童关爱服务体系，夯实强制报告、应急处置、评估帮扶、监护干预四位一体救助保护机制，强化家庭监护主体责任。健全儿童福利信息动态管理和退出机制。实施养育标准自然增长机制，持续巩固儿童基本生活兜底保障。完善儿童监护制度，积极履行法律赋予的监护职责。</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实施特殊儿童关爱行动。</w:t>
      </w:r>
      <w:r>
        <w:rPr>
          <w:rFonts w:hint="eastAsia" w:ascii="仿宋" w:hAnsi="仿宋" w:eastAsia="仿宋" w:cs="仿宋"/>
          <w:color w:val="auto"/>
          <w:kern w:val="0"/>
          <w:sz w:val="32"/>
          <w:szCs w:val="32"/>
        </w:rPr>
        <w:t>实施“添翼计划”再启航行动，拓展送康复上门和回访服务，指导家庭康复，康复人次达到300人次。做好福利机构指导社区脑瘫儿童康复试点项目（育童计划），实现康复服务从贫困儿童扩展到适度普惠儿童。持续实施“福彩圆梦·孤儿助学工程”“孤儿医疗康复明天计划”等项目。实施“暖巢更新”普及行动，向低边、孤困儿童家庭拓面，实现从环境到心灵的精准关爱帮扶，提升儿童和家庭的综合发展能力。推进村（社区）“儿童之家”提质建设，到2025年，省级和市、县级命名示范型儿童之家分别达到45个、255个,实现每个乡镇（街道）建有1家以上示范型儿童之家，示范型儿童之家达到总数的15%，打通儿童和家庭服务的“最后一公里”。</w:t>
      </w:r>
    </w:p>
    <w:p>
      <w:pPr>
        <w:widowControl/>
        <w:spacing w:line="540" w:lineRule="exact"/>
        <w:ind w:firstLine="643" w:firstLineChars="200"/>
        <w:rPr>
          <w:rFonts w:ascii="仿宋" w:hAnsi="仿宋" w:eastAsia="仿宋" w:cs="仿宋"/>
          <w:color w:val="auto"/>
          <w:kern w:val="0"/>
          <w:sz w:val="32"/>
          <w:szCs w:val="32"/>
        </w:rPr>
      </w:pPr>
      <w:r>
        <w:rPr>
          <w:rFonts w:hint="eastAsia" w:ascii="仿宋" w:hAnsi="仿宋" w:eastAsia="仿宋" w:cs="仿宋"/>
          <w:b/>
          <w:bCs/>
          <w:color w:val="auto"/>
          <w:kern w:val="0"/>
          <w:sz w:val="32"/>
          <w:szCs w:val="32"/>
        </w:rPr>
        <w:t>加强儿童服务网络建设。</w:t>
      </w:r>
      <w:r>
        <w:rPr>
          <w:rFonts w:hint="eastAsia" w:ascii="仿宋" w:hAnsi="仿宋" w:eastAsia="仿宋" w:cs="仿宋"/>
          <w:color w:val="auto"/>
          <w:kern w:val="0"/>
          <w:sz w:val="32"/>
          <w:szCs w:val="32"/>
        </w:rPr>
        <w:t>推进符合条件的事实无人抚养儿童、重度残疾儿童等困境儿童在儿童福利机构集中养育。推动市级儿童福利机构一体化发展，提升养育、康复、教育、医疗、社会工作服务水平，向社区和家庭辐射。实现全市儿童福利指导中心和未成年人救助保护中心全覆盖、实体化运行。开通统一的未成年人救助保护热线，建立未成年人保护服务平台，为未成年人提供帮助。推进乡镇未成年人保护工作站建设，选优配强乡镇（街道）儿童督导员、村（社区）儿童主任。加强儿童督导员、儿童主任培训，落实儿童主任补贴。加大政府购买服务力度，培育孵化儿童关爱类社会组织。加强信息化建设，健全儿童信息报告动态监测反馈机制。依法规范收养登记管理，推进实施收养评估制度，推行收养“一件事”一站式联办、一体化服务。</w:t>
      </w:r>
    </w:p>
    <w:p>
      <w:pPr>
        <w:spacing w:line="540" w:lineRule="exact"/>
        <w:ind w:firstLine="643" w:firstLineChars="200"/>
        <w:rPr>
          <w:rFonts w:ascii="仿宋" w:hAnsi="仿宋" w:eastAsia="仿宋" w:cs="仿宋"/>
          <w:color w:val="auto"/>
          <w:kern w:val="0"/>
          <w:sz w:val="32"/>
          <w:szCs w:val="32"/>
        </w:rPr>
      </w:pPr>
      <w:bookmarkStart w:id="108" w:name="_Toc1944_WPSOffice_Level3"/>
      <w:bookmarkStart w:id="109" w:name="_Toc18070_WPSOffice_Level3"/>
      <w:r>
        <w:rPr>
          <w:rFonts w:hint="eastAsia" w:ascii="仿宋" w:hAnsi="仿宋" w:eastAsia="仿宋" w:cs="仿宋"/>
          <w:b/>
          <w:bCs/>
          <w:color w:val="auto"/>
          <w:sz w:val="32"/>
          <w:szCs w:val="32"/>
          <w:shd w:val="clear" w:color="auto" w:fill="FFFFFF"/>
        </w:rPr>
        <w:t>3.提升流浪乞讨救助水平</w:t>
      </w:r>
      <w:bookmarkEnd w:id="108"/>
      <w:bookmarkEnd w:id="109"/>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遵循“自愿求助，无偿救助”的原则，按照“应救尽救，反应快速，处置得当，救助及时”的要求，推进流浪乞讨人员精准化管理，保障生活无着流浪乞讨人员合法权益与基本生活。</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实施“六个一”行动。</w:t>
      </w:r>
      <w:r>
        <w:rPr>
          <w:rFonts w:hint="eastAsia" w:ascii="仿宋" w:hAnsi="仿宋" w:eastAsia="仿宋" w:cs="仿宋"/>
          <w:b/>
          <w:color w:val="auto"/>
          <w:kern w:val="0"/>
          <w:sz w:val="32"/>
          <w:szCs w:val="32"/>
        </w:rPr>
        <w:t>建立一个机制，</w:t>
      </w:r>
      <w:r>
        <w:rPr>
          <w:rFonts w:hint="eastAsia" w:ascii="仿宋" w:hAnsi="仿宋" w:eastAsia="仿宋" w:cs="仿宋"/>
          <w:color w:val="auto"/>
          <w:kern w:val="0"/>
          <w:sz w:val="32"/>
          <w:szCs w:val="32"/>
        </w:rPr>
        <w:t>健全流浪乞讨人员救助管理工作联席会议制度，进一步厘清各级党委和政府属地领导管理责任、民政部门监管责任、相关部门工作责任、救助管理机构和托养机构的主体责任。</w:t>
      </w:r>
      <w:r>
        <w:rPr>
          <w:rFonts w:hint="eastAsia" w:ascii="仿宋" w:hAnsi="仿宋" w:eastAsia="仿宋" w:cs="仿宋"/>
          <w:b/>
          <w:color w:val="auto"/>
          <w:kern w:val="0"/>
          <w:sz w:val="32"/>
          <w:szCs w:val="32"/>
        </w:rPr>
        <w:t>创建一批窗口，</w:t>
      </w:r>
      <w:r>
        <w:rPr>
          <w:rFonts w:hint="eastAsia" w:ascii="仿宋" w:hAnsi="仿宋" w:eastAsia="仿宋" w:cs="仿宋"/>
          <w:color w:val="auto"/>
          <w:kern w:val="0"/>
          <w:sz w:val="32"/>
          <w:szCs w:val="32"/>
        </w:rPr>
        <w:t>按照三级站标准，加快推进各县（市）救助管理站标准化建设。</w:t>
      </w:r>
      <w:r>
        <w:rPr>
          <w:rFonts w:hint="eastAsia" w:ascii="仿宋" w:hAnsi="仿宋" w:eastAsia="仿宋" w:cs="仿宋"/>
          <w:b/>
          <w:color w:val="auto"/>
          <w:kern w:val="0"/>
          <w:sz w:val="32"/>
          <w:szCs w:val="32"/>
        </w:rPr>
        <w:t>带好一支队伍，</w:t>
      </w:r>
      <w:r>
        <w:rPr>
          <w:rFonts w:hint="eastAsia" w:ascii="仿宋" w:hAnsi="仿宋" w:eastAsia="仿宋" w:cs="仿宋"/>
          <w:color w:val="auto"/>
          <w:sz w:val="32"/>
          <w:szCs w:val="32"/>
        </w:rPr>
        <w:t>加强业务培训，</w:t>
      </w:r>
      <w:r>
        <w:rPr>
          <w:rFonts w:hint="eastAsia" w:ascii="仿宋" w:hAnsi="仿宋" w:eastAsia="仿宋" w:cs="仿宋"/>
          <w:color w:val="auto"/>
          <w:kern w:val="0"/>
          <w:sz w:val="32"/>
          <w:szCs w:val="32"/>
        </w:rPr>
        <w:t>全面提升救助管理干部队伍素质。</w:t>
      </w:r>
      <w:r>
        <w:rPr>
          <w:rFonts w:hint="eastAsia" w:ascii="仿宋" w:hAnsi="仿宋" w:eastAsia="仿宋" w:cs="仿宋"/>
          <w:b/>
          <w:color w:val="auto"/>
          <w:kern w:val="0"/>
          <w:sz w:val="32"/>
          <w:szCs w:val="32"/>
        </w:rPr>
        <w:t>出台一项政策</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推动解决长期滞留人员安置难题。</w:t>
      </w:r>
      <w:r>
        <w:rPr>
          <w:rFonts w:hint="eastAsia" w:ascii="仿宋" w:hAnsi="仿宋" w:eastAsia="仿宋" w:cs="仿宋"/>
          <w:b/>
          <w:color w:val="auto"/>
          <w:kern w:val="0"/>
          <w:sz w:val="32"/>
          <w:szCs w:val="32"/>
        </w:rPr>
        <w:t>搭建一个平台，</w:t>
      </w:r>
      <w:r>
        <w:rPr>
          <w:rFonts w:hint="eastAsia" w:ascii="仿宋" w:hAnsi="仿宋" w:eastAsia="仿宋" w:cs="仿宋"/>
          <w:color w:val="auto"/>
          <w:kern w:val="0"/>
          <w:sz w:val="32"/>
          <w:szCs w:val="32"/>
        </w:rPr>
        <w:t>联合公安、城管、卫健、大数据发展管理等部门，打造智慧救助管理平台，共享基础数据，提升风险预警、寻亲甄别、流浪救助、风险管控等功能。</w:t>
      </w:r>
      <w:r>
        <w:rPr>
          <w:rFonts w:hint="eastAsia" w:ascii="仿宋" w:hAnsi="仿宋" w:eastAsia="仿宋" w:cs="仿宋"/>
          <w:b/>
          <w:color w:val="auto"/>
          <w:kern w:val="0"/>
          <w:sz w:val="32"/>
          <w:szCs w:val="32"/>
        </w:rPr>
        <w:t>深化一个品牌</w:t>
      </w:r>
      <w:r>
        <w:rPr>
          <w:rFonts w:hint="eastAsia" w:ascii="仿宋" w:hAnsi="仿宋" w:eastAsia="仿宋" w:cs="仿宋"/>
          <w:color w:val="auto"/>
          <w:sz w:val="32"/>
          <w:szCs w:val="32"/>
        </w:rPr>
        <w:t>，创新技术手段，扩大寻亲网络，强化党员示范引领，提升“北斗寻亲”品牌的社会影响力。</w:t>
      </w:r>
    </w:p>
    <w:p>
      <w:pPr>
        <w:spacing w:line="540" w:lineRule="exact"/>
        <w:ind w:firstLine="643" w:firstLineChars="200"/>
        <w:outlineLvl w:val="1"/>
        <w:rPr>
          <w:rFonts w:ascii="楷体" w:hAnsi="楷体" w:eastAsia="楷体" w:cs="楷体"/>
          <w:b/>
          <w:color w:val="auto"/>
          <w:sz w:val="32"/>
          <w:szCs w:val="32"/>
        </w:rPr>
      </w:pPr>
      <w:bookmarkStart w:id="110" w:name="_Toc14858_WPSOffice_Level2"/>
      <w:bookmarkStart w:id="111" w:name="_Toc30813_WPSOffice_Level2"/>
      <w:r>
        <w:rPr>
          <w:rFonts w:hint="eastAsia" w:ascii="楷体" w:hAnsi="楷体" w:eastAsia="楷体" w:cs="楷体"/>
          <w:b/>
          <w:color w:val="auto"/>
          <w:sz w:val="32"/>
          <w:szCs w:val="32"/>
        </w:rPr>
        <w:t>（三）</w:t>
      </w:r>
      <w:bookmarkEnd w:id="110"/>
      <w:r>
        <w:rPr>
          <w:rFonts w:hint="eastAsia" w:ascii="楷体" w:hAnsi="楷体" w:eastAsia="楷体" w:cs="楷体"/>
          <w:b/>
          <w:color w:val="auto"/>
          <w:kern w:val="0"/>
          <w:sz w:val="32"/>
          <w:szCs w:val="32"/>
        </w:rPr>
        <w:t>实施社会治理活力焕发计划</w:t>
      </w:r>
      <w:bookmarkEnd w:id="111"/>
    </w:p>
    <w:p>
      <w:pPr>
        <w:spacing w:line="540" w:lineRule="exact"/>
        <w:ind w:firstLine="640" w:firstLineChars="200"/>
        <w:rPr>
          <w:rFonts w:ascii="仿宋" w:hAnsi="仿宋" w:eastAsia="仿宋" w:cs="仿宋"/>
          <w:color w:val="auto"/>
          <w:sz w:val="32"/>
          <w:szCs w:val="32"/>
        </w:rPr>
      </w:pPr>
      <w:bookmarkStart w:id="112" w:name="_Toc8106_WPSOffice_Level3"/>
      <w:bookmarkStart w:id="113" w:name="_Toc19124_WPSOffice_Level3"/>
      <w:r>
        <w:rPr>
          <w:rFonts w:hint="eastAsia" w:ascii="仿宋" w:hAnsi="仿宋" w:eastAsia="仿宋" w:cs="仿宋"/>
          <w:color w:val="auto"/>
          <w:sz w:val="32"/>
          <w:szCs w:val="32"/>
        </w:rPr>
        <w:t>深入推进“党建统领+社区治理”，加快构建社区治理共同体，弘扬新时代“枫桥经验”，全面提升城乡社区治理能力，打造和谐自治标杆区，开创具有丽水特色的基层治理新格局。</w:t>
      </w:r>
    </w:p>
    <w:p>
      <w:pPr>
        <w:spacing w:line="540" w:lineRule="exact"/>
        <w:ind w:firstLine="643" w:firstLineChars="200"/>
        <w:outlineLvl w:val="2"/>
        <w:rPr>
          <w:rFonts w:ascii="仿宋" w:hAnsi="仿宋" w:eastAsia="仿宋" w:cs="仿宋"/>
          <w:b/>
          <w:bCs/>
          <w:color w:val="auto"/>
          <w:sz w:val="32"/>
          <w:szCs w:val="32"/>
        </w:rPr>
      </w:pPr>
      <w:bookmarkStart w:id="114" w:name="_Toc8669_WPSOffice_Level3"/>
      <w:r>
        <w:rPr>
          <w:rFonts w:hint="eastAsia" w:ascii="仿宋" w:hAnsi="仿宋" w:eastAsia="仿宋" w:cs="仿宋"/>
          <w:b/>
          <w:bCs/>
          <w:color w:val="auto"/>
          <w:sz w:val="32"/>
          <w:szCs w:val="32"/>
          <w:shd w:val="clear" w:color="auto" w:fill="FFFFFF"/>
        </w:rPr>
        <w:t>1.全面提升城乡社区治理能力</w:t>
      </w:r>
      <w:bookmarkEnd w:id="112"/>
      <w:bookmarkEnd w:id="113"/>
      <w:bookmarkEnd w:id="114"/>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加强基层组织规范建设。</w:t>
      </w:r>
      <w:r>
        <w:rPr>
          <w:rFonts w:hint="eastAsia" w:ascii="仿宋" w:hAnsi="仿宋" w:eastAsia="仿宋" w:cs="仿宋"/>
          <w:color w:val="auto"/>
          <w:sz w:val="32"/>
          <w:szCs w:val="32"/>
        </w:rPr>
        <w:t xml:space="preserve">探索“一肩挑”后村（社）组织权力运行监管机制，健全基层党组织领导下的村（居）民、社会组织、驻社区机关（企事业单位）、业主委员会、物业单位、网格管理队伍等广泛参与的基层群众自治机制。持续推进社区治理和服务创新国家级、省级实验区创建，指导实验区完善配套的制度机制、综合服务设施、人才队伍等建设，提炼可复制推广的丽水经验。加强引导服务性、公益性、互助性社区社会组织、志愿者和城乡社区工作者队伍建设。提高村（居）民代表规范化建设水平，协同推动社区居民委员会下设环境和物业管理委员会。完善基层群众自治组织特别法人相关制度，健全村（居）务公开制度。 </w:t>
      </w:r>
    </w:p>
    <w:p>
      <w:pPr>
        <w:spacing w:line="540" w:lineRule="exact"/>
        <w:ind w:firstLine="643" w:firstLineChars="200"/>
        <w:outlineLvl w:val="2"/>
        <w:rPr>
          <w:rFonts w:ascii="仿宋" w:hAnsi="仿宋" w:eastAsia="仿宋" w:cs="仿宋"/>
          <w:bCs/>
          <w:color w:val="auto"/>
          <w:sz w:val="32"/>
          <w:szCs w:val="32"/>
        </w:rPr>
      </w:pPr>
      <w:r>
        <w:rPr>
          <w:rFonts w:hint="eastAsia" w:ascii="仿宋" w:hAnsi="仿宋" w:eastAsia="仿宋" w:cs="仿宋"/>
          <w:b/>
          <w:bCs/>
          <w:color w:val="auto"/>
          <w:sz w:val="32"/>
          <w:szCs w:val="32"/>
        </w:rPr>
        <w:t>完善基层民主协商制度。</w:t>
      </w:r>
      <w:r>
        <w:rPr>
          <w:rFonts w:hint="eastAsia" w:ascii="仿宋" w:hAnsi="仿宋" w:eastAsia="仿宋" w:cs="仿宋"/>
          <w:color w:val="auto"/>
          <w:sz w:val="32"/>
          <w:szCs w:val="32"/>
        </w:rPr>
        <w:t>开展国家村级协商议事创新实验活动，充分发挥自治章程、村规民约、社区公约在城乡社区治理中的积极作用，全面推广实施“</w:t>
      </w:r>
      <w:r>
        <w:rPr>
          <w:rFonts w:ascii="仿宋" w:hAnsi="仿宋" w:eastAsia="仿宋" w:cs="仿宋"/>
          <w:color w:val="auto"/>
          <w:sz w:val="32"/>
          <w:szCs w:val="32"/>
        </w:rPr>
        <w:t>阳光票决制</w:t>
      </w:r>
      <w:r>
        <w:rPr>
          <w:rFonts w:hint="eastAsia" w:ascii="仿宋" w:hAnsi="仿宋" w:eastAsia="仿宋" w:cs="仿宋"/>
          <w:color w:val="auto"/>
          <w:sz w:val="32"/>
          <w:szCs w:val="32"/>
        </w:rPr>
        <w:t>”，</w:t>
      </w:r>
      <w:r>
        <w:rPr>
          <w:rFonts w:hint="eastAsia" w:ascii="仿宋" w:hAnsi="仿宋" w:eastAsia="仿宋" w:cs="仿宋"/>
          <w:bCs/>
          <w:color w:val="auto"/>
          <w:sz w:val="32"/>
          <w:szCs w:val="32"/>
        </w:rPr>
        <w:t>协同推进“五治融合”的城乡治理体系建设。配合组织、纪检监察等部门加强村（居）务监督委员会建设。建立健全村民自治领域扫黑除恶常态化机制。</w:t>
      </w:r>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rPr>
        <w:t>深化基层服务体系创新。</w:t>
      </w:r>
      <w:r>
        <w:rPr>
          <w:rFonts w:hint="eastAsia" w:ascii="仿宋" w:hAnsi="仿宋" w:eastAsia="仿宋" w:cs="仿宋"/>
          <w:bCs/>
          <w:color w:val="auto"/>
          <w:sz w:val="32"/>
          <w:szCs w:val="32"/>
        </w:rPr>
        <w:t>推进社区服务设施建设提档升级，</w:t>
      </w:r>
      <w:r>
        <w:rPr>
          <w:rFonts w:hint="eastAsia" w:ascii="仿宋" w:hAnsi="仿宋" w:eastAsia="仿宋" w:cs="仿宋"/>
          <w:color w:val="auto"/>
          <w:sz w:val="32"/>
          <w:szCs w:val="32"/>
        </w:rPr>
        <w:t>打造富有丽水山水风情、乡土温情的未来社区“居民会客厅”，到2025年，实现城市社区综合服务标准化设施全覆盖，农村社区综合服务设施覆盖率达到80%以上。探索建立健全社区工作者队伍稳定机制，完善公共服务、自助互助服务、便民利民服务等“三位一体”城乡社区服务体系，鼓励支持社会组织、物业管理公司等社会力量参与社区服务管理。依托未来社区建设探索智慧社区建设试点工作，推广智能感知技术等智慧化手段在社区治理中的应用，充分发挥“一库两平台”作用，强化线上线下一体化服务能力，提高社区精密智治水平，打通服务群众的“最后一公里”。推进城乡社区服务品牌建设。</w:t>
      </w:r>
    </w:p>
    <w:p>
      <w:pPr>
        <w:spacing w:line="540" w:lineRule="exact"/>
        <w:ind w:firstLine="643" w:firstLineChars="200"/>
        <w:rPr>
          <w:rFonts w:ascii="楷体" w:hAnsi="楷体" w:eastAsia="楷体" w:cs="仿宋"/>
          <w:b/>
          <w:bCs/>
          <w:color w:val="auto"/>
          <w:sz w:val="32"/>
          <w:szCs w:val="32"/>
        </w:rPr>
      </w:pPr>
      <w:bookmarkStart w:id="115" w:name="_Toc19374_WPSOffice_Level3"/>
      <w:bookmarkStart w:id="116" w:name="_Toc28981_WPSOffice_Level3"/>
      <w:r>
        <w:rPr>
          <w:rFonts w:hint="eastAsia" w:ascii="仿宋" w:hAnsi="仿宋" w:eastAsia="仿宋" w:cs="仿宋"/>
          <w:b/>
          <w:bCs/>
          <w:color w:val="auto"/>
          <w:sz w:val="32"/>
          <w:szCs w:val="32"/>
          <w:shd w:val="clear" w:color="auto" w:fill="FFFFFF"/>
        </w:rPr>
        <w:t>2.有序推进社会组织健康发展</w:t>
      </w:r>
      <w:bookmarkEnd w:id="115"/>
      <w:bookmarkEnd w:id="116"/>
    </w:p>
    <w:p>
      <w:pPr>
        <w:spacing w:line="54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促进社会组织规范发展。</w:t>
      </w:r>
      <w:r>
        <w:rPr>
          <w:rFonts w:hint="eastAsia" w:ascii="仿宋" w:hAnsi="仿宋" w:eastAsia="仿宋" w:cs="仿宋"/>
          <w:color w:val="auto"/>
          <w:sz w:val="32"/>
          <w:szCs w:val="32"/>
        </w:rPr>
        <w:t>以党建为引领，加强社会组织政治建设，健全党建工作机制，探索创新党建品牌建设。强化社会组织综合党委作用，指导推进社会组织党群服务中心示范点建设并适时推广。积极拓展“党建平台”“孵化平台”“展示平台”“合作平台”和“公共空间”等社会组织支持平台建设，推进社会组织示范园区、孵化基地、村（社区）新时代文明实践站建设，打造市本级社会组织标准化示范园区。</w:t>
      </w:r>
      <w:bookmarkStart w:id="117" w:name="_Hlk66020886"/>
      <w:r>
        <w:rPr>
          <w:rFonts w:hint="eastAsia" w:ascii="仿宋" w:hAnsi="仿宋" w:eastAsia="仿宋" w:cs="仿宋"/>
          <w:color w:val="auto"/>
          <w:sz w:val="32"/>
          <w:szCs w:val="32"/>
        </w:rPr>
        <w:t>到2022年，每万人拥有登记社会组织达到13个，2025年达到16个，全市建成10个社会组织示范园区。</w:t>
      </w:r>
      <w:bookmarkEnd w:id="117"/>
      <w:r>
        <w:rPr>
          <w:rFonts w:hint="eastAsia" w:ascii="仿宋" w:hAnsi="仿宋" w:eastAsia="仿宋" w:cs="仿宋"/>
          <w:color w:val="auto"/>
          <w:sz w:val="32"/>
          <w:szCs w:val="32"/>
        </w:rPr>
        <w:t>加强社会组织人才培养，全市培育一批社会组织品牌组织和领军人物。到2025年，社会组织从业人数占就业人数比率达到2%。</w:t>
      </w:r>
    </w:p>
    <w:p>
      <w:pPr>
        <w:spacing w:line="540" w:lineRule="exact"/>
        <w:ind w:firstLine="643" w:firstLineChars="200"/>
        <w:rPr>
          <w:rFonts w:ascii="仿宋" w:hAnsi="仿宋" w:eastAsia="仿宋" w:cs="仿宋"/>
          <w:bCs/>
          <w:color w:val="auto"/>
          <w:sz w:val="32"/>
          <w:szCs w:val="32"/>
        </w:rPr>
      </w:pPr>
      <w:r>
        <w:rPr>
          <w:rFonts w:hint="eastAsia" w:ascii="仿宋" w:hAnsi="仿宋" w:eastAsia="仿宋" w:cs="仿宋"/>
          <w:b/>
          <w:color w:val="auto"/>
          <w:sz w:val="32"/>
          <w:szCs w:val="32"/>
        </w:rPr>
        <w:t>鼓励社会组织参与基层治理。</w:t>
      </w:r>
      <w:r>
        <w:rPr>
          <w:rFonts w:hint="eastAsia" w:ascii="仿宋" w:hAnsi="仿宋" w:eastAsia="仿宋" w:cs="仿宋"/>
          <w:bCs/>
          <w:color w:val="auto"/>
          <w:sz w:val="32"/>
          <w:szCs w:val="32"/>
        </w:rPr>
        <w:t>积极探索“五社联动”新模式，激发基层治理内生动力。重点加强社区社会组织、枢纽型支持型社会组织、慈善组织建设，支持数字经济、现代物流、生物医药、环境保护、金融科技等领域行业协会商会发展。持续深入实施社会组织公益创投活动，提升社会组织参与基层自治、社会协商、平安建设、公共服务、文体娱乐等事务的广度和深度，提高精准化、精细化服务能力，培育一批品牌公益服务项目，形成公益性品牌长效运行机制。加大社会组织政府购买服务力度，建立健全社会组</w:t>
      </w:r>
      <w:r>
        <w:rPr>
          <w:rFonts w:hint="eastAsia" w:ascii="仿宋" w:hAnsi="仿宋" w:eastAsia="仿宋" w:cs="仿宋"/>
          <w:color w:val="auto"/>
          <w:sz w:val="32"/>
          <w:szCs w:val="32"/>
        </w:rPr>
        <w:t>织参与政府购买服务的信息对接、数据采集机制，支持行业性、专业性社会组织承接公</w:t>
      </w:r>
      <w:r>
        <w:rPr>
          <w:rFonts w:hint="eastAsia" w:ascii="仿宋" w:hAnsi="仿宋" w:eastAsia="仿宋" w:cs="仿宋"/>
          <w:bCs/>
          <w:color w:val="auto"/>
          <w:sz w:val="32"/>
          <w:szCs w:val="32"/>
        </w:rPr>
        <w:t>共服务和政府履职辅助性服务，促进社会组织功能发挥。到2025年，社区社会组织活跃度达到80%。</w:t>
      </w:r>
    </w:p>
    <w:p>
      <w:pPr>
        <w:spacing w:line="540" w:lineRule="exact"/>
        <w:ind w:firstLine="643" w:firstLineChars="200"/>
        <w:rPr>
          <w:rFonts w:ascii="仿宋" w:hAnsi="仿宋" w:eastAsia="仿宋" w:cs="仿宋"/>
          <w:b/>
          <w:color w:val="auto"/>
          <w:sz w:val="32"/>
          <w:szCs w:val="32"/>
        </w:rPr>
      </w:pPr>
      <w:r>
        <w:rPr>
          <w:rFonts w:hint="eastAsia" w:ascii="仿宋" w:hAnsi="仿宋" w:eastAsia="仿宋" w:cs="仿宋"/>
          <w:b/>
          <w:bCs/>
          <w:color w:val="auto"/>
          <w:sz w:val="32"/>
          <w:szCs w:val="32"/>
        </w:rPr>
        <w:t>健全社会组织综合监管体系。</w:t>
      </w:r>
      <w:r>
        <w:rPr>
          <w:rFonts w:hint="eastAsia" w:ascii="仿宋" w:hAnsi="仿宋" w:eastAsia="仿宋" w:cs="仿宋"/>
          <w:color w:val="auto"/>
          <w:sz w:val="32"/>
          <w:szCs w:val="32"/>
        </w:rPr>
        <w:t>完善以法人治理为中心的社会组织治理结构，进一步明晰业务主管单位（行业管理部门）、党建工作机构、相关职能部门和登记管理机关的职责分工，健全职责明确、各司其职、协同联动的事中事后综合监管机制。深化行业协会商会脱钩改革，提升市场化运作水平。完善社会组织评估机制，重视评估结果运用。强化行业自律诚信建设，健全社会组织信用体系。加强执法监察力量，有效打击非法社会组织和社会组织违法违规行为，维护风清气正的发展环境。</w:t>
      </w:r>
    </w:p>
    <w:p>
      <w:pPr>
        <w:spacing w:line="540" w:lineRule="exact"/>
        <w:ind w:firstLine="643" w:firstLineChars="200"/>
        <w:rPr>
          <w:rFonts w:ascii="仿宋" w:hAnsi="仿宋" w:eastAsia="仿宋" w:cs="仿宋"/>
          <w:b/>
          <w:color w:val="auto"/>
          <w:sz w:val="32"/>
          <w:szCs w:val="32"/>
        </w:rPr>
      </w:pPr>
      <w:bookmarkStart w:id="118" w:name="_Toc28211_WPSOffice_Level3"/>
      <w:bookmarkStart w:id="119" w:name="_Toc7629_WPSOffice_Level3"/>
      <w:r>
        <w:rPr>
          <w:rFonts w:hint="eastAsia" w:ascii="仿宋" w:hAnsi="仿宋" w:eastAsia="仿宋" w:cs="仿宋"/>
          <w:b/>
          <w:bCs/>
          <w:color w:val="auto"/>
          <w:sz w:val="32"/>
          <w:szCs w:val="32"/>
          <w:shd w:val="clear" w:color="auto" w:fill="FFFFFF"/>
        </w:rPr>
        <w:t>3.</w:t>
      </w:r>
      <w:bookmarkEnd w:id="118"/>
      <w:r>
        <w:rPr>
          <w:rFonts w:hint="eastAsia" w:ascii="仿宋" w:hAnsi="仿宋" w:eastAsia="仿宋" w:cs="仿宋"/>
          <w:b/>
          <w:bCs/>
          <w:color w:val="auto"/>
          <w:sz w:val="32"/>
          <w:szCs w:val="32"/>
          <w:shd w:val="clear" w:color="auto" w:fill="FFFFFF"/>
        </w:rPr>
        <w:t>切实增强社会工作整体力量</w:t>
      </w:r>
      <w:bookmarkEnd w:id="119"/>
    </w:p>
    <w:p>
      <w:pPr>
        <w:spacing w:line="540" w:lineRule="exact"/>
        <w:ind w:firstLine="640" w:firstLineChars="200"/>
        <w:rPr>
          <w:rFonts w:ascii="仿宋" w:hAnsi="仿宋" w:eastAsia="仿宋" w:cs="仿宋"/>
          <w:bCs/>
          <w:color w:val="auto"/>
          <w:sz w:val="32"/>
          <w:szCs w:val="32"/>
        </w:rPr>
      </w:pPr>
      <w:r>
        <w:rPr>
          <w:rFonts w:hint="eastAsia" w:ascii="仿宋" w:hAnsi="仿宋" w:eastAsia="仿宋" w:cs="仿宋"/>
          <w:color w:val="auto"/>
          <w:sz w:val="32"/>
          <w:szCs w:val="32"/>
        </w:rPr>
        <w:t>健全党委领导、政府负责、群团助推、社会协同、公众参与的社会工作统筹机制。拓展社会工作服务网络，推动社会工作服务向基层延伸，加快推进乡镇（街道）社会工作站建设，实现全覆盖。支持民政事业单位、社区设置社会工作岗位，配备社会工作专业人才，推动社会工作者职业资格与专业技术职务评聘相衔接。拓展社会工作服务领域，推动医务、教育、企业等领域加快开展社会工作服务。加强社会工作人才队伍建设，将精英社工师纳入人才培养计划，</w:t>
      </w:r>
      <w:r>
        <w:rPr>
          <w:rFonts w:hint="eastAsia" w:ascii="仿宋" w:hAnsi="仿宋" w:eastAsia="仿宋" w:cs="仿宋"/>
          <w:bCs/>
          <w:color w:val="auto"/>
          <w:sz w:val="32"/>
          <w:szCs w:val="32"/>
        </w:rPr>
        <w:t>实施社工师选拔培养工程、社会工作专业人才“十百千”素质提升工程、“金牌社工督导”引才工程，推动社工人才队伍素质提升，打造一支结构合理、服务专业、素质优良的社工人才队伍。</w:t>
      </w:r>
      <w:bookmarkStart w:id="120" w:name="_Hlk66020989"/>
      <w:r>
        <w:rPr>
          <w:rFonts w:hint="eastAsia" w:ascii="仿宋" w:hAnsi="仿宋" w:eastAsia="仿宋" w:cs="仿宋"/>
          <w:bCs/>
          <w:color w:val="auto"/>
          <w:sz w:val="32"/>
          <w:szCs w:val="32"/>
        </w:rPr>
        <w:t>到2022年，</w:t>
      </w:r>
      <w:bookmarkEnd w:id="120"/>
      <w:r>
        <w:rPr>
          <w:rFonts w:hint="eastAsia" w:ascii="仿宋" w:hAnsi="仿宋" w:eastAsia="仿宋" w:cs="仿宋"/>
          <w:bCs/>
          <w:color w:val="auto"/>
          <w:sz w:val="32"/>
          <w:szCs w:val="32"/>
        </w:rPr>
        <w:t>每万人持证社会工作专业人才达到18人，2025年达到20人。完善志愿服务激励与保障措施，鼓励开展志愿服务“时间银行”，推动志愿服务制度化常态化发展，引导志愿服务力量扎根社区和民政福利机构开展服务。到2025年，全市注册志愿者人数达到75万人，每十万人志愿服务组织数达到3个。</w:t>
      </w:r>
    </w:p>
    <w:p>
      <w:pPr>
        <w:spacing w:line="540" w:lineRule="exact"/>
        <w:ind w:firstLine="643" w:firstLineChars="200"/>
        <w:rPr>
          <w:rFonts w:ascii="仿宋" w:hAnsi="仿宋" w:eastAsia="仿宋" w:cs="仿宋"/>
          <w:b/>
          <w:color w:val="auto"/>
          <w:sz w:val="32"/>
          <w:szCs w:val="32"/>
        </w:rPr>
      </w:pPr>
      <w:bookmarkStart w:id="121" w:name="_Toc19563_WPSOffice_Level3"/>
      <w:r>
        <w:rPr>
          <w:rFonts w:hint="eastAsia" w:ascii="仿宋" w:hAnsi="仿宋" w:eastAsia="仿宋" w:cs="仿宋"/>
          <w:b/>
          <w:bCs/>
          <w:color w:val="auto"/>
          <w:sz w:val="32"/>
          <w:szCs w:val="32"/>
          <w:shd w:val="clear" w:color="auto" w:fill="FFFFFF"/>
        </w:rPr>
        <w:t>4.大力促进慈善事业惠民利民</w:t>
      </w:r>
      <w:bookmarkEnd w:id="121"/>
    </w:p>
    <w:p>
      <w:pPr>
        <w:spacing w:line="540" w:lineRule="exact"/>
        <w:ind w:firstLine="640" w:firstLineChars="200"/>
        <w:outlineLvl w:val="2"/>
        <w:rPr>
          <w:rFonts w:ascii="仿宋" w:hAnsi="仿宋" w:eastAsia="仿宋" w:cs="仿宋"/>
          <w:bCs/>
          <w:color w:val="auto"/>
          <w:sz w:val="32"/>
          <w:szCs w:val="32"/>
        </w:rPr>
      </w:pPr>
      <w:r>
        <w:rPr>
          <w:rFonts w:hint="eastAsia" w:ascii="仿宋" w:hAnsi="仿宋" w:eastAsia="仿宋" w:cs="仿宋"/>
          <w:color w:val="auto"/>
          <w:kern w:val="0"/>
          <w:sz w:val="32"/>
          <w:szCs w:val="32"/>
        </w:rPr>
        <w:t>推进慈善基地能力提升工程，出台《丽水市加快推进慈善事业高质量发展的实施意见》，创新慈善活动方式，丰富慈善帮扶内容，探索“互联网+慈善”新模式，引导慈善资源合理流动，助力促进共同富裕。大力发展慈善组织和慈善信托，到2025年，经登记认定的慈善组织突破60家。</w:t>
      </w:r>
      <w:r>
        <w:rPr>
          <w:rFonts w:hint="eastAsia" w:ascii="仿宋" w:hAnsi="仿宋" w:eastAsia="仿宋" w:cs="仿宋"/>
          <w:bCs/>
          <w:color w:val="auto"/>
          <w:kern w:val="0"/>
          <w:sz w:val="32"/>
          <w:szCs w:val="32"/>
        </w:rPr>
        <w:t>建立和完善慈善力量参与突发事件应对的机制。加强对慈善活动的监督管理，</w:t>
      </w:r>
      <w:r>
        <w:rPr>
          <w:rFonts w:hint="eastAsia" w:ascii="仿宋" w:hAnsi="仿宋" w:eastAsia="仿宋" w:cs="仿宋"/>
          <w:bCs/>
          <w:color w:val="auto"/>
          <w:sz w:val="32"/>
          <w:szCs w:val="32"/>
        </w:rPr>
        <w:t>规范慈善行为，形成行业自律机制，实现慈善网络更加便捷透明、高效专业、规范有序。</w:t>
      </w:r>
      <w:r>
        <w:rPr>
          <w:rFonts w:hint="eastAsia" w:ascii="仿宋" w:hAnsi="仿宋" w:eastAsia="仿宋" w:cs="仿宋"/>
          <w:bCs/>
          <w:color w:val="auto"/>
          <w:kern w:val="0"/>
          <w:sz w:val="32"/>
          <w:szCs w:val="32"/>
        </w:rPr>
        <w:t>加大宣</w:t>
      </w:r>
      <w:r>
        <w:rPr>
          <w:rFonts w:hint="eastAsia" w:ascii="仿宋" w:hAnsi="仿宋" w:eastAsia="仿宋" w:cs="仿宋"/>
          <w:color w:val="auto"/>
          <w:kern w:val="0"/>
          <w:sz w:val="32"/>
          <w:szCs w:val="32"/>
        </w:rPr>
        <w:t>传力度，动员社会力量积极参与慈善与公益事业，打造慈善环境良好、群众参与广泛、社会文明和谐的“慈善丽水”品牌。</w:t>
      </w:r>
      <w:r>
        <w:rPr>
          <w:rFonts w:hint="eastAsia" w:ascii="仿宋" w:hAnsi="仿宋" w:eastAsia="仿宋" w:cs="仿宋"/>
          <w:bCs/>
          <w:color w:val="auto"/>
          <w:sz w:val="32"/>
          <w:szCs w:val="32"/>
        </w:rPr>
        <w:t>加强福利彩票销售管理，更新福利彩票发展理念，完善渠道布局，推进品牌建设，加快从增点扩面的速度规模型向提质增效的质量创新型转轨。申报以“绿水青山”为主题的丽水地方特色专题彩票，扩大丽水影响力。</w:t>
      </w:r>
    </w:p>
    <w:bookmarkEnd w:id="104"/>
    <w:p>
      <w:pPr>
        <w:spacing w:line="540" w:lineRule="exact"/>
        <w:ind w:firstLine="643" w:firstLineChars="200"/>
        <w:outlineLvl w:val="1"/>
        <w:rPr>
          <w:rFonts w:ascii="楷体" w:hAnsi="楷体" w:eastAsia="楷体" w:cs="楷体"/>
          <w:b/>
          <w:color w:val="auto"/>
          <w:sz w:val="32"/>
          <w:szCs w:val="32"/>
        </w:rPr>
      </w:pPr>
      <w:bookmarkStart w:id="122" w:name="_Toc23144_WPSOffice_Level2"/>
      <w:bookmarkStart w:id="123" w:name="_Toc6403_WPSOffice_Level2"/>
      <w:r>
        <w:rPr>
          <w:rFonts w:hint="eastAsia" w:ascii="楷体" w:hAnsi="楷体" w:eastAsia="楷体" w:cs="楷体"/>
          <w:b/>
          <w:color w:val="auto"/>
          <w:sz w:val="32"/>
          <w:szCs w:val="32"/>
        </w:rPr>
        <w:t>（四）实施专项事务暖心服务计划</w:t>
      </w:r>
      <w:bookmarkEnd w:id="122"/>
      <w:bookmarkEnd w:id="123"/>
    </w:p>
    <w:p>
      <w:pPr>
        <w:spacing w:line="540" w:lineRule="exact"/>
        <w:ind w:firstLine="640" w:firstLineChars="200"/>
        <w:outlineLvl w:val="2"/>
        <w:rPr>
          <w:rFonts w:ascii="仿宋" w:hAnsi="仿宋" w:eastAsia="仿宋" w:cs="仿宋"/>
          <w:color w:val="auto"/>
          <w:kern w:val="0"/>
          <w:sz w:val="32"/>
          <w:szCs w:val="32"/>
        </w:rPr>
      </w:pPr>
      <w:r>
        <w:rPr>
          <w:rFonts w:hint="eastAsia" w:ascii="仿宋" w:hAnsi="仿宋" w:eastAsia="仿宋" w:cs="仿宋"/>
          <w:color w:val="auto"/>
          <w:kern w:val="0"/>
          <w:sz w:val="32"/>
          <w:szCs w:val="32"/>
        </w:rPr>
        <w:t>坚持便民利民规范管理导向，以满足群众日益多样化需求为核心,构建适应经济社会发展需要的区划地名、婚姻登记、生态殡葬等服务体系，不断提升民政专项社会事务管理和服务水平，打造“暖心服务标杆区”。</w:t>
      </w:r>
    </w:p>
    <w:p>
      <w:pPr>
        <w:spacing w:line="540" w:lineRule="exact"/>
        <w:ind w:firstLine="643" w:firstLineChars="200"/>
        <w:outlineLvl w:val="2"/>
        <w:rPr>
          <w:rFonts w:ascii="仿宋" w:hAnsi="仿宋" w:eastAsia="仿宋" w:cs="仿宋"/>
          <w:b/>
          <w:bCs/>
          <w:color w:val="auto"/>
          <w:kern w:val="0"/>
          <w:sz w:val="32"/>
          <w:szCs w:val="32"/>
        </w:rPr>
      </w:pPr>
      <w:bookmarkStart w:id="124" w:name="_Toc16282_WPSOffice_Level3"/>
      <w:bookmarkStart w:id="125" w:name="_Toc22157_WPSOffice_Level3"/>
      <w:bookmarkStart w:id="126" w:name="_Toc32402_WPSOffice_Level3"/>
      <w:r>
        <w:rPr>
          <w:rFonts w:hint="eastAsia" w:ascii="仿宋" w:hAnsi="仿宋" w:eastAsia="仿宋" w:cs="仿宋"/>
          <w:b/>
          <w:bCs/>
          <w:color w:val="auto"/>
          <w:sz w:val="32"/>
          <w:szCs w:val="32"/>
          <w:shd w:val="clear" w:color="auto" w:fill="FFFFFF"/>
        </w:rPr>
        <w:t>1.加强区划地名管理</w:t>
      </w:r>
      <w:bookmarkEnd w:id="124"/>
      <w:bookmarkEnd w:id="125"/>
      <w:bookmarkEnd w:id="126"/>
    </w:p>
    <w:p>
      <w:pPr>
        <w:spacing w:line="540" w:lineRule="exact"/>
        <w:ind w:firstLine="640" w:firstLineChars="200"/>
        <w:rPr>
          <w:rFonts w:ascii="仿宋" w:hAnsi="仿宋" w:eastAsia="仿宋" w:cs="仿宋"/>
          <w:b/>
          <w:color w:val="auto"/>
          <w:sz w:val="32"/>
          <w:szCs w:val="32"/>
        </w:rPr>
      </w:pPr>
      <w:r>
        <w:rPr>
          <w:rFonts w:hint="eastAsia" w:ascii="仿宋" w:hAnsi="仿宋" w:eastAsia="仿宋" w:cs="仿宋"/>
          <w:bCs/>
          <w:color w:val="auto"/>
          <w:sz w:val="32"/>
          <w:szCs w:val="32"/>
        </w:rPr>
        <w:t>适应新型城镇化要求，建立健全行政区划管理机制，积极稳妥实行行政区划调整，逐步建立起符合丽水未来发展实际的行政区划结构。编制丽水市区地名总体规划，实现地名规划和国土空间规划同步。更新发布《丽水市政区图》《丽水中心城区图》。加强平安边界建设，提升行政区域界线管理水平。完成第四轮并启动第五轮行政区域界线联检工作。健全完善地名管理政策法规，加强地名命名更名管理，推动地名管理服务数字化转型，创新“地名+新媒体”智慧地名服务模式，推行数字门牌、数字路牌建设。到2025年，建成1个数字门牌建设试点县（市、区），力争建设1个以上省级地名文化服务与文化建设示范县（市、区）。推进地名文化遗产挖掘、保护、宣传和利用，开展“千年古县”“千年古镇”“千年古村落”地名文化遗产保护，有序推进地名文化遗产展示场馆建设。结合“浙西南革命精神”，深化红色地名文化品牌建设，讲好丽水地名故事。</w:t>
      </w:r>
    </w:p>
    <w:p>
      <w:pPr>
        <w:spacing w:line="540" w:lineRule="exact"/>
        <w:ind w:firstLine="643" w:firstLineChars="200"/>
        <w:outlineLvl w:val="2"/>
        <w:rPr>
          <w:rFonts w:ascii="仿宋" w:hAnsi="仿宋" w:eastAsia="仿宋" w:cs="仿宋"/>
          <w:b/>
          <w:bCs/>
          <w:color w:val="auto"/>
          <w:kern w:val="0"/>
          <w:sz w:val="32"/>
          <w:szCs w:val="32"/>
        </w:rPr>
      </w:pPr>
      <w:bookmarkStart w:id="127" w:name="_Toc8068_WPSOffice_Level3"/>
      <w:bookmarkStart w:id="128" w:name="_Toc27737_WPSOffice_Level3"/>
      <w:bookmarkStart w:id="129" w:name="_Toc10086_WPSOffice_Level3"/>
      <w:r>
        <w:rPr>
          <w:rFonts w:hint="eastAsia" w:ascii="仿宋" w:hAnsi="仿宋" w:eastAsia="仿宋" w:cs="仿宋"/>
          <w:b/>
          <w:bCs/>
          <w:color w:val="auto"/>
          <w:sz w:val="32"/>
          <w:szCs w:val="32"/>
          <w:shd w:val="clear" w:color="auto" w:fill="FFFFFF"/>
        </w:rPr>
        <w:t>2.提升婚姻登记服务</w:t>
      </w:r>
      <w:bookmarkEnd w:id="127"/>
      <w:bookmarkEnd w:id="128"/>
      <w:bookmarkEnd w:id="129"/>
    </w:p>
    <w:p>
      <w:pPr>
        <w:spacing w:line="540" w:lineRule="exact"/>
        <w:ind w:firstLine="640" w:firstLineChars="200"/>
        <w:outlineLvl w:val="2"/>
        <w:rPr>
          <w:rFonts w:ascii="仿宋" w:hAnsi="仿宋" w:eastAsia="仿宋" w:cs="仿宋"/>
          <w:color w:val="auto"/>
          <w:kern w:val="0"/>
          <w:sz w:val="32"/>
          <w:szCs w:val="32"/>
        </w:rPr>
      </w:pPr>
      <w:r>
        <w:rPr>
          <w:rFonts w:hint="eastAsia" w:ascii="仿宋" w:hAnsi="仿宋" w:eastAsia="仿宋" w:cs="仿宋"/>
          <w:color w:val="auto"/>
          <w:kern w:val="0"/>
          <w:sz w:val="32"/>
          <w:szCs w:val="32"/>
        </w:rPr>
        <w:t>加强《中华人民共和国民法典》婚姻家庭编的宣传贯彻执行，加强婚登工作人员业务知识和礼仪常识等培训，锻造专业规范的服务团队，推进婚姻登记机关规范化、标准化建设。深化“互联网+婚姻服务”，推行婚姻登记“跨省通办”，推进结婚生育户口“一件事”联办。继续加强婚姻登记信息化建设，优化婚姻电子证照共享应用，实现婚姻登记规范化、精细化、智慧化，推进婚姻登记智能咨询等免费服务。深入开展婚姻家庭辅导教育，推行离婚冷静期，推进和谐婚姻家庭建设。推进婚俗改革，倡导婚俗新风尚，加强现代文明的婚姻文化建设。推广建设婚姻文化展示厅、婚俗文化博物馆或婚姻家庭文化教育基地。到2025年，婚姻登记机关场地全部达到国家3A标准，4个县级场地达到国家4A级以上标准。</w:t>
      </w:r>
    </w:p>
    <w:p>
      <w:pPr>
        <w:spacing w:line="540" w:lineRule="exact"/>
        <w:ind w:firstLine="643" w:firstLineChars="200"/>
        <w:outlineLvl w:val="2"/>
        <w:rPr>
          <w:rFonts w:ascii="仿宋" w:hAnsi="仿宋" w:eastAsia="仿宋" w:cs="仿宋"/>
          <w:b/>
          <w:bCs/>
          <w:color w:val="auto"/>
          <w:kern w:val="0"/>
          <w:sz w:val="32"/>
          <w:szCs w:val="32"/>
        </w:rPr>
      </w:pPr>
      <w:bookmarkStart w:id="130" w:name="_Toc14695_WPSOffice_Level3"/>
      <w:bookmarkStart w:id="131" w:name="_Toc14082_WPSOffice_Level3"/>
      <w:bookmarkStart w:id="132" w:name="_Toc5004_WPSOffice_Level3"/>
      <w:r>
        <w:rPr>
          <w:rFonts w:hint="eastAsia" w:ascii="仿宋" w:hAnsi="仿宋" w:eastAsia="仿宋" w:cs="仿宋"/>
          <w:b/>
          <w:bCs/>
          <w:color w:val="auto"/>
          <w:sz w:val="32"/>
          <w:szCs w:val="32"/>
          <w:shd w:val="clear" w:color="auto" w:fill="FFFFFF"/>
        </w:rPr>
        <w:t>3.</w:t>
      </w:r>
      <w:bookmarkEnd w:id="130"/>
      <w:r>
        <w:rPr>
          <w:rFonts w:hint="eastAsia" w:ascii="仿宋" w:hAnsi="仿宋" w:eastAsia="仿宋" w:cs="仿宋"/>
          <w:b/>
          <w:bCs/>
          <w:color w:val="auto"/>
          <w:sz w:val="32"/>
          <w:szCs w:val="32"/>
          <w:shd w:val="clear" w:color="auto" w:fill="FFFFFF"/>
        </w:rPr>
        <w:t>优化殡葬管理和服务</w:t>
      </w:r>
      <w:bookmarkEnd w:id="131"/>
      <w:bookmarkEnd w:id="132"/>
    </w:p>
    <w:p>
      <w:pPr>
        <w:spacing w:line="540" w:lineRule="exact"/>
        <w:ind w:firstLine="643" w:firstLineChars="200"/>
        <w:outlineLvl w:val="2"/>
        <w:rPr>
          <w:rFonts w:ascii="仿宋_GB2312" w:hAnsi="仿宋_GB2312" w:eastAsia="仿宋_GB2312" w:cs="仿宋_GB2312"/>
          <w:color w:val="auto"/>
          <w:kern w:val="0"/>
          <w:sz w:val="28"/>
          <w:szCs w:val="28"/>
        </w:rPr>
      </w:pPr>
      <w:r>
        <w:rPr>
          <w:rFonts w:hint="eastAsia" w:ascii="仿宋" w:hAnsi="仿宋" w:eastAsia="仿宋" w:cs="仿宋"/>
          <w:b/>
          <w:bCs/>
          <w:color w:val="auto"/>
          <w:kern w:val="0"/>
          <w:sz w:val="32"/>
          <w:szCs w:val="32"/>
        </w:rPr>
        <w:t>强化殡葬管理，</w:t>
      </w:r>
      <w:r>
        <w:rPr>
          <w:rFonts w:hint="eastAsia" w:ascii="仿宋" w:hAnsi="仿宋" w:eastAsia="仿宋" w:cs="仿宋"/>
          <w:color w:val="auto"/>
          <w:kern w:val="0"/>
          <w:sz w:val="32"/>
          <w:szCs w:val="32"/>
        </w:rPr>
        <w:t>健全殡葬公共服务保障、殡葬服务市场监管、丧事活动管理执法、公墓建设管理监督等制度，引导殡葬企业合法经营，完善殡葬服务惠民制度和节地生态安葬奖补制度。建立民政、公安、国土、林业、农业农村等相关职能部门联合工作机制，推行“双随机、一公开”抽查机制，开展安葬（放）设施违规建设经营专项摸排整治，强化大数据服务监管功能，提高殡葬领域治理水平。完善殡葬设施，提高编制公墓建设和布点规划，纳入国土“一张图”空间规划，统筹推进节地生态安葬设施建设，启动市本级示范性节地生态安葬点（骨灰堂、树葬、花葬、草坪葬等）项目，推进莲都底金弄、龙泉安泽园等公墓建设和遂昌殡仪馆迁建工程。到202</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年，全市节地生态安葬率达</w:t>
      </w:r>
      <w:r>
        <w:rPr>
          <w:rFonts w:ascii="仿宋" w:hAnsi="仿宋" w:eastAsia="仿宋" w:cs="仿宋"/>
          <w:color w:val="auto"/>
          <w:kern w:val="0"/>
          <w:sz w:val="32"/>
          <w:szCs w:val="32"/>
        </w:rPr>
        <w:t>6</w:t>
      </w:r>
      <w:r>
        <w:rPr>
          <w:rFonts w:hint="eastAsia" w:ascii="仿宋" w:hAnsi="仿宋" w:eastAsia="仿宋" w:cs="仿宋"/>
          <w:color w:val="auto"/>
          <w:kern w:val="0"/>
          <w:sz w:val="32"/>
          <w:szCs w:val="32"/>
        </w:rPr>
        <w:t>0%，2025年达到70%，</w:t>
      </w:r>
      <w:bookmarkStart w:id="133" w:name="_Hlk66010118"/>
      <w:r>
        <w:rPr>
          <w:rFonts w:hint="eastAsia" w:ascii="仿宋" w:hAnsi="仿宋" w:eastAsia="仿宋" w:cs="仿宋"/>
          <w:color w:val="auto"/>
          <w:kern w:val="0"/>
          <w:sz w:val="32"/>
          <w:szCs w:val="32"/>
        </w:rPr>
        <w:t>实现节地生态安葬点乡镇（街道）全覆盖，建设省级公益安葬设施示范点30处</w:t>
      </w:r>
      <w:bookmarkEnd w:id="133"/>
      <w:r>
        <w:rPr>
          <w:rFonts w:hint="eastAsia" w:ascii="仿宋" w:hAnsi="仿宋" w:eastAsia="仿宋" w:cs="仿宋"/>
          <w:color w:val="auto"/>
          <w:kern w:val="0"/>
          <w:sz w:val="32"/>
          <w:szCs w:val="32"/>
        </w:rPr>
        <w:t>。优化殡仪服务，强化政府主体责任和投入，增强殡葬服务事业的公益属性。加快殡仪服务机构升级改造，乡镇统筹建设集中治丧场所，探索“社会组织+殡葬改革”模式，满足群众多元化需求。推进“互联网+殡葬服务”，持续推进群众身后“一件事”改革，提升服务便捷化、专业化水平。推动殡葬习俗改革，打造优秀殡葬文化宣传平台，引导群众文明节俭治丧、文明低碳祭扫，将丧事简办、文明绿色殡葬等要求纳入社区公约、村规民约，推进殡葬移风易俗。</w:t>
      </w:r>
    </w:p>
    <w:p>
      <w:pPr>
        <w:spacing w:line="540" w:lineRule="exact"/>
        <w:ind w:left="630"/>
        <w:outlineLvl w:val="1"/>
        <w:rPr>
          <w:rFonts w:ascii="楷体" w:hAnsi="楷体" w:eastAsia="楷体" w:cs="楷体"/>
          <w:b/>
          <w:color w:val="auto"/>
          <w:sz w:val="32"/>
          <w:szCs w:val="32"/>
        </w:rPr>
      </w:pPr>
      <w:bookmarkStart w:id="134" w:name="_Toc273_WPSOffice_Level2"/>
      <w:bookmarkStart w:id="135" w:name="_Toc29411_WPSOffice_Level2"/>
      <w:r>
        <w:rPr>
          <w:rFonts w:hint="eastAsia" w:ascii="楷体" w:hAnsi="楷体" w:eastAsia="楷体" w:cs="楷体"/>
          <w:b/>
          <w:color w:val="auto"/>
          <w:sz w:val="32"/>
          <w:szCs w:val="32"/>
        </w:rPr>
        <w:t>（五）实施数字赋能保障支撑计划</w:t>
      </w:r>
      <w:bookmarkEnd w:id="134"/>
      <w:bookmarkEnd w:id="135"/>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树立数字化意识，把握数字化趋势，夯实民政数据仓，创新民政应用场景，拓展民政数字化改革的深度和广度，为推动民政领域变革数字赋能，实现民政工作“整体智治、高效协同”。</w:t>
      </w:r>
    </w:p>
    <w:p>
      <w:pPr>
        <w:spacing w:line="540" w:lineRule="exact"/>
        <w:ind w:firstLine="643" w:firstLineChars="200"/>
        <w:rPr>
          <w:rFonts w:ascii="仿宋" w:hAnsi="仿宋" w:eastAsia="仿宋" w:cs="仿宋"/>
          <w:b/>
          <w:bCs/>
          <w:color w:val="auto"/>
          <w:kern w:val="0"/>
          <w:sz w:val="32"/>
          <w:szCs w:val="32"/>
        </w:rPr>
      </w:pPr>
      <w:bookmarkStart w:id="136" w:name="_Toc28092_WPSOffice_Level3"/>
      <w:bookmarkStart w:id="137" w:name="_Toc2813_WPSOffice_Level3"/>
      <w:r>
        <w:rPr>
          <w:rFonts w:hint="eastAsia" w:ascii="仿宋" w:hAnsi="仿宋" w:eastAsia="仿宋" w:cs="仿宋"/>
          <w:b/>
          <w:bCs/>
          <w:color w:val="auto"/>
          <w:sz w:val="32"/>
          <w:szCs w:val="32"/>
          <w:shd w:val="clear" w:color="auto" w:fill="FFFFFF"/>
        </w:rPr>
        <w:t>1.“省建系统+个性应用”推动</w:t>
      </w:r>
      <w:bookmarkStart w:id="138" w:name="_Hlk65833052"/>
      <w:r>
        <w:rPr>
          <w:rFonts w:hint="eastAsia" w:ascii="仿宋" w:hAnsi="仿宋" w:eastAsia="仿宋" w:cs="仿宋"/>
          <w:b/>
          <w:bCs/>
          <w:color w:val="auto"/>
          <w:sz w:val="32"/>
          <w:szCs w:val="32"/>
          <w:shd w:val="clear" w:color="auto" w:fill="FFFFFF"/>
        </w:rPr>
        <w:t>民政智能体系建设</w:t>
      </w:r>
      <w:bookmarkEnd w:id="136"/>
      <w:bookmarkEnd w:id="137"/>
      <w:bookmarkEnd w:id="138"/>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充分应用省建系统，深度梳理核心业务，结合丽水实际，推动民政智能体系建设。积极推进新时代社会救助数字化改革和“浙里养”智慧养老服务平台迭代升级，打通政府、社会、市场之间数据壁垒。全面推进丽水数字化改革个性化场景应用，创新社会组织、慈善社工、基层政权、区划地名、儿童福利、婚姻登记、殡葬管理等领域的集成应用，打造具有丽水标识度的县域民政数字化改革亮点。在全市推广莲都丽水居养96345综合服务平台、景宁关爱365智慧云平台、云和“联连帮”等比较成熟的智慧服务平台，鼓励各条线结合新形势新任务开展积极探索，支持莲都区阳光票决制2.0、景宁社救助手和智慧殡葬、遂昌智慧养老院、青田社区居家养老智慧服务、松阳暖心救助服务等创新智慧场景应用。</w:t>
      </w:r>
    </w:p>
    <w:p>
      <w:pPr>
        <w:spacing w:line="540" w:lineRule="exact"/>
        <w:ind w:firstLine="643" w:firstLineChars="200"/>
        <w:rPr>
          <w:rFonts w:ascii="仿宋" w:hAnsi="仿宋" w:eastAsia="仿宋" w:cs="仿宋"/>
          <w:b/>
          <w:bCs/>
          <w:color w:val="auto"/>
          <w:kern w:val="0"/>
          <w:sz w:val="32"/>
          <w:szCs w:val="32"/>
        </w:rPr>
      </w:pPr>
      <w:bookmarkStart w:id="139" w:name="_Toc4915_WPSOffice_Level3"/>
      <w:bookmarkStart w:id="140" w:name="_Toc25435_WPSOffice_Level3"/>
      <w:r>
        <w:rPr>
          <w:rFonts w:hint="eastAsia" w:ascii="仿宋" w:hAnsi="仿宋" w:eastAsia="仿宋" w:cs="仿宋"/>
          <w:b/>
          <w:bCs/>
          <w:color w:val="auto"/>
          <w:sz w:val="32"/>
          <w:szCs w:val="32"/>
          <w:shd w:val="clear" w:color="auto" w:fill="FFFFFF"/>
        </w:rPr>
        <w:t>2.“码上办+政务服务”推动民政服务迭代升级</w:t>
      </w:r>
      <w:bookmarkEnd w:id="139"/>
      <w:bookmarkEnd w:id="140"/>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全面落实民政服务12个条线“码上办”，以“一年出成果、两年大变样、五年新飞跃”为目标，全面推进民政各领域数字化改革的系统集成应用，提升民政事项管理服务水平。持续深化民政系统“最多跑一次”改革，不断提高民政服务事项标准化水平和网上办事水平。依托“浙政钉”“浙里办”和省、市公共数据交换平台，充分利用已有基础设施和数据资源，加快推进民政各业务系统和办公系统的深度融合，推动政务服务２.0向群众“一件事”延伸，全面提升服务对象的体验感、获得感、幸福感。</w:t>
      </w:r>
    </w:p>
    <w:p>
      <w:pPr>
        <w:spacing w:line="540" w:lineRule="exact"/>
        <w:ind w:firstLine="643" w:firstLineChars="200"/>
        <w:rPr>
          <w:rFonts w:ascii="仿宋" w:hAnsi="仿宋" w:eastAsia="仿宋" w:cs="仿宋"/>
          <w:b/>
          <w:bCs/>
          <w:color w:val="auto"/>
          <w:kern w:val="0"/>
          <w:sz w:val="32"/>
          <w:szCs w:val="32"/>
        </w:rPr>
      </w:pPr>
      <w:bookmarkStart w:id="141" w:name="_Toc5867_WPSOffice_Level3"/>
      <w:bookmarkStart w:id="142" w:name="_Toc12864_WPSOffice_Level3"/>
      <w:r>
        <w:rPr>
          <w:rFonts w:hint="eastAsia" w:ascii="仿宋" w:hAnsi="仿宋" w:eastAsia="仿宋" w:cs="仿宋"/>
          <w:b/>
          <w:bCs/>
          <w:color w:val="auto"/>
          <w:sz w:val="32"/>
          <w:szCs w:val="32"/>
          <w:shd w:val="clear" w:color="auto" w:fill="FFFFFF"/>
        </w:rPr>
        <w:t>3.“数源提升+数据共享”推动多领域数据融合</w:t>
      </w:r>
      <w:bookmarkEnd w:id="141"/>
      <w:bookmarkEnd w:id="142"/>
    </w:p>
    <w:p>
      <w:pPr>
        <w:spacing w:line="54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kern w:val="0"/>
          <w:sz w:val="32"/>
          <w:szCs w:val="32"/>
        </w:rPr>
        <w:t>按照能共享则共享、能开放则开放的原则，全面推进民政数据共享交换和开放应用。加强政策协调，打通民政数字化应用与城市大脑、公共数据平台的通道，形成应用协同。充分发挥民政数据多元化、多样性优势，归纳、分析、使用好民政数据，为数字丽水建设贡献民政力量。不断提升民政数据质量，完善养老服务、社会救助、慈善捐赠、地名门牌、婚姻登记、殡葬服务等各领域基础数据库，提高民政数据的精准性和有效性。到2025年，民政工作数字化率达到90%，做到“一组数据看态势”“一个指数量全市”。</w:t>
      </w:r>
    </w:p>
    <w:p>
      <w:pPr>
        <w:spacing w:line="540" w:lineRule="exact"/>
        <w:ind w:firstLine="640" w:firstLineChars="200"/>
        <w:outlineLvl w:val="0"/>
        <w:rPr>
          <w:rFonts w:ascii="黑体" w:hAnsi="黑体" w:eastAsia="黑体" w:cs="黑体"/>
          <w:color w:val="auto"/>
          <w:sz w:val="32"/>
          <w:szCs w:val="32"/>
        </w:rPr>
      </w:pPr>
      <w:bookmarkStart w:id="143" w:name="_Toc10620_WPSOffice_Level1"/>
      <w:bookmarkStart w:id="144" w:name="_Toc1075_WPSOffice_Level1"/>
      <w:r>
        <w:rPr>
          <w:rFonts w:hint="eastAsia" w:ascii="黑体" w:hAnsi="黑体" w:eastAsia="黑体" w:cs="黑体"/>
          <w:color w:val="auto"/>
          <w:sz w:val="32"/>
          <w:szCs w:val="32"/>
        </w:rPr>
        <w:t>四、保障措施</w:t>
      </w:r>
      <w:bookmarkEnd w:id="143"/>
      <w:bookmarkEnd w:id="144"/>
    </w:p>
    <w:p>
      <w:pPr>
        <w:spacing w:line="540" w:lineRule="exact"/>
        <w:ind w:firstLine="643" w:firstLineChars="200"/>
        <w:outlineLvl w:val="0"/>
        <w:rPr>
          <w:rFonts w:ascii="楷体" w:hAnsi="楷体" w:eastAsia="楷体" w:cs="楷体"/>
          <w:b/>
          <w:bCs/>
          <w:color w:val="auto"/>
          <w:kern w:val="0"/>
          <w:sz w:val="32"/>
          <w:szCs w:val="32"/>
        </w:rPr>
      </w:pPr>
      <w:bookmarkStart w:id="145" w:name="_Toc3513_WPSOffice_Level2"/>
      <w:bookmarkStart w:id="146" w:name="_Toc1944_WPSOffice_Level2"/>
      <w:r>
        <w:rPr>
          <w:rFonts w:hint="eastAsia" w:ascii="楷体" w:hAnsi="楷体" w:eastAsia="楷体" w:cs="楷体"/>
          <w:b/>
          <w:color w:val="auto"/>
          <w:sz w:val="32"/>
          <w:szCs w:val="32"/>
        </w:rPr>
        <w:t>（一）坚持党的全面领导</w:t>
      </w:r>
      <w:bookmarkEnd w:id="145"/>
      <w:bookmarkEnd w:id="146"/>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坚持党对民政工作的全面领导，建立上下贯通、执行有力的组织体系，不断增强民政系统各级党组织的政治领导力、思想引领力、群众组织力、社会号召力。围绕中心服务大局，用党的创新理论指导民政实践，提升民政党建品牌建设，促进党建和业务深度融合。围绕智慧党建，推动民政党建规范化发展。推进清廉机关、模范机关创建，不断激发党组织的战斗堡垒作用、党员干部的先锋模范作用。围绕“清廉民政”，不断推进民政干部队伍建设，锻造一支永葆忠诚、竭诚为民、务实奉献、创新担当、清正廉洁的民政铁军。</w:t>
      </w:r>
    </w:p>
    <w:p>
      <w:pPr>
        <w:spacing w:line="540" w:lineRule="exact"/>
        <w:ind w:firstLine="643" w:firstLineChars="200"/>
        <w:outlineLvl w:val="1"/>
        <w:rPr>
          <w:rFonts w:ascii="楷体" w:hAnsi="楷体" w:eastAsia="楷体" w:cs="楷体"/>
          <w:b/>
          <w:color w:val="auto"/>
          <w:sz w:val="32"/>
          <w:szCs w:val="32"/>
        </w:rPr>
      </w:pPr>
      <w:bookmarkStart w:id="147" w:name="_Toc981_WPSOffice_Level2"/>
      <w:bookmarkStart w:id="148" w:name="_Toc31932_WPSOffice_Level2"/>
      <w:bookmarkStart w:id="149" w:name="_Toc8669_WPSOffice_Level2"/>
      <w:r>
        <w:rPr>
          <w:rFonts w:hint="eastAsia" w:ascii="楷体" w:hAnsi="楷体" w:eastAsia="楷体" w:cs="楷体"/>
          <w:b/>
          <w:color w:val="auto"/>
          <w:sz w:val="32"/>
          <w:szCs w:val="32"/>
        </w:rPr>
        <w:t>（二）提高民政法治水平</w:t>
      </w:r>
      <w:bookmarkEnd w:id="147"/>
      <w:bookmarkEnd w:id="148"/>
      <w:bookmarkEnd w:id="149"/>
      <w:r>
        <w:rPr>
          <w:rFonts w:hint="eastAsia" w:ascii="楷体" w:hAnsi="楷体" w:eastAsia="楷体" w:cs="楷体"/>
          <w:b/>
          <w:color w:val="auto"/>
          <w:sz w:val="32"/>
          <w:szCs w:val="32"/>
        </w:rPr>
        <w:t xml:space="preserve"> </w:t>
      </w:r>
    </w:p>
    <w:p>
      <w:pPr>
        <w:spacing w:line="540" w:lineRule="exact"/>
        <w:ind w:firstLine="640" w:firstLineChars="200"/>
        <w:rPr>
          <w:rFonts w:ascii="仿宋" w:hAnsi="仿宋" w:eastAsia="仿宋" w:cs="仿宋"/>
          <w:b/>
          <w:bCs/>
          <w:color w:val="auto"/>
          <w:kern w:val="0"/>
          <w:sz w:val="32"/>
          <w:szCs w:val="32"/>
        </w:rPr>
      </w:pPr>
      <w:r>
        <w:rPr>
          <w:rFonts w:hint="eastAsia" w:ascii="仿宋" w:hAnsi="仿宋" w:eastAsia="仿宋" w:cs="仿宋"/>
          <w:color w:val="auto"/>
          <w:kern w:val="0"/>
          <w:sz w:val="32"/>
          <w:szCs w:val="32"/>
        </w:rPr>
        <w:t>完善地方民政政策法规，健全“互联网+民政执法监管”机制，探索构建数字执法体系</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持续规范重大决策等重大行政行为程序，全面落实</w:t>
      </w:r>
      <w:r>
        <w:rPr>
          <w:rFonts w:hint="eastAsia" w:ascii="仿宋" w:hAnsi="仿宋" w:eastAsia="仿宋" w:cs="仿宋"/>
          <w:color w:val="auto"/>
          <w:kern w:val="0"/>
          <w:sz w:val="32"/>
          <w:szCs w:val="32"/>
          <w:lang w:eastAsia="zh-CN"/>
        </w:rPr>
        <w:t>“双随机、一公开”</w:t>
      </w:r>
      <w:r>
        <w:rPr>
          <w:rFonts w:hint="eastAsia" w:ascii="仿宋" w:hAnsi="仿宋" w:eastAsia="仿宋" w:cs="仿宋"/>
          <w:color w:val="auto"/>
          <w:kern w:val="0"/>
          <w:sz w:val="32"/>
          <w:szCs w:val="32"/>
        </w:rPr>
        <w:t>监管机制，开展跨部门跨层级联合执法。全面推行行政执法公示、执法全过程记录、重大执法决定法制审核“三项制度”，不断推进民政执法规范化、信息化、标准化水平。开展民政法律法规及政策宣传，提高公众对民政工作和政策的知晓度、参与度。</w:t>
      </w:r>
    </w:p>
    <w:p>
      <w:pPr>
        <w:spacing w:line="540" w:lineRule="exact"/>
        <w:ind w:firstLine="643" w:firstLineChars="200"/>
        <w:rPr>
          <w:rFonts w:ascii="楷体" w:hAnsi="楷体" w:eastAsia="楷体" w:cs="楷体"/>
          <w:b/>
          <w:color w:val="auto"/>
          <w:sz w:val="32"/>
          <w:szCs w:val="32"/>
        </w:rPr>
      </w:pPr>
      <w:bookmarkStart w:id="150" w:name="_Toc646_WPSOffice_Level2"/>
      <w:bookmarkStart w:id="151" w:name="_Toc19374_WPSOffice_Level2"/>
      <w:bookmarkStart w:id="152" w:name="_Toc13144_WPSOffice_Level2"/>
      <w:r>
        <w:rPr>
          <w:rFonts w:hint="eastAsia" w:ascii="楷体" w:hAnsi="楷体" w:eastAsia="楷体" w:cs="楷体"/>
          <w:b/>
          <w:color w:val="auto"/>
          <w:sz w:val="32"/>
          <w:szCs w:val="32"/>
        </w:rPr>
        <w:t>（三）强化资源要素保障</w:t>
      </w:r>
      <w:bookmarkEnd w:id="150"/>
      <w:bookmarkEnd w:id="151"/>
      <w:bookmarkEnd w:id="152"/>
    </w:p>
    <w:p>
      <w:pPr>
        <w:spacing w:line="54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按照公共财政要求，加大对兜底性、基础性民政事业的财政投入力度。完善政府购买服务制度和清单，在养老服务、困难儿童关爱保护、社会救助等领域开展政府购买社会服务活动，优化第三方监督评估的落实和社会服务的供给。加强基层民政工作力量，确保每个乡镇（街道）配备3名左右民政经办服务人员，经办服务人员的招录和薪酬参照当地专职社区工作者管理办法实施。强化资金预算执行，健全民政资金分配使用管理和项目建设规范，加强内部控制、资金监管和绩效评价，提高民政资金使用绩效。优化现有民政资源配置，探索推进民政服务设施综合体建设。协调完善土地供应政策，将民政公共服务设施建设用地纳入土地利用总体规划和年度用地计划。加强福利彩票公益金的使用和管理，55%以上用于支持养老服务发展。</w:t>
      </w:r>
    </w:p>
    <w:p>
      <w:pPr>
        <w:spacing w:line="540" w:lineRule="exact"/>
        <w:ind w:firstLine="643" w:firstLineChars="200"/>
        <w:rPr>
          <w:rFonts w:ascii="楷体" w:hAnsi="楷体" w:eastAsia="楷体" w:cs="楷体"/>
          <w:b/>
          <w:color w:val="auto"/>
          <w:sz w:val="32"/>
          <w:szCs w:val="32"/>
        </w:rPr>
      </w:pPr>
      <w:bookmarkStart w:id="153" w:name="_Toc2020_WPSOffice_Level2"/>
      <w:bookmarkStart w:id="154" w:name="_Toc32315_WPSOffice_Level2"/>
      <w:bookmarkStart w:id="155" w:name="_Toc7629_WPSOffice_Level2"/>
      <w:r>
        <w:rPr>
          <w:rFonts w:hint="eastAsia" w:ascii="楷体" w:hAnsi="楷体" w:eastAsia="楷体" w:cs="楷体"/>
          <w:b/>
          <w:color w:val="auto"/>
          <w:sz w:val="32"/>
          <w:szCs w:val="32"/>
        </w:rPr>
        <w:t>（四）加强规划监测评估</w:t>
      </w:r>
      <w:bookmarkEnd w:id="153"/>
      <w:bookmarkEnd w:id="154"/>
      <w:bookmarkEnd w:id="155"/>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kern w:val="0"/>
          <w:sz w:val="32"/>
          <w:szCs w:val="32"/>
        </w:rPr>
        <w:t>加强规划的实施、协调和督导，建立规划实施情况年度监测分析、中期评估和总结评估机制，将评估结果作为改进民政工作和绩效考核的重要依据。探索开展大数据评估，引入第三方评估机构，推进民政统计数据的标准化、规范化、信息化建设，科学精准评估规划落地情况。</w:t>
      </w: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562" w:firstLineChars="200"/>
        <w:rPr>
          <w:rFonts w:ascii="仿宋" w:hAnsi="仿宋" w:eastAsia="仿宋" w:cs="仿宋"/>
          <w:color w:val="auto"/>
          <w:sz w:val="28"/>
          <w:szCs w:val="28"/>
        </w:rPr>
      </w:pPr>
      <w:bookmarkStart w:id="156" w:name="_Toc19957_WPSOffice_Level1"/>
      <w:bookmarkStart w:id="157" w:name="_Toc16498_WPSOffice_Level1"/>
      <w:r>
        <w:rPr>
          <w:rFonts w:ascii="仿宋" w:hAnsi="仿宋" w:eastAsia="仿宋" w:cs="仿宋"/>
          <w:b/>
          <w:color w:val="auto"/>
          <w:sz w:val="28"/>
          <w:szCs w:val="28"/>
        </w:rPr>
        <w:t>附件</w:t>
      </w:r>
      <w:r>
        <w:rPr>
          <w:rFonts w:hint="eastAsia" w:ascii="仿宋" w:hAnsi="仿宋" w:eastAsia="仿宋" w:cs="仿宋"/>
          <w:b/>
          <w:color w:val="auto"/>
          <w:sz w:val="28"/>
          <w:szCs w:val="28"/>
        </w:rPr>
        <w:t>：</w:t>
      </w:r>
      <w:r>
        <w:rPr>
          <w:rFonts w:hint="eastAsia" w:ascii="仿宋" w:hAnsi="仿宋" w:eastAsia="仿宋" w:cs="仿宋"/>
          <w:color w:val="auto"/>
          <w:sz w:val="28"/>
          <w:szCs w:val="28"/>
        </w:rPr>
        <w:t>1.名词解释</w:t>
      </w:r>
      <w:bookmarkEnd w:id="156"/>
      <w:bookmarkEnd w:id="157"/>
    </w:p>
    <w:p>
      <w:pPr>
        <w:spacing w:line="540" w:lineRule="exact"/>
        <w:ind w:firstLine="1400" w:firstLineChars="500"/>
        <w:rPr>
          <w:rFonts w:ascii="仿宋" w:hAnsi="仿宋" w:eastAsia="仿宋" w:cs="仿宋"/>
          <w:color w:val="auto"/>
          <w:sz w:val="28"/>
          <w:szCs w:val="28"/>
        </w:rPr>
      </w:pPr>
      <w:bookmarkStart w:id="158" w:name="_Toc17550_WPSOffice_Level1"/>
      <w:bookmarkStart w:id="159" w:name="_Toc6044_WPSOffice_Level1"/>
      <w:r>
        <w:rPr>
          <w:rFonts w:hint="eastAsia" w:ascii="仿宋" w:hAnsi="仿宋" w:eastAsia="仿宋" w:cs="仿宋"/>
          <w:color w:val="auto"/>
          <w:sz w:val="28"/>
          <w:szCs w:val="28"/>
        </w:rPr>
        <w:t>2.丽水市“十四五”时期民政事业发展政策</w:t>
      </w:r>
      <w:bookmarkEnd w:id="158"/>
      <w:bookmarkEnd w:id="159"/>
    </w:p>
    <w:p>
      <w:pPr>
        <w:spacing w:line="540" w:lineRule="exact"/>
        <w:ind w:firstLine="1400" w:firstLineChars="500"/>
        <w:rPr>
          <w:rFonts w:hint="default" w:ascii="仿宋" w:hAnsi="仿宋" w:eastAsia="仿宋" w:cs="仿宋"/>
          <w:b/>
          <w:color w:val="auto"/>
          <w:sz w:val="28"/>
          <w:szCs w:val="28"/>
        </w:rPr>
      </w:pPr>
      <w:bookmarkStart w:id="160" w:name="_Toc28526_WPSOffice_Level1"/>
      <w:bookmarkStart w:id="161" w:name="_Toc12310_WPSOffice_Level1"/>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.丽水市“十四五”时期民政事业发展</w:t>
      </w:r>
      <w:bookmarkEnd w:id="160"/>
      <w:bookmarkEnd w:id="161"/>
      <w:r>
        <w:rPr>
          <w:rFonts w:hint="default" w:ascii="仿宋" w:hAnsi="仿宋" w:eastAsia="仿宋" w:cs="仿宋"/>
          <w:color w:val="auto"/>
          <w:sz w:val="28"/>
          <w:szCs w:val="28"/>
        </w:rPr>
        <w:t>项目</w:t>
      </w: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ind w:firstLine="643" w:firstLineChars="200"/>
        <w:rPr>
          <w:rFonts w:ascii="仿宋" w:hAnsi="仿宋" w:eastAsia="仿宋" w:cs="仿宋"/>
          <w:b/>
          <w:color w:val="auto"/>
          <w:sz w:val="32"/>
          <w:szCs w:val="32"/>
        </w:rPr>
      </w:pPr>
    </w:p>
    <w:p>
      <w:pPr>
        <w:spacing w:line="540" w:lineRule="exact"/>
        <w:rPr>
          <w:rFonts w:ascii="仿宋" w:hAnsi="仿宋" w:eastAsia="仿宋" w:cs="仿宋"/>
          <w:color w:val="auto"/>
          <w:sz w:val="28"/>
          <w:szCs w:val="28"/>
        </w:rPr>
      </w:pPr>
      <w:bookmarkStart w:id="162" w:name="_Toc12445_WPSOffice_Level1"/>
      <w:r>
        <w:rPr>
          <w:rFonts w:ascii="仿宋" w:hAnsi="仿宋" w:eastAsia="仿宋" w:cs="仿宋"/>
          <w:color w:val="auto"/>
          <w:sz w:val="28"/>
          <w:szCs w:val="28"/>
        </w:rPr>
        <w:t>附件</w:t>
      </w:r>
      <w:r>
        <w:rPr>
          <w:rFonts w:hint="eastAsia" w:ascii="仿宋" w:hAnsi="仿宋" w:eastAsia="仿宋" w:cs="仿宋"/>
          <w:color w:val="auto"/>
          <w:sz w:val="28"/>
          <w:szCs w:val="28"/>
        </w:rPr>
        <w:t>1</w:t>
      </w:r>
    </w:p>
    <w:p>
      <w:pPr>
        <w:spacing w:line="540" w:lineRule="exact"/>
        <w:jc w:val="center"/>
        <w:rPr>
          <w:rFonts w:ascii="方正小标宋简体" w:hAnsi="方正小标宋简体" w:eastAsia="方正小标宋简体" w:cs="方正小标宋简体"/>
          <w:b/>
          <w:color w:val="auto"/>
          <w:sz w:val="36"/>
          <w:szCs w:val="36"/>
        </w:rPr>
      </w:pPr>
      <w:bookmarkStart w:id="163" w:name="_Toc30813_WPSOffice_Level1"/>
      <w:r>
        <w:rPr>
          <w:rFonts w:hint="eastAsia" w:ascii="方正小标宋简体" w:hAnsi="方正小标宋简体" w:eastAsia="方正小标宋简体" w:cs="方正小标宋简体"/>
          <w:color w:val="auto"/>
          <w:sz w:val="36"/>
          <w:szCs w:val="36"/>
        </w:rPr>
        <w:t>名词解释</w:t>
      </w:r>
      <w:bookmarkEnd w:id="162"/>
      <w:bookmarkEnd w:id="163"/>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bCs/>
          <w:color w:val="auto"/>
          <w:sz w:val="28"/>
          <w:szCs w:val="28"/>
        </w:rPr>
        <w:t>1.《关于新时代支持革命老区振兴发展的意见》：</w:t>
      </w:r>
      <w:r>
        <w:rPr>
          <w:rFonts w:hint="eastAsia" w:ascii="仿宋" w:hAnsi="仿宋" w:eastAsia="仿宋" w:cs="仿宋"/>
          <w:color w:val="auto"/>
          <w:sz w:val="28"/>
          <w:szCs w:val="28"/>
        </w:rPr>
        <w:t>2021年2月国务院出台了《关于新时代支持革命老区振兴发展的意见</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r>
        <w:rPr>
          <w:rFonts w:ascii="仿宋" w:hAnsi="仿宋" w:eastAsia="仿宋" w:cs="仿宋"/>
          <w:color w:val="auto"/>
          <w:sz w:val="28"/>
          <w:szCs w:val="28"/>
        </w:rPr>
        <w:t>明确了2025年和2035年革命老区振兴发展的目标</w:t>
      </w:r>
      <w:r>
        <w:rPr>
          <w:rFonts w:hint="eastAsia" w:ascii="仿宋" w:hAnsi="仿宋" w:eastAsia="仿宋" w:cs="仿宋"/>
          <w:color w:val="auto"/>
          <w:sz w:val="28"/>
          <w:szCs w:val="28"/>
        </w:rPr>
        <w:t>，意见明确提出</w:t>
      </w:r>
      <w:r>
        <w:rPr>
          <w:rFonts w:ascii="仿宋" w:hAnsi="仿宋" w:eastAsia="仿宋" w:cs="仿宋"/>
          <w:color w:val="auto"/>
          <w:sz w:val="28"/>
          <w:szCs w:val="28"/>
        </w:rPr>
        <w:t>浙西南革命老区融入长江三角洲区域一体化发展</w:t>
      </w:r>
      <w:r>
        <w:rPr>
          <w:rFonts w:hint="eastAsia" w:ascii="仿宋" w:hAnsi="仿宋" w:eastAsia="仿宋" w:cs="仿宋"/>
          <w:color w:val="auto"/>
          <w:sz w:val="28"/>
          <w:szCs w:val="28"/>
        </w:rPr>
        <w:t>。</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w:t>
      </w:r>
      <w:r>
        <w:rPr>
          <w:rFonts w:ascii="仿宋" w:hAnsi="仿宋" w:eastAsia="仿宋" w:cs="仿宋"/>
          <w:color w:val="auto"/>
          <w:sz w:val="28"/>
          <w:szCs w:val="28"/>
        </w:rPr>
        <w:t>“一带三区”</w:t>
      </w:r>
      <w:r>
        <w:rPr>
          <w:rFonts w:hint="eastAsia" w:ascii="仿宋" w:hAnsi="仿宋" w:eastAsia="仿宋" w:cs="仿宋"/>
          <w:color w:val="auto"/>
          <w:sz w:val="28"/>
          <w:szCs w:val="28"/>
          <w:lang w:eastAsia="zh-CN"/>
        </w:rPr>
        <w:t>：</w:t>
      </w:r>
      <w:r>
        <w:rPr>
          <w:rFonts w:ascii="仿宋" w:hAnsi="仿宋" w:eastAsia="仿宋" w:cs="仿宋"/>
          <w:color w:val="auto"/>
          <w:sz w:val="28"/>
          <w:szCs w:val="28"/>
        </w:rPr>
        <w:t>“一带”即市域发展核心带，包括莲都、青田、缙云3个县（区）和丽水经济技术开发区；“三区”即特色发展示范区，分别由龙泉庆元、遂昌松阳、云和景宁等西部6个县（市）组成。</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3.“民政30条”是指《中共浙江省委 浙江省人民政府关于推进新时代民政事业高质量发展的意见》提出的关于推进浙江省新时代民政事业高质量发展的30条意见。</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w:t>
      </w:r>
      <w:bookmarkStart w:id="164" w:name="_Hlk72444649"/>
      <w:r>
        <w:rPr>
          <w:rFonts w:hint="eastAsia" w:ascii="仿宋" w:hAnsi="仿宋" w:eastAsia="仿宋" w:cs="仿宋"/>
          <w:color w:val="auto"/>
          <w:sz w:val="28"/>
          <w:szCs w:val="28"/>
        </w:rPr>
        <w:t>“五社联动”</w:t>
      </w:r>
      <w:bookmarkEnd w:id="164"/>
      <w:r>
        <w:rPr>
          <w:rFonts w:hint="eastAsia" w:ascii="仿宋" w:hAnsi="仿宋" w:eastAsia="仿宋" w:cs="仿宋"/>
          <w:color w:val="auto"/>
          <w:sz w:val="28"/>
          <w:szCs w:val="28"/>
        </w:rPr>
        <w:t>：指以提升社区治理能力、建设“</w:t>
      </w:r>
      <w:r>
        <w:rPr>
          <w:rFonts w:hint="eastAsia" w:ascii="仿宋" w:hAnsi="仿宋" w:eastAsia="仿宋" w:cs="仿宋"/>
          <w:color w:val="auto"/>
          <w:sz w:val="28"/>
          <w:szCs w:val="28"/>
          <w:lang w:eastAsia="zh-CN"/>
        </w:rPr>
        <w:t>共建共治共享</w:t>
      </w:r>
      <w:r>
        <w:rPr>
          <w:rFonts w:hint="eastAsia" w:ascii="仿宋" w:hAnsi="仿宋" w:eastAsia="仿宋" w:cs="仿宋"/>
          <w:color w:val="auto"/>
          <w:sz w:val="28"/>
          <w:szCs w:val="28"/>
        </w:rPr>
        <w:t>”的社区治理共同体为目标，坚持党建引领，社区居委会（村委会）发挥组织作用，以社区为平台、以社会工作者为支撑、以社区社会组织为载体、以社区志愿者为辅助、以社区公益慈善资源为补充的现代社区治理行动框架。</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5.“康养联合体”：是指依托养老或康复机构，整合康复医师、康复治疗师、康复护士和护理员资源，为老年人提供个性化、专业化康复护理服务。</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数字门牌”：是指基于标准地址库建设成果，借助标准地址编码，关联各类业务数据、标准地址和其他各类基础数据信息，并将这些数据整合共享到每一张门牌的二维码上，实现给房屋地址制作实体“身份证”。</w:t>
      </w:r>
    </w:p>
    <w:p>
      <w:pPr>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7.“时间银行”：是指为促进志愿服务可持续发展，建立的志愿服务时间存取机制。</w:t>
      </w:r>
    </w:p>
    <w:p>
      <w:pPr>
        <w:spacing w:line="54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8</w:t>
      </w:r>
      <w:r>
        <w:rPr>
          <w:rFonts w:hint="eastAsia" w:ascii="仿宋" w:hAnsi="仿宋" w:eastAsia="仿宋" w:cs="仿宋"/>
          <w:color w:val="auto"/>
          <w:sz w:val="28"/>
          <w:szCs w:val="28"/>
        </w:rPr>
        <w:t>.“1+8+X”大救助体系中：“1”是指按智慧救助的要求，建好用好省社会救助信息系统；“8”是指低保、特困、受灾、医疗、教育、住房、就业、临时救助等基本救助；“X”是指多元社会力量参与。这一救助体系的特征是“资源统筹、部门联动、社会参与、平台支撑、数据共享”。</w:t>
      </w:r>
    </w:p>
    <w:p>
      <w:pPr>
        <w:spacing w:line="54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9</w:t>
      </w:r>
      <w:r>
        <w:rPr>
          <w:rFonts w:hint="eastAsia" w:ascii="仿宋" w:hAnsi="仿宋" w:eastAsia="仿宋" w:cs="仿宋"/>
          <w:color w:val="auto"/>
          <w:sz w:val="28"/>
          <w:szCs w:val="28"/>
        </w:rPr>
        <w:t xml:space="preserve">.“幸福清单”：是依托统一的社会救助信息平台，归集整合困难群众获得的最低生活保障、医疗救助、养老保险补助、其他救助金等社会救助数据信息，生成的每一位困难群众个人救助信息“清单”。 </w:t>
      </w:r>
    </w:p>
    <w:p>
      <w:pPr>
        <w:spacing w:line="54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10</w:t>
      </w:r>
      <w:r>
        <w:rPr>
          <w:rFonts w:hint="eastAsia" w:ascii="仿宋" w:hAnsi="仿宋" w:eastAsia="仿宋" w:cs="仿宋"/>
          <w:color w:val="auto"/>
          <w:sz w:val="28"/>
          <w:szCs w:val="28"/>
        </w:rPr>
        <w:t xml:space="preserve">.“暖巢更新”行动：以“改善低保家庭儿童居住环境”为切入点，在实现低保儿童目标家庭全覆盖的基础上，稳步向低边、孤困儿童家庭拓面，在“焕新”独立生活居住环境的同时，逐步向文化环境改善等推进，实现从环境到心灵的精准关爱帮扶，促进儿童养成卫生整洁习惯、确立自信自强的人生梦想，引导家庭追求更加健康的生活品质，进一步提升儿童和家庭的综合发展能力，更好地切断贫困代际传递，促进全体人民共同富裕。 </w:t>
      </w:r>
    </w:p>
    <w:p>
      <w:pPr>
        <w:spacing w:line="54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11.</w:t>
      </w:r>
      <w:r>
        <w:rPr>
          <w:rFonts w:hint="eastAsia" w:ascii="仿宋" w:hAnsi="仿宋" w:eastAsia="仿宋" w:cs="仿宋"/>
          <w:color w:val="auto"/>
          <w:sz w:val="28"/>
          <w:szCs w:val="28"/>
        </w:rPr>
        <w:t>“联连帮”：是具备精准帮扶、组织孵化、项目管理、培训交流、信息共享、文化建设、成果展示等多种功能的慈善综合服务平台，是衔接政府、慈善组织及服务对象的枢纽型载体。</w:t>
      </w:r>
    </w:p>
    <w:p>
      <w:pPr>
        <w:spacing w:line="540" w:lineRule="exact"/>
        <w:ind w:firstLine="560" w:firstLineChars="200"/>
        <w:rPr>
          <w:rFonts w:ascii="仿宋" w:hAnsi="仿宋" w:eastAsia="仿宋" w:cs="仿宋"/>
          <w:color w:val="auto"/>
          <w:sz w:val="32"/>
          <w:szCs w:val="32"/>
        </w:rPr>
      </w:pPr>
      <w:r>
        <w:rPr>
          <w:rFonts w:hint="eastAsia" w:ascii="仿宋" w:hAnsi="仿宋" w:eastAsia="仿宋" w:cs="仿宋"/>
          <w:color w:val="auto"/>
          <w:sz w:val="28"/>
          <w:szCs w:val="28"/>
        </w:rPr>
        <w:t>1</w:t>
      </w:r>
      <w:r>
        <w:rPr>
          <w:rFonts w:ascii="仿宋" w:hAnsi="仿宋" w:eastAsia="仿宋" w:cs="仿宋"/>
          <w:color w:val="auto"/>
          <w:sz w:val="28"/>
          <w:szCs w:val="28"/>
        </w:rPr>
        <w:t>2</w:t>
      </w:r>
      <w:r>
        <w:rPr>
          <w:rFonts w:hint="eastAsia" w:ascii="仿宋" w:hAnsi="仿宋" w:eastAsia="仿宋" w:cs="仿宋"/>
          <w:color w:val="auto"/>
          <w:sz w:val="28"/>
          <w:szCs w:val="28"/>
        </w:rPr>
        <w:t>.枢纽型社会组织：是指通过政府部门认定的，在现有社会组织体系中处于枢纽地位，通过健全的组织系统和有效的服务支持，加强统筹协调与纽带联系，实现同类型、同性质、同领域社会组织的孵化培育、协调指导、合作发展、自治自律、集约服务、党团管理的联合性社会组织。也就是在同类型社会组织中发挥桥梁纽带和聚集服务功能的联合性社会组织。</w:t>
      </w:r>
    </w:p>
    <w:p>
      <w:pPr>
        <w:spacing w:line="540" w:lineRule="exact"/>
        <w:rPr>
          <w:rFonts w:ascii="仿宋" w:hAnsi="仿宋" w:eastAsia="仿宋" w:cs="仿宋"/>
          <w:color w:val="auto"/>
          <w:sz w:val="32"/>
          <w:szCs w:val="32"/>
        </w:rPr>
      </w:pPr>
      <w:bookmarkStart w:id="165" w:name="_Toc8269_WPSOffice_Level1"/>
      <w:r>
        <w:rPr>
          <w:rFonts w:hint="eastAsia" w:ascii="仿宋" w:hAnsi="仿宋" w:eastAsia="仿宋" w:cs="仿宋"/>
          <w:color w:val="auto"/>
          <w:sz w:val="32"/>
          <w:szCs w:val="32"/>
        </w:rPr>
        <w:t>附件2</w:t>
      </w:r>
      <w:bookmarkStart w:id="166" w:name="_Toc29187_WPSOffice_Level1"/>
      <w:bookmarkStart w:id="167" w:name="_Toc905_WPSOffice_Level1"/>
    </w:p>
    <w:p>
      <w:pPr>
        <w:spacing w:line="540" w:lineRule="exact"/>
        <w:jc w:val="center"/>
        <w:rPr>
          <w:rFonts w:ascii="方正小标宋简体" w:hAnsi="方正小标宋简体" w:eastAsia="方正小标宋简体" w:cs="方正小标宋简体"/>
          <w:b/>
          <w:color w:val="auto"/>
          <w:sz w:val="36"/>
          <w:szCs w:val="36"/>
        </w:rPr>
      </w:pPr>
      <w:bookmarkStart w:id="168" w:name="_Toc6403_WPSOffice_Level1"/>
      <w:r>
        <w:rPr>
          <w:rFonts w:hint="eastAsia" w:ascii="方正小标宋简体" w:hAnsi="方正小标宋简体" w:eastAsia="方正小标宋简体" w:cs="方正小标宋简体"/>
          <w:color w:val="auto"/>
          <w:w w:val="90"/>
          <w:sz w:val="36"/>
          <w:szCs w:val="36"/>
        </w:rPr>
        <w:t>丽水市“十四五”时期民政事业发展</w:t>
      </w:r>
      <w:r>
        <w:rPr>
          <w:rFonts w:ascii="方正小标宋简体" w:hAnsi="方正小标宋简体" w:eastAsia="方正小标宋简体" w:cs="方正小标宋简体"/>
          <w:color w:val="auto"/>
          <w:w w:val="90"/>
          <w:sz w:val="36"/>
          <w:szCs w:val="36"/>
        </w:rPr>
        <w:t>政策</w:t>
      </w:r>
      <w:bookmarkEnd w:id="165"/>
      <w:bookmarkEnd w:id="166"/>
      <w:bookmarkEnd w:id="167"/>
      <w:bookmarkEnd w:id="168"/>
    </w:p>
    <w:tbl>
      <w:tblPr>
        <w:tblStyle w:val="12"/>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2977"/>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93" w:type="dxa"/>
          </w:tcPr>
          <w:p>
            <w:pPr>
              <w:spacing w:line="540" w:lineRule="exact"/>
              <w:rPr>
                <w:rFonts w:ascii="仿宋" w:hAnsi="仿宋" w:eastAsia="仿宋" w:cs="仿宋"/>
                <w:b/>
                <w:bCs/>
                <w:color w:val="auto"/>
                <w:sz w:val="32"/>
                <w:szCs w:val="32"/>
              </w:rPr>
            </w:pPr>
            <w:r>
              <w:rPr>
                <w:rFonts w:ascii="仿宋" w:hAnsi="仿宋" w:eastAsia="仿宋" w:cs="仿宋"/>
                <w:b/>
                <w:bCs/>
                <w:color w:val="auto"/>
                <w:sz w:val="32"/>
                <w:szCs w:val="32"/>
              </w:rPr>
              <w:t>序号</w:t>
            </w:r>
          </w:p>
        </w:tc>
        <w:tc>
          <w:tcPr>
            <w:tcW w:w="1559" w:type="dxa"/>
          </w:tcPr>
          <w:p>
            <w:pPr>
              <w:spacing w:line="54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责任</w:t>
            </w:r>
            <w:r>
              <w:rPr>
                <w:rFonts w:ascii="仿宋" w:hAnsi="仿宋" w:eastAsia="仿宋" w:cs="仿宋"/>
                <w:b/>
                <w:bCs/>
                <w:color w:val="auto"/>
                <w:sz w:val="32"/>
                <w:szCs w:val="32"/>
              </w:rPr>
              <w:t>单位</w:t>
            </w:r>
          </w:p>
        </w:tc>
        <w:tc>
          <w:tcPr>
            <w:tcW w:w="2977" w:type="dxa"/>
          </w:tcPr>
          <w:p>
            <w:pPr>
              <w:spacing w:line="540" w:lineRule="exact"/>
              <w:jc w:val="center"/>
              <w:rPr>
                <w:rFonts w:ascii="仿宋" w:hAnsi="仿宋" w:eastAsia="仿宋" w:cs="仿宋"/>
                <w:b/>
                <w:bCs/>
                <w:color w:val="auto"/>
                <w:sz w:val="32"/>
                <w:szCs w:val="32"/>
              </w:rPr>
            </w:pPr>
            <w:r>
              <w:rPr>
                <w:rFonts w:ascii="仿宋" w:hAnsi="仿宋" w:eastAsia="仿宋" w:cs="仿宋"/>
                <w:b/>
                <w:bCs/>
                <w:color w:val="auto"/>
                <w:sz w:val="32"/>
                <w:szCs w:val="32"/>
              </w:rPr>
              <w:t>名称</w:t>
            </w:r>
          </w:p>
        </w:tc>
        <w:tc>
          <w:tcPr>
            <w:tcW w:w="1559" w:type="dxa"/>
          </w:tcPr>
          <w:p>
            <w:pPr>
              <w:spacing w:line="54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制定</w:t>
            </w:r>
            <w:r>
              <w:rPr>
                <w:rFonts w:ascii="仿宋" w:hAnsi="仿宋" w:eastAsia="仿宋" w:cs="仿宋"/>
                <w:b/>
                <w:bCs/>
                <w:color w:val="auto"/>
                <w:sz w:val="32"/>
                <w:szCs w:val="32"/>
              </w:rPr>
              <w:t>时间</w:t>
            </w:r>
          </w:p>
        </w:tc>
        <w:tc>
          <w:tcPr>
            <w:tcW w:w="1468" w:type="dxa"/>
          </w:tcPr>
          <w:p>
            <w:pPr>
              <w:spacing w:line="540" w:lineRule="exact"/>
              <w:jc w:val="center"/>
              <w:rPr>
                <w:rFonts w:ascii="仿宋" w:hAnsi="仿宋" w:eastAsia="仿宋" w:cs="仿宋"/>
                <w:b/>
                <w:bCs/>
                <w:color w:val="auto"/>
                <w:sz w:val="32"/>
                <w:szCs w:val="32"/>
              </w:rPr>
            </w:pPr>
            <w:r>
              <w:rPr>
                <w:rFonts w:ascii="仿宋" w:hAnsi="仿宋" w:eastAsia="仿宋" w:cs="仿宋"/>
                <w:b/>
                <w:bCs/>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993" w:type="dxa"/>
            <w:vMerge w:val="restart"/>
            <w:vAlign w:val="center"/>
          </w:tcPr>
          <w:p>
            <w:pPr>
              <w:spacing w:line="540" w:lineRule="exact"/>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w:t>
            </w:r>
          </w:p>
        </w:tc>
        <w:tc>
          <w:tcPr>
            <w:tcW w:w="1559" w:type="dxa"/>
            <w:vMerge w:val="restart"/>
            <w:vAlign w:val="center"/>
          </w:tcPr>
          <w:p>
            <w:pPr>
              <w:spacing w:line="540" w:lineRule="exact"/>
              <w:jc w:val="center"/>
              <w:rPr>
                <w:rFonts w:ascii="仿宋" w:hAnsi="仿宋" w:eastAsia="仿宋" w:cs="仿宋"/>
                <w:b/>
                <w:color w:val="auto"/>
                <w:sz w:val="32"/>
                <w:szCs w:val="32"/>
              </w:rPr>
            </w:pPr>
            <w:r>
              <w:rPr>
                <w:rFonts w:ascii="仿宋" w:hAnsi="仿宋" w:eastAsia="仿宋" w:cs="仿宋"/>
                <w:color w:val="auto"/>
                <w:szCs w:val="21"/>
                <w:shd w:val="clear" w:color="auto" w:fill="FFFFFF"/>
              </w:rPr>
              <w:t>市本级</w:t>
            </w: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1.丽水市居家养老服务条例</w:t>
            </w:r>
          </w:p>
        </w:tc>
        <w:tc>
          <w:tcPr>
            <w:tcW w:w="1559" w:type="dxa"/>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2022年</w:t>
            </w:r>
          </w:p>
        </w:tc>
        <w:tc>
          <w:tcPr>
            <w:tcW w:w="1468" w:type="dxa"/>
            <w:vAlign w:val="center"/>
          </w:tcPr>
          <w:p>
            <w:pPr>
              <w:jc w:val="center"/>
              <w:rPr>
                <w:rFonts w:ascii="仿宋" w:hAnsi="仿宋" w:eastAsia="仿宋" w:cs="仿宋"/>
                <w:color w:val="auto"/>
                <w:szCs w:val="21"/>
                <w:shd w:val="clear" w:color="auto" w:fill="FFFFFF"/>
              </w:rPr>
            </w:pPr>
            <w:r>
              <w:rPr>
                <w:rFonts w:ascii="仿宋" w:hAnsi="仿宋" w:eastAsia="仿宋" w:cs="仿宋"/>
                <w:color w:val="auto"/>
                <w:szCs w:val="21"/>
                <w:shd w:val="clear" w:color="auto" w:fill="FFFFFF"/>
              </w:rPr>
              <w:t>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2.丽水市养老服务补贴实施办法</w:t>
            </w:r>
          </w:p>
        </w:tc>
        <w:tc>
          <w:tcPr>
            <w:tcW w:w="1559"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2022-2024年</w:t>
            </w:r>
          </w:p>
        </w:tc>
        <w:tc>
          <w:tcPr>
            <w:tcW w:w="1468" w:type="dxa"/>
            <w:vAlign w:val="center"/>
          </w:tcPr>
          <w:p>
            <w:pPr>
              <w:jc w:val="center"/>
              <w:rPr>
                <w:rFonts w:ascii="仿宋" w:hAnsi="仿宋" w:eastAsia="仿宋" w:cs="仿宋"/>
                <w:color w:val="auto"/>
                <w:szCs w:val="21"/>
                <w:shd w:val="clear" w:color="auto" w:fill="FFFFFF"/>
              </w:rPr>
            </w:pPr>
            <w:r>
              <w:rPr>
                <w:rFonts w:ascii="仿宋" w:hAnsi="仿宋" w:eastAsia="仿宋" w:cs="仿宋"/>
                <w:color w:val="auto"/>
                <w:szCs w:val="21"/>
                <w:shd w:val="clear" w:color="auto" w:fill="FFFFFF"/>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3.丽水市社会救助尽职免责办法</w:t>
            </w:r>
          </w:p>
        </w:tc>
        <w:tc>
          <w:tcPr>
            <w:tcW w:w="1559"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2023年</w:t>
            </w: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4.丽水市支出型贫困家庭认定办法</w:t>
            </w:r>
          </w:p>
        </w:tc>
        <w:tc>
          <w:tcPr>
            <w:tcW w:w="1559"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2022年</w:t>
            </w: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5.丽水市临时救助实施办法</w:t>
            </w:r>
          </w:p>
        </w:tc>
        <w:tc>
          <w:tcPr>
            <w:tcW w:w="1559"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2021年</w:t>
            </w: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6.丽水市长期滞留人员安置办法</w:t>
            </w:r>
          </w:p>
        </w:tc>
        <w:tc>
          <w:tcPr>
            <w:tcW w:w="1559" w:type="dxa"/>
            <w:vAlign w:val="center"/>
          </w:tcPr>
          <w:p>
            <w:pPr>
              <w:jc w:val="center"/>
              <w:rPr>
                <w:rFonts w:ascii="仿宋" w:hAnsi="仿宋" w:eastAsia="仿宋" w:cs="仿宋"/>
                <w:color w:val="auto"/>
                <w:szCs w:val="21"/>
                <w:shd w:val="clear" w:color="auto" w:fill="FFFFFF"/>
              </w:rPr>
            </w:pP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7.丽水市加快推进慈善事业高质量发展的实施意见</w:t>
            </w:r>
          </w:p>
        </w:tc>
        <w:tc>
          <w:tcPr>
            <w:tcW w:w="1559" w:type="dxa"/>
            <w:vAlign w:val="center"/>
          </w:tcPr>
          <w:p>
            <w:pPr>
              <w:jc w:val="center"/>
              <w:rPr>
                <w:rFonts w:ascii="仿宋" w:hAnsi="仿宋" w:eastAsia="仿宋" w:cs="仿宋"/>
                <w:color w:val="auto"/>
                <w:szCs w:val="21"/>
                <w:shd w:val="clear" w:color="auto" w:fill="FFFFFF"/>
              </w:rPr>
            </w:pP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8.殡葬服务惠民制度</w:t>
            </w:r>
          </w:p>
        </w:tc>
        <w:tc>
          <w:tcPr>
            <w:tcW w:w="1559" w:type="dxa"/>
            <w:vAlign w:val="center"/>
          </w:tcPr>
          <w:p>
            <w:pPr>
              <w:jc w:val="center"/>
              <w:rPr>
                <w:rFonts w:ascii="仿宋" w:hAnsi="仿宋" w:eastAsia="仿宋" w:cs="仿宋"/>
                <w:color w:val="auto"/>
                <w:szCs w:val="21"/>
                <w:shd w:val="clear" w:color="auto" w:fill="FFFFFF"/>
              </w:rPr>
            </w:pP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9.节地生态安葬奖补制度</w:t>
            </w:r>
          </w:p>
        </w:tc>
        <w:tc>
          <w:tcPr>
            <w:tcW w:w="1559" w:type="dxa"/>
            <w:vAlign w:val="center"/>
          </w:tcPr>
          <w:p>
            <w:pPr>
              <w:jc w:val="center"/>
              <w:rPr>
                <w:rFonts w:ascii="仿宋" w:hAnsi="仿宋" w:eastAsia="仿宋" w:cs="仿宋"/>
                <w:color w:val="auto"/>
                <w:szCs w:val="21"/>
                <w:shd w:val="clear" w:color="auto" w:fill="FFFFFF"/>
              </w:rPr>
            </w:pPr>
          </w:p>
        </w:tc>
        <w:tc>
          <w:tcPr>
            <w:tcW w:w="1468" w:type="dxa"/>
            <w:vAlign w:val="center"/>
          </w:tcPr>
          <w:p>
            <w:pPr>
              <w:jc w:val="center"/>
              <w:rPr>
                <w:rFonts w:ascii="仿宋" w:hAnsi="仿宋" w:eastAsia="仿宋" w:cs="仿宋"/>
                <w:color w:val="auto"/>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93" w:type="dxa"/>
            <w:vMerge w:val="continue"/>
            <w:vAlign w:val="center"/>
          </w:tcPr>
          <w:p>
            <w:pPr>
              <w:spacing w:line="540" w:lineRule="exact"/>
              <w:jc w:val="center"/>
              <w:rPr>
                <w:rFonts w:ascii="仿宋" w:hAnsi="仿宋" w:eastAsia="仿宋" w:cs="仿宋"/>
                <w:color w:val="auto"/>
                <w:szCs w:val="21"/>
                <w:shd w:val="clear" w:color="auto" w:fill="FFFFFF"/>
              </w:rPr>
            </w:pPr>
          </w:p>
        </w:tc>
        <w:tc>
          <w:tcPr>
            <w:tcW w:w="1559" w:type="dxa"/>
            <w:vMerge w:val="continue"/>
            <w:vAlign w:val="center"/>
          </w:tcPr>
          <w:p>
            <w:pPr>
              <w:spacing w:line="540" w:lineRule="exact"/>
              <w:jc w:val="center"/>
              <w:rPr>
                <w:rFonts w:ascii="仿宋" w:hAnsi="仿宋" w:eastAsia="仿宋" w:cs="仿宋"/>
                <w:b/>
                <w:color w:val="auto"/>
                <w:sz w:val="32"/>
                <w:szCs w:val="32"/>
              </w:rPr>
            </w:pPr>
          </w:p>
        </w:tc>
        <w:tc>
          <w:tcPr>
            <w:tcW w:w="2977" w:type="dxa"/>
            <w:vAlign w:val="center"/>
          </w:tcPr>
          <w:p>
            <w:pP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10.丽水市社会救助审批权限下放至乡镇（街道）指导意见</w:t>
            </w:r>
          </w:p>
        </w:tc>
        <w:tc>
          <w:tcPr>
            <w:tcW w:w="1559"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2021年</w:t>
            </w:r>
          </w:p>
        </w:tc>
        <w:tc>
          <w:tcPr>
            <w:tcW w:w="1468" w:type="dxa"/>
            <w:vAlign w:val="center"/>
          </w:tcPr>
          <w:p>
            <w:pPr>
              <w:jc w:val="center"/>
              <w:rPr>
                <w:rFonts w:ascii="仿宋" w:hAnsi="仿宋" w:eastAsia="仿宋" w:cs="仿宋"/>
                <w:color w:val="auto"/>
                <w:szCs w:val="21"/>
                <w:shd w:val="clear" w:color="auto" w:fill="FFFFFF"/>
              </w:rPr>
            </w:pPr>
            <w:r>
              <w:rPr>
                <w:rFonts w:hint="eastAsia" w:ascii="仿宋" w:hAnsi="仿宋" w:eastAsia="仿宋" w:cs="仿宋"/>
                <w:color w:val="auto"/>
                <w:szCs w:val="21"/>
                <w:shd w:val="clear" w:color="auto" w:fill="FFFFFF"/>
              </w:rPr>
              <w:t>新制定</w:t>
            </w:r>
          </w:p>
        </w:tc>
      </w:tr>
    </w:tbl>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pPr>
    </w:p>
    <w:p>
      <w:pPr>
        <w:spacing w:line="540" w:lineRule="exact"/>
        <w:ind w:firstLine="640" w:firstLineChars="200"/>
        <w:rPr>
          <w:rFonts w:ascii="仿宋" w:hAnsi="仿宋" w:eastAsia="仿宋" w:cs="仿宋"/>
          <w:color w:val="auto"/>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rPr>
          <w:rFonts w:hint="eastAsia" w:ascii="仿宋" w:hAnsi="仿宋" w:eastAsia="仿宋" w:cs="仿宋"/>
          <w:color w:val="auto"/>
          <w:sz w:val="32"/>
          <w:szCs w:val="32"/>
          <w:lang w:eastAsia="zh-CN"/>
        </w:rPr>
      </w:pPr>
      <w:bookmarkStart w:id="169" w:name="_Toc12544_WPSOffice_Level1"/>
      <w:bookmarkStart w:id="170" w:name="_Toc20339_WPSOffice_Level1"/>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rPr>
        <w:t>丽水市“十四五”时期民政事业发展</w:t>
      </w:r>
      <w:r>
        <w:rPr>
          <w:rFonts w:hint="eastAsia" w:ascii="方正小标宋简体" w:hAnsi="方正小标宋简体" w:eastAsia="方正小标宋简体" w:cs="方正小标宋简体"/>
          <w:color w:val="auto"/>
          <w:sz w:val="36"/>
          <w:szCs w:val="36"/>
          <w:lang w:eastAsia="zh-CN"/>
        </w:rPr>
        <w:t>项目</w:t>
      </w:r>
    </w:p>
    <w:tbl>
      <w:tblPr>
        <w:tblStyle w:val="13"/>
        <w:tblpPr w:leftFromText="180" w:rightFromText="180" w:vertAnchor="page" w:horzAnchor="page" w:tblpX="598" w:tblpY="3145"/>
        <w:tblW w:w="16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95"/>
        <w:gridCol w:w="1395"/>
        <w:gridCol w:w="5535"/>
        <w:gridCol w:w="1935"/>
        <w:gridCol w:w="1425"/>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540" w:lineRule="exact"/>
              <w:jc w:val="center"/>
              <w:rPr>
                <w:rFonts w:ascii="仿宋" w:hAnsi="仿宋" w:eastAsia="仿宋" w:cs="仿宋"/>
                <w:b/>
                <w:color w:val="auto"/>
                <w:sz w:val="28"/>
                <w:szCs w:val="28"/>
                <w:highlight w:val="none"/>
              </w:rPr>
            </w:pPr>
            <w:bookmarkStart w:id="171" w:name="_Toc1944_WPSOffice_Level1"/>
            <w:bookmarkStart w:id="172" w:name="_Toc10126_WPSOffice_Level1"/>
            <w:r>
              <w:rPr>
                <w:rFonts w:hint="eastAsia" w:ascii="仿宋" w:hAnsi="仿宋" w:eastAsia="仿宋" w:cs="仿宋"/>
                <w:b/>
                <w:color w:val="auto"/>
                <w:sz w:val="28"/>
                <w:szCs w:val="28"/>
                <w:highlight w:val="none"/>
              </w:rPr>
              <w:t>责任单位</w:t>
            </w:r>
          </w:p>
        </w:tc>
        <w:tc>
          <w:tcPr>
            <w:tcW w:w="1395" w:type="dxa"/>
            <w:vAlign w:val="center"/>
          </w:tcPr>
          <w:p>
            <w:pPr>
              <w:spacing w:line="540" w:lineRule="exact"/>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项目类别</w:t>
            </w:r>
          </w:p>
        </w:tc>
        <w:tc>
          <w:tcPr>
            <w:tcW w:w="1395" w:type="dxa"/>
            <w:vAlign w:val="center"/>
          </w:tcPr>
          <w:p>
            <w:pPr>
              <w:spacing w:line="540" w:lineRule="exact"/>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类别名称</w:t>
            </w:r>
          </w:p>
        </w:tc>
        <w:tc>
          <w:tcPr>
            <w:tcW w:w="5535" w:type="dxa"/>
            <w:vAlign w:val="center"/>
          </w:tcPr>
          <w:p>
            <w:pPr>
              <w:spacing w:line="540" w:lineRule="exact"/>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项目名称</w:t>
            </w:r>
          </w:p>
        </w:tc>
        <w:tc>
          <w:tcPr>
            <w:tcW w:w="1935" w:type="dxa"/>
            <w:vAlign w:val="center"/>
          </w:tcPr>
          <w:p>
            <w:pPr>
              <w:spacing w:line="540" w:lineRule="exact"/>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建设时间</w:t>
            </w:r>
          </w:p>
        </w:tc>
        <w:tc>
          <w:tcPr>
            <w:tcW w:w="1425" w:type="dxa"/>
            <w:vAlign w:val="center"/>
          </w:tcPr>
          <w:p>
            <w:pPr>
              <w:spacing w:line="540" w:lineRule="exact"/>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投资金额（万元）</w:t>
            </w:r>
          </w:p>
        </w:tc>
        <w:tc>
          <w:tcPr>
            <w:tcW w:w="2932" w:type="dxa"/>
            <w:vAlign w:val="center"/>
          </w:tcPr>
          <w:p>
            <w:pPr>
              <w:spacing w:line="540" w:lineRule="exact"/>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丽</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水</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合众养护院（丽水</w:t>
            </w:r>
            <w:r>
              <w:rPr>
                <w:rFonts w:hint="eastAsia" w:ascii="仿宋" w:hAnsi="仿宋" w:eastAsia="仿宋" w:cs="仿宋"/>
                <w:color w:val="auto"/>
                <w:sz w:val="28"/>
                <w:szCs w:val="28"/>
                <w:highlight w:val="none"/>
                <w:lang w:eastAsia="zh-CN"/>
              </w:rPr>
              <w:t>认知障碍</w:t>
            </w:r>
            <w:r>
              <w:rPr>
                <w:rFonts w:hint="eastAsia" w:ascii="仿宋" w:hAnsi="仿宋" w:eastAsia="仿宋" w:cs="仿宋"/>
                <w:color w:val="auto"/>
                <w:sz w:val="28"/>
                <w:szCs w:val="28"/>
                <w:highlight w:val="none"/>
              </w:rPr>
              <w:t>老人护理院）</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2020-2023年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丽水市润康养老公司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vAlign w:val="center"/>
          </w:tcPr>
          <w:p>
            <w:pPr>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花街养老院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水东养老院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金银潭养老院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lang w:eastAsia="zh-CN"/>
              </w:rPr>
              <w:t>丽水</w:t>
            </w:r>
            <w:r>
              <w:rPr>
                <w:rFonts w:hint="eastAsia" w:ascii="仿宋" w:hAnsi="仿宋" w:eastAsia="仿宋" w:cs="仿宋"/>
                <w:color w:val="auto"/>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四都养老院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富岭养老院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6.养老社区（人民路南侧、华侨医院西侧）</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28000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7.市本级示范性节地生态安葬点</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lang w:eastAsia="zh-CN"/>
              </w:rPr>
              <w:t>丽水</w:t>
            </w:r>
            <w:r>
              <w:rPr>
                <w:rFonts w:hint="eastAsia" w:ascii="仿宋" w:hAnsi="仿宋" w:eastAsia="仿宋" w:cs="仿宋"/>
                <w:color w:val="auto"/>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360" w:lineRule="auto"/>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8.社会组织（创业）示范园区</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lang w:eastAsia="zh-CN"/>
              </w:rPr>
              <w:t>丽水</w:t>
            </w:r>
            <w:r>
              <w:rPr>
                <w:rFonts w:hint="eastAsia" w:ascii="仿宋" w:hAnsi="仿宋" w:eastAsia="仿宋" w:cs="仿宋"/>
                <w:color w:val="auto"/>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都</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区</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1.莲都区桑垵安置公墓三期工程</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5546</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2.莲都区儿童福利院改造项目</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1129</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莲都区儿童福利院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3.莲都区公益性生态公墓</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5832</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莲都区陵园管理所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1.莲都区碧湖镇骨灰堂</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2.莲都区雅溪镇骨灰堂</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莲都区雅溪镇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1.莲都区桑垵安置公墓四期工程</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2023-2024年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莲都区民政局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2.莲都区幸福养老院</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2023-2024年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9800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宁</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1.景宁县老年综合服务中心</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15400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景宁县民政局、红星街道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2.景宁县儿童综合福利院（未成年人保护中心、救助站、社会组织示范园）</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3.景宁县东坑镇敬老院</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景宁县民政局、东坑镇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4.景宁县沙湾镇敬老院</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景宁县民政局、沙湾镇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谋划类</w:t>
            </w:r>
          </w:p>
        </w:tc>
        <w:tc>
          <w:tcPr>
            <w:tcW w:w="5535" w:type="dxa"/>
            <w:vAlign w:val="center"/>
          </w:tcPr>
          <w:p>
            <w:pPr>
              <w:spacing w:line="540" w:lineRule="exact"/>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1.景宁县殡仪馆扩建项目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2025-2026年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景宁县民政局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龙</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泉</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1.龙泉安泽园公墓</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龙泉市民政局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谋划类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eastAsia="zh-CN"/>
              </w:rPr>
              <w:t>龙泉市</w:t>
            </w:r>
            <w:r>
              <w:rPr>
                <w:rFonts w:hint="eastAsia" w:ascii="仿宋" w:hAnsi="仿宋" w:eastAsia="仿宋" w:cs="仿宋"/>
                <w:color w:val="auto"/>
                <w:kern w:val="0"/>
                <w:sz w:val="28"/>
                <w:szCs w:val="28"/>
                <w:highlight w:val="none"/>
              </w:rPr>
              <w:t>殡仪服务中心新建工程</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龙泉市殡仪服务中心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3" w:type="dxa"/>
            <w:vMerge w:val="continue"/>
            <w:vAlign w:val="center"/>
          </w:tcPr>
          <w:p>
            <w:pPr>
              <w:spacing w:line="540" w:lineRule="exact"/>
              <w:jc w:val="both"/>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both"/>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龙泉市</w:t>
            </w:r>
            <w:r>
              <w:rPr>
                <w:rFonts w:hint="eastAsia" w:ascii="仿宋" w:hAnsi="仿宋" w:eastAsia="仿宋" w:cs="仿宋"/>
                <w:color w:val="auto"/>
                <w:kern w:val="0"/>
                <w:sz w:val="28"/>
                <w:szCs w:val="28"/>
                <w:highlight w:val="none"/>
              </w:rPr>
              <w:t>城南康护养老中心项目</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23400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龙泉市养老服务中心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和</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2790" w:type="dxa"/>
            <w:gridSpan w:val="2"/>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社区老年公寓项目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崇头三望栏休闲养老项目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凤凰山街道社区老年公寓</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18000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儿童福利院</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2024-2025年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1150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安溪养生养老</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崇头休闲养老游学基地项目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拟招商引入社会企业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婚姻登记新建项目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殡仪馆新建项目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2025-2026年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tcPr>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lang w:eastAsia="zh-CN"/>
              </w:rPr>
              <w:t>云和县</w:t>
            </w:r>
            <w:r>
              <w:rPr>
                <w:rFonts w:hint="eastAsia" w:ascii="仿宋" w:hAnsi="仿宋" w:eastAsia="仿宋" w:cs="仿宋"/>
                <w:color w:val="auto"/>
                <w:sz w:val="28"/>
                <w:szCs w:val="28"/>
                <w:highlight w:val="none"/>
              </w:rPr>
              <w:t>流浪乞讨救助站</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2024-2025年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1050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庆</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元</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1.庆元县社会生态公益性公墓</w:t>
            </w:r>
          </w:p>
        </w:tc>
        <w:tc>
          <w:tcPr>
            <w:tcW w:w="193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2021-2023年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9279（一期投资约3930）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庆元县民政局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庆元县竹口镇社会福利中心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2023-2026年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5700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庆元县竹口镇人民政府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昌</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1.遂昌县殡仪馆和公墓迁建工程</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25100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2.遂昌县北界中心敬老院迁建项目</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2314</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遂昌县新路湾镇人民政府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3.遂昌县黄沙腰中心敬老院迁建项目</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2446</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遂昌县黄沙腰镇人民政府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4.遂昌县源口邻里中心</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4700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5.遂昌县月亮湾邻里中心</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3800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1.遂昌县古院未来社区</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2250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谋划类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1.遂昌县颐养中心（二期）</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2.梅溪社区养老中心</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遂昌县民政局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田</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1.青田县第二养老中心</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8500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2.青田县巨浦敬老院改扩建</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2020-2022年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3.青田县养老中心（二期）</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2022-2025年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4.青田县瓯畔颐苑养老中心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2019-2023年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5.青田县殡仪馆扩建工程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2019-2021年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2152</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1.青田县祯埠镇养老中心</w:t>
            </w:r>
          </w:p>
        </w:tc>
        <w:tc>
          <w:tcPr>
            <w:tcW w:w="19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2021-2023年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2.青田县经营性生态公墓</w:t>
            </w:r>
          </w:p>
        </w:tc>
        <w:tc>
          <w:tcPr>
            <w:tcW w:w="1935"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2021-2023年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青田县殡葬管理所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1.青田县瓯南街道水南村养老照护中心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2022-2025年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青田县养老服务指导中心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1.缙云县殡仪馆改扩建项目</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2019-2021</w:t>
            </w:r>
            <w:r>
              <w:rPr>
                <w:rFonts w:hint="eastAsia" w:ascii="仿宋" w:hAnsi="仿宋" w:eastAsia="仿宋" w:cs="仿宋"/>
                <w:color w:val="auto"/>
                <w:sz w:val="28"/>
                <w:szCs w:val="28"/>
                <w:highlight w:val="none"/>
              </w:rPr>
              <w:t>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2.缙云县</w:t>
            </w:r>
            <w:r>
              <w:rPr>
                <w:rFonts w:hint="eastAsia" w:ascii="仿宋" w:hAnsi="仿宋" w:eastAsia="仿宋" w:cs="仿宋"/>
                <w:color w:val="auto"/>
                <w:sz w:val="28"/>
                <w:szCs w:val="28"/>
                <w:highlight w:val="none"/>
                <w:lang w:eastAsia="zh-CN"/>
              </w:rPr>
              <w:t>救助站改建工程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2021-2022</w:t>
            </w:r>
            <w:r>
              <w:rPr>
                <w:rFonts w:hint="eastAsia" w:ascii="仿宋" w:hAnsi="仿宋" w:eastAsia="仿宋" w:cs="仿宋"/>
                <w:color w:val="auto"/>
                <w:sz w:val="28"/>
                <w:szCs w:val="28"/>
                <w:highlight w:val="none"/>
              </w:rPr>
              <w:t>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3.缙云县殡仪馆老馆改造提升工程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2021-2022</w:t>
            </w:r>
            <w:r>
              <w:rPr>
                <w:rFonts w:hint="eastAsia" w:ascii="仿宋" w:hAnsi="仿宋" w:eastAsia="仿宋" w:cs="仿宋"/>
                <w:color w:val="auto"/>
                <w:sz w:val="28"/>
                <w:szCs w:val="28"/>
                <w:highlight w:val="none"/>
              </w:rPr>
              <w:t>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3200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新建类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1.缙云县东渡镇中心敬老院</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2021-2023年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缙云县东渡镇人民政府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2.缙云县新建中心敬老院</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2021-2023年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缙云县新建镇人民政府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3.缙云县大洋中心敬老院</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2021-2023年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缙云县大洋镇人民政府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4.缙云县乡、镇（街道）生态公墓建设工程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5.缙云县生态公墓工程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2021-2024年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谋划类</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1.缙云县新碧街道中心敬老院</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新碧镇人民政府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2.缙云县壶镇养老院建设工程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壶镇镇人民政府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3.缙云县舒洪养老院建设工程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舒洪镇人民政府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4.缙云县新建养老院建设工程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新建镇人民政府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5.缙云县仙都养老院建设工程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27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6.缙云县失能照护服务中心工程</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12000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缙云县民政局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阳</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民</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w:t>
            </w:r>
          </w:p>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局</w:t>
            </w:r>
          </w:p>
        </w:tc>
        <w:tc>
          <w:tcPr>
            <w:tcW w:w="1395" w:type="dxa"/>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实施类</w:t>
            </w: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续建类</w:t>
            </w: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1.松阳县城市社区（党群）服务中心建设和改造提升项目</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2020-2024年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1180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1395" w:type="dxa"/>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新建类</w:t>
            </w: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1.松阳县南山大健康文化园</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2021-2024年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206800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松阳县南山白云健康产业发展有限公司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restart"/>
            <w:vAlign w:val="center"/>
          </w:tcPr>
          <w:p>
            <w:pPr>
              <w:spacing w:line="5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谋划类</w:t>
            </w: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铺门养老照护中心</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4700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松阳县</w:t>
            </w:r>
            <w:r>
              <w:rPr>
                <w:rFonts w:hint="eastAsia" w:ascii="仿宋" w:hAnsi="仿宋" w:eastAsia="仿宋" w:cs="仿宋"/>
                <w:color w:val="auto"/>
                <w:sz w:val="28"/>
                <w:szCs w:val="28"/>
                <w:highlight w:val="none"/>
              </w:rPr>
              <w:t>铺门小区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vAlign w:val="center"/>
          </w:tcPr>
          <w:p>
            <w:pPr>
              <w:spacing w:line="540" w:lineRule="exact"/>
              <w:jc w:val="center"/>
              <w:rPr>
                <w:rFonts w:hint="eastAsia" w:ascii="仿宋" w:hAnsi="仿宋" w:eastAsia="仿宋" w:cs="仿宋"/>
                <w:color w:val="auto"/>
                <w:sz w:val="28"/>
                <w:szCs w:val="28"/>
                <w:highlight w:val="none"/>
              </w:rPr>
            </w:pPr>
          </w:p>
        </w:tc>
        <w:tc>
          <w:tcPr>
            <w:tcW w:w="2790" w:type="dxa"/>
            <w:gridSpan w:val="2"/>
            <w:vMerge w:val="continue"/>
            <w:vAlign w:val="center"/>
          </w:tcPr>
          <w:p>
            <w:pPr>
              <w:spacing w:line="540" w:lineRule="exact"/>
              <w:jc w:val="center"/>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松阳县</w:t>
            </w:r>
            <w:r>
              <w:rPr>
                <w:rFonts w:hint="eastAsia" w:ascii="仿宋" w:hAnsi="仿宋" w:eastAsia="仿宋" w:cs="仿宋"/>
                <w:color w:val="auto"/>
                <w:sz w:val="28"/>
                <w:szCs w:val="28"/>
                <w:highlight w:val="none"/>
                <w:lang w:val="en-US" w:eastAsia="zh-CN"/>
              </w:rPr>
              <w:t>松阳县千年古县（古镇、古村落）展示馆建设</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松阳县</w:t>
            </w:r>
            <w:r>
              <w:rPr>
                <w:rFonts w:hint="eastAsia" w:ascii="仿宋" w:hAnsi="仿宋" w:eastAsia="仿宋" w:cs="仿宋"/>
                <w:color w:val="auto"/>
                <w:sz w:val="28"/>
                <w:szCs w:val="28"/>
                <w:highlight w:val="none"/>
                <w:lang w:val="en-US" w:eastAsia="zh-CN"/>
              </w:rPr>
              <w:t>古市镇养老院改造</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2023-2025年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1400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松阳县</w:t>
            </w:r>
            <w:r>
              <w:rPr>
                <w:rFonts w:hint="eastAsia" w:ascii="仿宋" w:hAnsi="仿宋" w:eastAsia="仿宋" w:cs="仿宋"/>
                <w:color w:val="auto"/>
                <w:sz w:val="28"/>
                <w:szCs w:val="28"/>
                <w:highlight w:val="none"/>
              </w:rPr>
              <w:t>古市镇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4.松阳县民政事务、福利中心</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2024-2026年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5.松阳县静安园公墓4号地块建设工程</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3" w:type="dxa"/>
            <w:vMerge w:val="continue"/>
          </w:tcPr>
          <w:p>
            <w:pPr>
              <w:spacing w:line="540" w:lineRule="exact"/>
              <w:rPr>
                <w:rFonts w:hint="eastAsia" w:ascii="仿宋" w:hAnsi="仿宋" w:eastAsia="仿宋" w:cs="仿宋"/>
                <w:color w:val="auto"/>
                <w:sz w:val="28"/>
                <w:szCs w:val="28"/>
                <w:highlight w:val="none"/>
              </w:rPr>
            </w:pPr>
          </w:p>
        </w:tc>
        <w:tc>
          <w:tcPr>
            <w:tcW w:w="2790" w:type="dxa"/>
            <w:gridSpan w:val="2"/>
            <w:vMerge w:val="continue"/>
          </w:tcPr>
          <w:p>
            <w:pPr>
              <w:spacing w:line="540" w:lineRule="exact"/>
              <w:rPr>
                <w:rFonts w:hint="eastAsia" w:ascii="仿宋" w:hAnsi="仿宋" w:eastAsia="仿宋" w:cs="仿宋"/>
                <w:color w:val="auto"/>
                <w:sz w:val="28"/>
                <w:szCs w:val="28"/>
                <w:highlight w:val="none"/>
              </w:rPr>
            </w:pPr>
          </w:p>
        </w:tc>
        <w:tc>
          <w:tcPr>
            <w:tcW w:w="5535"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松阳县殡仪馆改扩建工程</w:t>
            </w:r>
          </w:p>
        </w:tc>
        <w:tc>
          <w:tcPr>
            <w:tcW w:w="193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2025-2027年</w:t>
            </w:r>
          </w:p>
        </w:tc>
        <w:tc>
          <w:tcPr>
            <w:tcW w:w="1425" w:type="dxa"/>
            <w:vAlign w:val="center"/>
          </w:tcPr>
          <w:p>
            <w:pPr>
              <w:spacing w:line="5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4700</w:t>
            </w:r>
          </w:p>
        </w:tc>
        <w:tc>
          <w:tcPr>
            <w:tcW w:w="2932" w:type="dxa"/>
            <w:vAlign w:val="center"/>
          </w:tcPr>
          <w:p>
            <w:pPr>
              <w:spacing w:line="540" w:lineRule="exact"/>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松阳县殡仪馆</w:t>
            </w:r>
          </w:p>
        </w:tc>
      </w:tr>
      <w:bookmarkEnd w:id="169"/>
      <w:bookmarkEnd w:id="170"/>
      <w:bookmarkEnd w:id="171"/>
      <w:bookmarkEnd w:id="172"/>
    </w:tbl>
    <w:p>
      <w:pPr>
        <w:rPr>
          <w:color w:val="auto"/>
        </w:rPr>
      </w:pPr>
    </w:p>
    <w:p>
      <w:pPr>
        <w:spacing w:line="540" w:lineRule="exact"/>
        <w:outlineLvl w:val="2"/>
        <w:rPr>
          <w:rFonts w:ascii="仿宋" w:hAnsi="仿宋" w:eastAsia="仿宋" w:cs="仿宋"/>
          <w:bCs/>
          <w:color w:val="auto"/>
          <w:sz w:val="32"/>
          <w:szCs w:val="32"/>
        </w:rPr>
      </w:pPr>
    </w:p>
    <w:sectPr>
      <w:pgSz w:w="16838" w:h="11906" w:orient="landscape"/>
      <w:pgMar w:top="1633" w:right="1440" w:bottom="163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741285-A832-4707-82D7-B84AC7E49F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1FC85D5-B990-4868-9C19-ADD2AE0722D5}"/>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embedRegular r:id="rId3" w:fontKey="{D04C69C6-7F0E-49A8-AFA7-89B1F87E8662}"/>
  </w:font>
  <w:font w:name="楷体">
    <w:panose1 w:val="02010609060101010101"/>
    <w:charset w:val="86"/>
    <w:family w:val="modern"/>
    <w:pitch w:val="default"/>
    <w:sig w:usb0="800002BF" w:usb1="38CF7CFA" w:usb2="00000016" w:usb3="00000000" w:csb0="00040001" w:csb1="00000000"/>
    <w:embedRegular r:id="rId4" w:fontKey="{CE323783-2935-4D31-AEEF-1141E9467EA9}"/>
  </w:font>
  <w:font w:name="方正小标宋简体">
    <w:panose1 w:val="02000000000000000000"/>
    <w:charset w:val="86"/>
    <w:family w:val="auto"/>
    <w:pitch w:val="default"/>
    <w:sig w:usb0="00000001" w:usb1="08000000" w:usb2="00000000" w:usb3="00000000" w:csb0="00040000" w:csb1="00000000"/>
    <w:embedRegular r:id="rId5" w:fontKey="{5F656CD6-36A1-450F-B2C3-9C3D0D65FB73}"/>
  </w:font>
  <w:font w:name="仿宋">
    <w:panose1 w:val="02010609060101010101"/>
    <w:charset w:val="86"/>
    <w:family w:val="modern"/>
    <w:pitch w:val="default"/>
    <w:sig w:usb0="800002BF" w:usb1="38CF7CFA" w:usb2="00000016" w:usb3="00000000" w:csb0="00040001" w:csb1="00000000"/>
    <w:embedRegular r:id="rId6" w:fontKey="{5879305D-3529-4B90-BD26-F34A1246AB3A}"/>
  </w:font>
  <w:font w:name="仿宋_GB2312">
    <w:altName w:val="仿宋"/>
    <w:panose1 w:val="02010609030101010101"/>
    <w:charset w:val="86"/>
    <w:family w:val="auto"/>
    <w:pitch w:val="default"/>
    <w:sig w:usb0="00000000" w:usb1="00000000" w:usb2="00000000" w:usb3="00000000" w:csb0="00040000" w:csb1="00000000"/>
    <w:embedRegular r:id="rId7" w:fontKey="{D84DA19C-2473-46FC-BD85-E5F8BFB8F5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407CB0"/>
    <w:rsid w:val="0000387D"/>
    <w:rsid w:val="00003BB8"/>
    <w:rsid w:val="0000723A"/>
    <w:rsid w:val="00013578"/>
    <w:rsid w:val="00013A4A"/>
    <w:rsid w:val="000145D5"/>
    <w:rsid w:val="00015166"/>
    <w:rsid w:val="000178A6"/>
    <w:rsid w:val="00022549"/>
    <w:rsid w:val="000241C5"/>
    <w:rsid w:val="00024DA1"/>
    <w:rsid w:val="000352EF"/>
    <w:rsid w:val="00041D4A"/>
    <w:rsid w:val="00047958"/>
    <w:rsid w:val="00053A2E"/>
    <w:rsid w:val="0005488D"/>
    <w:rsid w:val="00056721"/>
    <w:rsid w:val="000609CA"/>
    <w:rsid w:val="000666A8"/>
    <w:rsid w:val="00076449"/>
    <w:rsid w:val="00076C2A"/>
    <w:rsid w:val="0008715B"/>
    <w:rsid w:val="00087851"/>
    <w:rsid w:val="000878D2"/>
    <w:rsid w:val="000935E0"/>
    <w:rsid w:val="0009395D"/>
    <w:rsid w:val="000A0F68"/>
    <w:rsid w:val="000A1826"/>
    <w:rsid w:val="000A3CB1"/>
    <w:rsid w:val="000A5BF4"/>
    <w:rsid w:val="000B748B"/>
    <w:rsid w:val="000C0168"/>
    <w:rsid w:val="000C54E5"/>
    <w:rsid w:val="000D0447"/>
    <w:rsid w:val="000D09B2"/>
    <w:rsid w:val="000D14DE"/>
    <w:rsid w:val="000D5FD4"/>
    <w:rsid w:val="000D7D9C"/>
    <w:rsid w:val="000E02BA"/>
    <w:rsid w:val="000E0DFE"/>
    <w:rsid w:val="000E1B4F"/>
    <w:rsid w:val="000E6444"/>
    <w:rsid w:val="000F0C70"/>
    <w:rsid w:val="000F332D"/>
    <w:rsid w:val="000F557F"/>
    <w:rsid w:val="0010003A"/>
    <w:rsid w:val="001012AB"/>
    <w:rsid w:val="001028B7"/>
    <w:rsid w:val="00102C29"/>
    <w:rsid w:val="00106B71"/>
    <w:rsid w:val="00107752"/>
    <w:rsid w:val="00107F2F"/>
    <w:rsid w:val="0011375E"/>
    <w:rsid w:val="00113D00"/>
    <w:rsid w:val="00116330"/>
    <w:rsid w:val="00120E02"/>
    <w:rsid w:val="00123AE3"/>
    <w:rsid w:val="00132836"/>
    <w:rsid w:val="00133856"/>
    <w:rsid w:val="00134C9C"/>
    <w:rsid w:val="001366A5"/>
    <w:rsid w:val="0014066B"/>
    <w:rsid w:val="00144C01"/>
    <w:rsid w:val="0014543D"/>
    <w:rsid w:val="00150229"/>
    <w:rsid w:val="00151AF1"/>
    <w:rsid w:val="00152694"/>
    <w:rsid w:val="00153A2B"/>
    <w:rsid w:val="0015425F"/>
    <w:rsid w:val="001563B5"/>
    <w:rsid w:val="00156DB4"/>
    <w:rsid w:val="00156ED3"/>
    <w:rsid w:val="001607B2"/>
    <w:rsid w:val="00160890"/>
    <w:rsid w:val="00160D20"/>
    <w:rsid w:val="001659E0"/>
    <w:rsid w:val="001671E0"/>
    <w:rsid w:val="00167715"/>
    <w:rsid w:val="001749D6"/>
    <w:rsid w:val="0017691E"/>
    <w:rsid w:val="0018005A"/>
    <w:rsid w:val="001844F4"/>
    <w:rsid w:val="00191D94"/>
    <w:rsid w:val="00197E99"/>
    <w:rsid w:val="001A5FB6"/>
    <w:rsid w:val="001A67A5"/>
    <w:rsid w:val="001B0505"/>
    <w:rsid w:val="001B23A8"/>
    <w:rsid w:val="001C0ABA"/>
    <w:rsid w:val="001C0DD0"/>
    <w:rsid w:val="001C449F"/>
    <w:rsid w:val="001D1839"/>
    <w:rsid w:val="001D18A6"/>
    <w:rsid w:val="001D7EC6"/>
    <w:rsid w:val="001E0A3B"/>
    <w:rsid w:val="001E78C0"/>
    <w:rsid w:val="001F0483"/>
    <w:rsid w:val="001F0C8B"/>
    <w:rsid w:val="001F1C47"/>
    <w:rsid w:val="001F2481"/>
    <w:rsid w:val="00200E35"/>
    <w:rsid w:val="002026D8"/>
    <w:rsid w:val="00202BCD"/>
    <w:rsid w:val="00203DBC"/>
    <w:rsid w:val="002041B6"/>
    <w:rsid w:val="00206EA0"/>
    <w:rsid w:val="00215361"/>
    <w:rsid w:val="0021635B"/>
    <w:rsid w:val="002164DF"/>
    <w:rsid w:val="0021710C"/>
    <w:rsid w:val="002245D1"/>
    <w:rsid w:val="00226A80"/>
    <w:rsid w:val="00227CA4"/>
    <w:rsid w:val="00230835"/>
    <w:rsid w:val="00232445"/>
    <w:rsid w:val="0023256B"/>
    <w:rsid w:val="002335CF"/>
    <w:rsid w:val="00237C66"/>
    <w:rsid w:val="0024008E"/>
    <w:rsid w:val="00240E5C"/>
    <w:rsid w:val="002420A8"/>
    <w:rsid w:val="00246217"/>
    <w:rsid w:val="002478E2"/>
    <w:rsid w:val="00257C27"/>
    <w:rsid w:val="00270315"/>
    <w:rsid w:val="0027435E"/>
    <w:rsid w:val="0027689E"/>
    <w:rsid w:val="00282519"/>
    <w:rsid w:val="00283648"/>
    <w:rsid w:val="002913D3"/>
    <w:rsid w:val="00291751"/>
    <w:rsid w:val="002921E0"/>
    <w:rsid w:val="00292245"/>
    <w:rsid w:val="002977D5"/>
    <w:rsid w:val="002A3A3E"/>
    <w:rsid w:val="002A4718"/>
    <w:rsid w:val="002A5F12"/>
    <w:rsid w:val="002B0B24"/>
    <w:rsid w:val="002B33BC"/>
    <w:rsid w:val="002C0636"/>
    <w:rsid w:val="002C6221"/>
    <w:rsid w:val="002C6A8B"/>
    <w:rsid w:val="002D28EF"/>
    <w:rsid w:val="002D2958"/>
    <w:rsid w:val="002D4907"/>
    <w:rsid w:val="002D5182"/>
    <w:rsid w:val="002E1787"/>
    <w:rsid w:val="002E3BD7"/>
    <w:rsid w:val="002E717D"/>
    <w:rsid w:val="002F3A7D"/>
    <w:rsid w:val="002F41B9"/>
    <w:rsid w:val="002F6F93"/>
    <w:rsid w:val="00300E8C"/>
    <w:rsid w:val="00302BA2"/>
    <w:rsid w:val="003030A3"/>
    <w:rsid w:val="0030504D"/>
    <w:rsid w:val="00305766"/>
    <w:rsid w:val="003058CF"/>
    <w:rsid w:val="00314612"/>
    <w:rsid w:val="00316CBB"/>
    <w:rsid w:val="00317B2E"/>
    <w:rsid w:val="003219A3"/>
    <w:rsid w:val="00330294"/>
    <w:rsid w:val="00335438"/>
    <w:rsid w:val="00347E0D"/>
    <w:rsid w:val="0035004F"/>
    <w:rsid w:val="00350C72"/>
    <w:rsid w:val="0035505E"/>
    <w:rsid w:val="00357972"/>
    <w:rsid w:val="00357FBC"/>
    <w:rsid w:val="00362BA4"/>
    <w:rsid w:val="00363820"/>
    <w:rsid w:val="003663EA"/>
    <w:rsid w:val="00367E6B"/>
    <w:rsid w:val="0037013B"/>
    <w:rsid w:val="003711F0"/>
    <w:rsid w:val="00377847"/>
    <w:rsid w:val="00380C21"/>
    <w:rsid w:val="003823B6"/>
    <w:rsid w:val="0038713B"/>
    <w:rsid w:val="0039415C"/>
    <w:rsid w:val="00394D8B"/>
    <w:rsid w:val="003A108E"/>
    <w:rsid w:val="003A1118"/>
    <w:rsid w:val="003A374F"/>
    <w:rsid w:val="003A6EBE"/>
    <w:rsid w:val="003B0722"/>
    <w:rsid w:val="003B1B28"/>
    <w:rsid w:val="003B3F4F"/>
    <w:rsid w:val="003B4E0C"/>
    <w:rsid w:val="003B53E0"/>
    <w:rsid w:val="003B5EC6"/>
    <w:rsid w:val="003B68FB"/>
    <w:rsid w:val="003C04A9"/>
    <w:rsid w:val="003C04AC"/>
    <w:rsid w:val="003C12EC"/>
    <w:rsid w:val="003C3654"/>
    <w:rsid w:val="003D284E"/>
    <w:rsid w:val="003E2B9A"/>
    <w:rsid w:val="003E3FF9"/>
    <w:rsid w:val="003F50B8"/>
    <w:rsid w:val="003F6A43"/>
    <w:rsid w:val="00401759"/>
    <w:rsid w:val="0040461D"/>
    <w:rsid w:val="00407CB0"/>
    <w:rsid w:val="00412BFE"/>
    <w:rsid w:val="00412F16"/>
    <w:rsid w:val="0041337A"/>
    <w:rsid w:val="00414DDB"/>
    <w:rsid w:val="0041770F"/>
    <w:rsid w:val="00426AC7"/>
    <w:rsid w:val="004278B4"/>
    <w:rsid w:val="00431371"/>
    <w:rsid w:val="00432766"/>
    <w:rsid w:val="00433D0D"/>
    <w:rsid w:val="00434538"/>
    <w:rsid w:val="00434D9F"/>
    <w:rsid w:val="00436A76"/>
    <w:rsid w:val="00436C83"/>
    <w:rsid w:val="00440FA3"/>
    <w:rsid w:val="004461BE"/>
    <w:rsid w:val="004473CA"/>
    <w:rsid w:val="00450D52"/>
    <w:rsid w:val="00452970"/>
    <w:rsid w:val="00453A6A"/>
    <w:rsid w:val="00456974"/>
    <w:rsid w:val="0046649C"/>
    <w:rsid w:val="0046778B"/>
    <w:rsid w:val="00471865"/>
    <w:rsid w:val="00476520"/>
    <w:rsid w:val="00483BEE"/>
    <w:rsid w:val="00486247"/>
    <w:rsid w:val="004907FB"/>
    <w:rsid w:val="00497402"/>
    <w:rsid w:val="004A470E"/>
    <w:rsid w:val="004A7301"/>
    <w:rsid w:val="004B2C53"/>
    <w:rsid w:val="004B4DAE"/>
    <w:rsid w:val="004B57F3"/>
    <w:rsid w:val="004C6230"/>
    <w:rsid w:val="004D1387"/>
    <w:rsid w:val="004F3BE1"/>
    <w:rsid w:val="004F3C78"/>
    <w:rsid w:val="004F4A71"/>
    <w:rsid w:val="0050295D"/>
    <w:rsid w:val="005107D9"/>
    <w:rsid w:val="00510B9B"/>
    <w:rsid w:val="00517E9F"/>
    <w:rsid w:val="00522CF4"/>
    <w:rsid w:val="005238F6"/>
    <w:rsid w:val="005319A3"/>
    <w:rsid w:val="00532474"/>
    <w:rsid w:val="0053385B"/>
    <w:rsid w:val="005370F1"/>
    <w:rsid w:val="0053751D"/>
    <w:rsid w:val="005423A8"/>
    <w:rsid w:val="005451A7"/>
    <w:rsid w:val="00545598"/>
    <w:rsid w:val="00552F82"/>
    <w:rsid w:val="00553B4B"/>
    <w:rsid w:val="00562121"/>
    <w:rsid w:val="00562992"/>
    <w:rsid w:val="00565DE0"/>
    <w:rsid w:val="00565F35"/>
    <w:rsid w:val="00567679"/>
    <w:rsid w:val="00571766"/>
    <w:rsid w:val="00571A56"/>
    <w:rsid w:val="00571F3F"/>
    <w:rsid w:val="00574FE4"/>
    <w:rsid w:val="00584BF1"/>
    <w:rsid w:val="0059018A"/>
    <w:rsid w:val="00590426"/>
    <w:rsid w:val="0059266D"/>
    <w:rsid w:val="00593C3A"/>
    <w:rsid w:val="005A4042"/>
    <w:rsid w:val="005A6B35"/>
    <w:rsid w:val="005B11B9"/>
    <w:rsid w:val="005B4BE9"/>
    <w:rsid w:val="005B5BC0"/>
    <w:rsid w:val="005C0E29"/>
    <w:rsid w:val="005C278F"/>
    <w:rsid w:val="005C2E1E"/>
    <w:rsid w:val="005C48BE"/>
    <w:rsid w:val="005C5BE7"/>
    <w:rsid w:val="005D1881"/>
    <w:rsid w:val="005D239B"/>
    <w:rsid w:val="005D426F"/>
    <w:rsid w:val="005D617B"/>
    <w:rsid w:val="005E23D0"/>
    <w:rsid w:val="005E4054"/>
    <w:rsid w:val="005F17A7"/>
    <w:rsid w:val="005F17AD"/>
    <w:rsid w:val="005F3CCD"/>
    <w:rsid w:val="005F5DEE"/>
    <w:rsid w:val="005F7DAC"/>
    <w:rsid w:val="006066EE"/>
    <w:rsid w:val="00610CD3"/>
    <w:rsid w:val="00611E7B"/>
    <w:rsid w:val="00620497"/>
    <w:rsid w:val="00621902"/>
    <w:rsid w:val="00621B71"/>
    <w:rsid w:val="00623EFB"/>
    <w:rsid w:val="00624525"/>
    <w:rsid w:val="006276FB"/>
    <w:rsid w:val="00627E1D"/>
    <w:rsid w:val="006370EA"/>
    <w:rsid w:val="00637226"/>
    <w:rsid w:val="006405B6"/>
    <w:rsid w:val="00642B6B"/>
    <w:rsid w:val="00644F35"/>
    <w:rsid w:val="00650E63"/>
    <w:rsid w:val="00651536"/>
    <w:rsid w:val="00652D79"/>
    <w:rsid w:val="0066309D"/>
    <w:rsid w:val="00670362"/>
    <w:rsid w:val="0068066A"/>
    <w:rsid w:val="00687851"/>
    <w:rsid w:val="00693161"/>
    <w:rsid w:val="0069379D"/>
    <w:rsid w:val="006A18D7"/>
    <w:rsid w:val="006A1B8D"/>
    <w:rsid w:val="006A1F69"/>
    <w:rsid w:val="006A3804"/>
    <w:rsid w:val="006A4544"/>
    <w:rsid w:val="006B00B7"/>
    <w:rsid w:val="006B5652"/>
    <w:rsid w:val="006B6F9B"/>
    <w:rsid w:val="006C4958"/>
    <w:rsid w:val="006D67E0"/>
    <w:rsid w:val="006E40B0"/>
    <w:rsid w:val="006E6FD9"/>
    <w:rsid w:val="006E7F33"/>
    <w:rsid w:val="006F722B"/>
    <w:rsid w:val="00701D56"/>
    <w:rsid w:val="00703839"/>
    <w:rsid w:val="0070421C"/>
    <w:rsid w:val="007047CD"/>
    <w:rsid w:val="00710AEC"/>
    <w:rsid w:val="007123CD"/>
    <w:rsid w:val="00712BE4"/>
    <w:rsid w:val="00717A1E"/>
    <w:rsid w:val="00717C69"/>
    <w:rsid w:val="00721618"/>
    <w:rsid w:val="00721A94"/>
    <w:rsid w:val="007221A5"/>
    <w:rsid w:val="00724AEF"/>
    <w:rsid w:val="00724DD6"/>
    <w:rsid w:val="00724FB9"/>
    <w:rsid w:val="007309FB"/>
    <w:rsid w:val="00730D68"/>
    <w:rsid w:val="007361A8"/>
    <w:rsid w:val="00737917"/>
    <w:rsid w:val="00744C3B"/>
    <w:rsid w:val="00747D0D"/>
    <w:rsid w:val="00750C84"/>
    <w:rsid w:val="00761BAE"/>
    <w:rsid w:val="007656BC"/>
    <w:rsid w:val="00766FAF"/>
    <w:rsid w:val="007702FA"/>
    <w:rsid w:val="00770E3A"/>
    <w:rsid w:val="00771927"/>
    <w:rsid w:val="00777A18"/>
    <w:rsid w:val="00780B41"/>
    <w:rsid w:val="007814D4"/>
    <w:rsid w:val="0078228F"/>
    <w:rsid w:val="00783688"/>
    <w:rsid w:val="00784B36"/>
    <w:rsid w:val="00785B29"/>
    <w:rsid w:val="00786630"/>
    <w:rsid w:val="00786A18"/>
    <w:rsid w:val="00787162"/>
    <w:rsid w:val="00787197"/>
    <w:rsid w:val="00790322"/>
    <w:rsid w:val="0079169A"/>
    <w:rsid w:val="007934F7"/>
    <w:rsid w:val="007944F7"/>
    <w:rsid w:val="00794A40"/>
    <w:rsid w:val="007A050E"/>
    <w:rsid w:val="007A08F2"/>
    <w:rsid w:val="007A0BED"/>
    <w:rsid w:val="007A10C1"/>
    <w:rsid w:val="007A1AD7"/>
    <w:rsid w:val="007A312B"/>
    <w:rsid w:val="007A5118"/>
    <w:rsid w:val="007A72E8"/>
    <w:rsid w:val="007B1F50"/>
    <w:rsid w:val="007B2129"/>
    <w:rsid w:val="007B53D2"/>
    <w:rsid w:val="007C1C54"/>
    <w:rsid w:val="007C385B"/>
    <w:rsid w:val="007C3CE4"/>
    <w:rsid w:val="007C3D4F"/>
    <w:rsid w:val="007C3DE7"/>
    <w:rsid w:val="007C4CF6"/>
    <w:rsid w:val="007C6D91"/>
    <w:rsid w:val="007C7187"/>
    <w:rsid w:val="007C7A5E"/>
    <w:rsid w:val="007E29FC"/>
    <w:rsid w:val="007E5E61"/>
    <w:rsid w:val="007E65DA"/>
    <w:rsid w:val="007F325F"/>
    <w:rsid w:val="007F5E6B"/>
    <w:rsid w:val="007F6EB0"/>
    <w:rsid w:val="007F7C18"/>
    <w:rsid w:val="00804732"/>
    <w:rsid w:val="00805C37"/>
    <w:rsid w:val="0080737E"/>
    <w:rsid w:val="008112AF"/>
    <w:rsid w:val="00811D5F"/>
    <w:rsid w:val="008127BC"/>
    <w:rsid w:val="008200AA"/>
    <w:rsid w:val="00822955"/>
    <w:rsid w:val="008242D2"/>
    <w:rsid w:val="008277CC"/>
    <w:rsid w:val="008302B8"/>
    <w:rsid w:val="00834103"/>
    <w:rsid w:val="00835A42"/>
    <w:rsid w:val="00837B48"/>
    <w:rsid w:val="00850082"/>
    <w:rsid w:val="008659B2"/>
    <w:rsid w:val="0087086D"/>
    <w:rsid w:val="00872C9A"/>
    <w:rsid w:val="0087305B"/>
    <w:rsid w:val="008757EB"/>
    <w:rsid w:val="008847BF"/>
    <w:rsid w:val="0089254F"/>
    <w:rsid w:val="0089778E"/>
    <w:rsid w:val="00897F44"/>
    <w:rsid w:val="008A234F"/>
    <w:rsid w:val="008A4354"/>
    <w:rsid w:val="008A50EF"/>
    <w:rsid w:val="008B1747"/>
    <w:rsid w:val="008B479B"/>
    <w:rsid w:val="008B5259"/>
    <w:rsid w:val="008C02F4"/>
    <w:rsid w:val="008C1BC1"/>
    <w:rsid w:val="008C29B8"/>
    <w:rsid w:val="008D1789"/>
    <w:rsid w:val="008D2820"/>
    <w:rsid w:val="008D2C93"/>
    <w:rsid w:val="008D3649"/>
    <w:rsid w:val="008D4D67"/>
    <w:rsid w:val="008D7DB7"/>
    <w:rsid w:val="008E1F93"/>
    <w:rsid w:val="008E777E"/>
    <w:rsid w:val="008F08AE"/>
    <w:rsid w:val="008F2B9E"/>
    <w:rsid w:val="009037E6"/>
    <w:rsid w:val="00905859"/>
    <w:rsid w:val="00906088"/>
    <w:rsid w:val="009125A0"/>
    <w:rsid w:val="009174FD"/>
    <w:rsid w:val="009175E2"/>
    <w:rsid w:val="00917B8F"/>
    <w:rsid w:val="0092564B"/>
    <w:rsid w:val="00926A63"/>
    <w:rsid w:val="00930BC5"/>
    <w:rsid w:val="00932563"/>
    <w:rsid w:val="009326C3"/>
    <w:rsid w:val="00935597"/>
    <w:rsid w:val="009374A6"/>
    <w:rsid w:val="0094141E"/>
    <w:rsid w:val="00942042"/>
    <w:rsid w:val="00942D26"/>
    <w:rsid w:val="009472D9"/>
    <w:rsid w:val="00947984"/>
    <w:rsid w:val="009479CD"/>
    <w:rsid w:val="00952DB0"/>
    <w:rsid w:val="00953559"/>
    <w:rsid w:val="00954225"/>
    <w:rsid w:val="0096285B"/>
    <w:rsid w:val="00965723"/>
    <w:rsid w:val="0096790B"/>
    <w:rsid w:val="009716A8"/>
    <w:rsid w:val="00972336"/>
    <w:rsid w:val="009766B0"/>
    <w:rsid w:val="00976C86"/>
    <w:rsid w:val="0098158F"/>
    <w:rsid w:val="00983024"/>
    <w:rsid w:val="00983B46"/>
    <w:rsid w:val="009865EC"/>
    <w:rsid w:val="0098675C"/>
    <w:rsid w:val="00992064"/>
    <w:rsid w:val="009A1BD3"/>
    <w:rsid w:val="009A3A2B"/>
    <w:rsid w:val="009B5258"/>
    <w:rsid w:val="009C119F"/>
    <w:rsid w:val="009C2CF6"/>
    <w:rsid w:val="009C6C4C"/>
    <w:rsid w:val="009D1835"/>
    <w:rsid w:val="009D2025"/>
    <w:rsid w:val="009D5321"/>
    <w:rsid w:val="009D66D7"/>
    <w:rsid w:val="009E3D27"/>
    <w:rsid w:val="009E4BFB"/>
    <w:rsid w:val="009E68FA"/>
    <w:rsid w:val="009F0734"/>
    <w:rsid w:val="009F141D"/>
    <w:rsid w:val="009F1681"/>
    <w:rsid w:val="009F5DD7"/>
    <w:rsid w:val="009F744B"/>
    <w:rsid w:val="00A00D6D"/>
    <w:rsid w:val="00A010ED"/>
    <w:rsid w:val="00A0184C"/>
    <w:rsid w:val="00A05145"/>
    <w:rsid w:val="00A05BDD"/>
    <w:rsid w:val="00A118C2"/>
    <w:rsid w:val="00A11E8A"/>
    <w:rsid w:val="00A13587"/>
    <w:rsid w:val="00A1433D"/>
    <w:rsid w:val="00A1659C"/>
    <w:rsid w:val="00A208CE"/>
    <w:rsid w:val="00A21101"/>
    <w:rsid w:val="00A24050"/>
    <w:rsid w:val="00A2701B"/>
    <w:rsid w:val="00A3256F"/>
    <w:rsid w:val="00A44D0A"/>
    <w:rsid w:val="00A467EB"/>
    <w:rsid w:val="00A46A83"/>
    <w:rsid w:val="00A55D7B"/>
    <w:rsid w:val="00A600EB"/>
    <w:rsid w:val="00A63D6E"/>
    <w:rsid w:val="00A777C7"/>
    <w:rsid w:val="00A84BEA"/>
    <w:rsid w:val="00A8634B"/>
    <w:rsid w:val="00A909F3"/>
    <w:rsid w:val="00A9154E"/>
    <w:rsid w:val="00A92C69"/>
    <w:rsid w:val="00A938B3"/>
    <w:rsid w:val="00AA239C"/>
    <w:rsid w:val="00AA2A55"/>
    <w:rsid w:val="00AB492D"/>
    <w:rsid w:val="00AC535F"/>
    <w:rsid w:val="00AC6596"/>
    <w:rsid w:val="00AC6705"/>
    <w:rsid w:val="00AD0775"/>
    <w:rsid w:val="00AD19D8"/>
    <w:rsid w:val="00AD53E4"/>
    <w:rsid w:val="00AD6837"/>
    <w:rsid w:val="00AE11D6"/>
    <w:rsid w:val="00AF4BBF"/>
    <w:rsid w:val="00B01D89"/>
    <w:rsid w:val="00B049E9"/>
    <w:rsid w:val="00B050FD"/>
    <w:rsid w:val="00B1091F"/>
    <w:rsid w:val="00B10D2B"/>
    <w:rsid w:val="00B11690"/>
    <w:rsid w:val="00B122CE"/>
    <w:rsid w:val="00B12D47"/>
    <w:rsid w:val="00B16619"/>
    <w:rsid w:val="00B200BB"/>
    <w:rsid w:val="00B20D5D"/>
    <w:rsid w:val="00B22FA1"/>
    <w:rsid w:val="00B30794"/>
    <w:rsid w:val="00B33A69"/>
    <w:rsid w:val="00B36A8A"/>
    <w:rsid w:val="00B45728"/>
    <w:rsid w:val="00B46E6F"/>
    <w:rsid w:val="00B50E32"/>
    <w:rsid w:val="00B54397"/>
    <w:rsid w:val="00B554F5"/>
    <w:rsid w:val="00B57863"/>
    <w:rsid w:val="00B61DA3"/>
    <w:rsid w:val="00B61FEE"/>
    <w:rsid w:val="00B63B8D"/>
    <w:rsid w:val="00B70D51"/>
    <w:rsid w:val="00B75062"/>
    <w:rsid w:val="00B844CF"/>
    <w:rsid w:val="00B85AF6"/>
    <w:rsid w:val="00BA37B3"/>
    <w:rsid w:val="00BA73CA"/>
    <w:rsid w:val="00BC00C1"/>
    <w:rsid w:val="00BC36D1"/>
    <w:rsid w:val="00BC37BE"/>
    <w:rsid w:val="00BC77FD"/>
    <w:rsid w:val="00BD0251"/>
    <w:rsid w:val="00BD1162"/>
    <w:rsid w:val="00BD250F"/>
    <w:rsid w:val="00BD2E61"/>
    <w:rsid w:val="00BD354D"/>
    <w:rsid w:val="00BD69FC"/>
    <w:rsid w:val="00BE187D"/>
    <w:rsid w:val="00BE200E"/>
    <w:rsid w:val="00BE4DB9"/>
    <w:rsid w:val="00BE6E01"/>
    <w:rsid w:val="00BE7AA4"/>
    <w:rsid w:val="00BF3613"/>
    <w:rsid w:val="00BF7253"/>
    <w:rsid w:val="00C041DD"/>
    <w:rsid w:val="00C046A3"/>
    <w:rsid w:val="00C050D5"/>
    <w:rsid w:val="00C057D3"/>
    <w:rsid w:val="00C05AB3"/>
    <w:rsid w:val="00C06DC6"/>
    <w:rsid w:val="00C13D1B"/>
    <w:rsid w:val="00C14FDC"/>
    <w:rsid w:val="00C22677"/>
    <w:rsid w:val="00C22F33"/>
    <w:rsid w:val="00C2486F"/>
    <w:rsid w:val="00C25468"/>
    <w:rsid w:val="00C26F68"/>
    <w:rsid w:val="00C33D90"/>
    <w:rsid w:val="00C42B53"/>
    <w:rsid w:val="00C47237"/>
    <w:rsid w:val="00C478AA"/>
    <w:rsid w:val="00C513E7"/>
    <w:rsid w:val="00C54E0A"/>
    <w:rsid w:val="00C61C6F"/>
    <w:rsid w:val="00C66838"/>
    <w:rsid w:val="00C66860"/>
    <w:rsid w:val="00C67361"/>
    <w:rsid w:val="00C819FF"/>
    <w:rsid w:val="00C83CCE"/>
    <w:rsid w:val="00C85098"/>
    <w:rsid w:val="00C86629"/>
    <w:rsid w:val="00C877E6"/>
    <w:rsid w:val="00C9525F"/>
    <w:rsid w:val="00C955DA"/>
    <w:rsid w:val="00CB5B53"/>
    <w:rsid w:val="00CB5BC1"/>
    <w:rsid w:val="00CB62DB"/>
    <w:rsid w:val="00CC170E"/>
    <w:rsid w:val="00CC32B1"/>
    <w:rsid w:val="00CC3F18"/>
    <w:rsid w:val="00CC4EBB"/>
    <w:rsid w:val="00CC661C"/>
    <w:rsid w:val="00CD10B0"/>
    <w:rsid w:val="00CD10EE"/>
    <w:rsid w:val="00CE56E9"/>
    <w:rsid w:val="00CE73AE"/>
    <w:rsid w:val="00CF0A31"/>
    <w:rsid w:val="00CF5B8F"/>
    <w:rsid w:val="00D01A89"/>
    <w:rsid w:val="00D06529"/>
    <w:rsid w:val="00D106BA"/>
    <w:rsid w:val="00D11B3D"/>
    <w:rsid w:val="00D14D05"/>
    <w:rsid w:val="00D228BD"/>
    <w:rsid w:val="00D24EA0"/>
    <w:rsid w:val="00D25873"/>
    <w:rsid w:val="00D30C52"/>
    <w:rsid w:val="00D33401"/>
    <w:rsid w:val="00D35201"/>
    <w:rsid w:val="00D376DE"/>
    <w:rsid w:val="00D44F07"/>
    <w:rsid w:val="00D50935"/>
    <w:rsid w:val="00D52776"/>
    <w:rsid w:val="00D56973"/>
    <w:rsid w:val="00D57E4A"/>
    <w:rsid w:val="00D63EE3"/>
    <w:rsid w:val="00D66F37"/>
    <w:rsid w:val="00D71763"/>
    <w:rsid w:val="00D75A1C"/>
    <w:rsid w:val="00D775A6"/>
    <w:rsid w:val="00D8090C"/>
    <w:rsid w:val="00D83570"/>
    <w:rsid w:val="00D864CE"/>
    <w:rsid w:val="00D876A0"/>
    <w:rsid w:val="00D87D30"/>
    <w:rsid w:val="00DA4591"/>
    <w:rsid w:val="00DB0E57"/>
    <w:rsid w:val="00DB4097"/>
    <w:rsid w:val="00DB6075"/>
    <w:rsid w:val="00DB79F1"/>
    <w:rsid w:val="00DC23A6"/>
    <w:rsid w:val="00DC52F5"/>
    <w:rsid w:val="00DD1AFE"/>
    <w:rsid w:val="00DD1BB7"/>
    <w:rsid w:val="00DD285A"/>
    <w:rsid w:val="00DD29E1"/>
    <w:rsid w:val="00DD37DA"/>
    <w:rsid w:val="00DD64D7"/>
    <w:rsid w:val="00DD68A6"/>
    <w:rsid w:val="00DD7C3C"/>
    <w:rsid w:val="00DD7CC6"/>
    <w:rsid w:val="00DE3348"/>
    <w:rsid w:val="00DF3C38"/>
    <w:rsid w:val="00DF6911"/>
    <w:rsid w:val="00E12094"/>
    <w:rsid w:val="00E17387"/>
    <w:rsid w:val="00E216B5"/>
    <w:rsid w:val="00E2212F"/>
    <w:rsid w:val="00E2278D"/>
    <w:rsid w:val="00E231BE"/>
    <w:rsid w:val="00E31F2E"/>
    <w:rsid w:val="00E36FDB"/>
    <w:rsid w:val="00E42100"/>
    <w:rsid w:val="00E44F3B"/>
    <w:rsid w:val="00E537C3"/>
    <w:rsid w:val="00E54D39"/>
    <w:rsid w:val="00E57F9F"/>
    <w:rsid w:val="00E60598"/>
    <w:rsid w:val="00E64EEF"/>
    <w:rsid w:val="00E65A9E"/>
    <w:rsid w:val="00E666BF"/>
    <w:rsid w:val="00E678A4"/>
    <w:rsid w:val="00E72643"/>
    <w:rsid w:val="00E72AD4"/>
    <w:rsid w:val="00E74A50"/>
    <w:rsid w:val="00E77432"/>
    <w:rsid w:val="00E86318"/>
    <w:rsid w:val="00E9100D"/>
    <w:rsid w:val="00E933DA"/>
    <w:rsid w:val="00E9394B"/>
    <w:rsid w:val="00E94D79"/>
    <w:rsid w:val="00E9636E"/>
    <w:rsid w:val="00EA2E96"/>
    <w:rsid w:val="00EA634E"/>
    <w:rsid w:val="00EB2A19"/>
    <w:rsid w:val="00EB4655"/>
    <w:rsid w:val="00EB6F90"/>
    <w:rsid w:val="00EC0490"/>
    <w:rsid w:val="00EC30D6"/>
    <w:rsid w:val="00EC63EC"/>
    <w:rsid w:val="00ED3EFC"/>
    <w:rsid w:val="00ED540E"/>
    <w:rsid w:val="00ED6328"/>
    <w:rsid w:val="00EE2382"/>
    <w:rsid w:val="00EE2B75"/>
    <w:rsid w:val="00EE2F41"/>
    <w:rsid w:val="00EE36C0"/>
    <w:rsid w:val="00EE3815"/>
    <w:rsid w:val="00EE5BED"/>
    <w:rsid w:val="00EE605D"/>
    <w:rsid w:val="00EE6CEE"/>
    <w:rsid w:val="00EE7C82"/>
    <w:rsid w:val="00EF12F0"/>
    <w:rsid w:val="00EF6AE4"/>
    <w:rsid w:val="00EF6D19"/>
    <w:rsid w:val="00F0063D"/>
    <w:rsid w:val="00F00B04"/>
    <w:rsid w:val="00F126AE"/>
    <w:rsid w:val="00F145B5"/>
    <w:rsid w:val="00F17063"/>
    <w:rsid w:val="00F17F8A"/>
    <w:rsid w:val="00F21343"/>
    <w:rsid w:val="00F21ABD"/>
    <w:rsid w:val="00F24136"/>
    <w:rsid w:val="00F24A18"/>
    <w:rsid w:val="00F24D72"/>
    <w:rsid w:val="00F25657"/>
    <w:rsid w:val="00F317A1"/>
    <w:rsid w:val="00F3694E"/>
    <w:rsid w:val="00F41C93"/>
    <w:rsid w:val="00F421BA"/>
    <w:rsid w:val="00F44243"/>
    <w:rsid w:val="00F468FC"/>
    <w:rsid w:val="00F50893"/>
    <w:rsid w:val="00F60D37"/>
    <w:rsid w:val="00F61449"/>
    <w:rsid w:val="00F62861"/>
    <w:rsid w:val="00F648CC"/>
    <w:rsid w:val="00F64B03"/>
    <w:rsid w:val="00F64BBF"/>
    <w:rsid w:val="00F72601"/>
    <w:rsid w:val="00F73125"/>
    <w:rsid w:val="00F734D4"/>
    <w:rsid w:val="00F7444C"/>
    <w:rsid w:val="00F870F6"/>
    <w:rsid w:val="00F877A7"/>
    <w:rsid w:val="00F9040A"/>
    <w:rsid w:val="00F9058F"/>
    <w:rsid w:val="00FA0766"/>
    <w:rsid w:val="00FA0CA5"/>
    <w:rsid w:val="00FA1146"/>
    <w:rsid w:val="00FA78BC"/>
    <w:rsid w:val="00FB04F8"/>
    <w:rsid w:val="00FB25F6"/>
    <w:rsid w:val="00FB33FE"/>
    <w:rsid w:val="00FB3B63"/>
    <w:rsid w:val="00FB3C47"/>
    <w:rsid w:val="00FB7621"/>
    <w:rsid w:val="00FB7D60"/>
    <w:rsid w:val="00FC57C5"/>
    <w:rsid w:val="00FC74DD"/>
    <w:rsid w:val="00FD151B"/>
    <w:rsid w:val="00FD220D"/>
    <w:rsid w:val="00FD4F94"/>
    <w:rsid w:val="00FE2953"/>
    <w:rsid w:val="00FE377F"/>
    <w:rsid w:val="00FE56B0"/>
    <w:rsid w:val="00FE5C8A"/>
    <w:rsid w:val="00FE7CFB"/>
    <w:rsid w:val="00FF033E"/>
    <w:rsid w:val="00FF313B"/>
    <w:rsid w:val="00FF7BA9"/>
    <w:rsid w:val="015D4952"/>
    <w:rsid w:val="016725A6"/>
    <w:rsid w:val="01725C7B"/>
    <w:rsid w:val="019D58E7"/>
    <w:rsid w:val="01CE148B"/>
    <w:rsid w:val="021003F9"/>
    <w:rsid w:val="022E5FAF"/>
    <w:rsid w:val="02317B1D"/>
    <w:rsid w:val="023C2BA9"/>
    <w:rsid w:val="02992466"/>
    <w:rsid w:val="02B57727"/>
    <w:rsid w:val="02BE54B5"/>
    <w:rsid w:val="02FA54F7"/>
    <w:rsid w:val="03873164"/>
    <w:rsid w:val="03E34685"/>
    <w:rsid w:val="03FE52AE"/>
    <w:rsid w:val="041E4F4A"/>
    <w:rsid w:val="044D678D"/>
    <w:rsid w:val="046D25E7"/>
    <w:rsid w:val="04BE638D"/>
    <w:rsid w:val="04C777A1"/>
    <w:rsid w:val="05093A2A"/>
    <w:rsid w:val="051335C7"/>
    <w:rsid w:val="059D0325"/>
    <w:rsid w:val="05B15F7E"/>
    <w:rsid w:val="05C248BC"/>
    <w:rsid w:val="062C6662"/>
    <w:rsid w:val="063C1C76"/>
    <w:rsid w:val="06847CE4"/>
    <w:rsid w:val="06897408"/>
    <w:rsid w:val="06C76139"/>
    <w:rsid w:val="07227FEB"/>
    <w:rsid w:val="073639F8"/>
    <w:rsid w:val="07753CA1"/>
    <w:rsid w:val="07780AC9"/>
    <w:rsid w:val="07C060AE"/>
    <w:rsid w:val="07DD0569"/>
    <w:rsid w:val="08184E52"/>
    <w:rsid w:val="082615C2"/>
    <w:rsid w:val="082C4076"/>
    <w:rsid w:val="0844475F"/>
    <w:rsid w:val="08644FE7"/>
    <w:rsid w:val="08871041"/>
    <w:rsid w:val="088C3D9F"/>
    <w:rsid w:val="08AC155A"/>
    <w:rsid w:val="08FB35E7"/>
    <w:rsid w:val="09053C46"/>
    <w:rsid w:val="093125C1"/>
    <w:rsid w:val="094E1452"/>
    <w:rsid w:val="09B133F6"/>
    <w:rsid w:val="09B13916"/>
    <w:rsid w:val="09C43216"/>
    <w:rsid w:val="0A072142"/>
    <w:rsid w:val="0A58465E"/>
    <w:rsid w:val="0A5858F3"/>
    <w:rsid w:val="0AB91733"/>
    <w:rsid w:val="0ACB5A4C"/>
    <w:rsid w:val="0ACD1464"/>
    <w:rsid w:val="0B3E2896"/>
    <w:rsid w:val="0B57137F"/>
    <w:rsid w:val="0B6D152E"/>
    <w:rsid w:val="0BA415EE"/>
    <w:rsid w:val="0BA957CA"/>
    <w:rsid w:val="0BB91346"/>
    <w:rsid w:val="0BE21163"/>
    <w:rsid w:val="0BF8244C"/>
    <w:rsid w:val="0C684BC8"/>
    <w:rsid w:val="0C857EC2"/>
    <w:rsid w:val="0C867A61"/>
    <w:rsid w:val="0CAB1301"/>
    <w:rsid w:val="0CCA1F22"/>
    <w:rsid w:val="0D1A6315"/>
    <w:rsid w:val="0D1D3596"/>
    <w:rsid w:val="0D5D56BB"/>
    <w:rsid w:val="0D715A3E"/>
    <w:rsid w:val="0D8A3654"/>
    <w:rsid w:val="0DA10A82"/>
    <w:rsid w:val="0DA83148"/>
    <w:rsid w:val="0E062087"/>
    <w:rsid w:val="0E254E39"/>
    <w:rsid w:val="0EAD17B3"/>
    <w:rsid w:val="0EDC4FF9"/>
    <w:rsid w:val="0EF044FE"/>
    <w:rsid w:val="0EF36403"/>
    <w:rsid w:val="0F4C3A2E"/>
    <w:rsid w:val="0F803A78"/>
    <w:rsid w:val="0FC07EE9"/>
    <w:rsid w:val="10670961"/>
    <w:rsid w:val="10AE5C46"/>
    <w:rsid w:val="10C673E4"/>
    <w:rsid w:val="114D63B0"/>
    <w:rsid w:val="119672C3"/>
    <w:rsid w:val="119A0C54"/>
    <w:rsid w:val="11D75D83"/>
    <w:rsid w:val="11EB6AF2"/>
    <w:rsid w:val="122D2455"/>
    <w:rsid w:val="13112693"/>
    <w:rsid w:val="1343510D"/>
    <w:rsid w:val="134441D7"/>
    <w:rsid w:val="137D43D2"/>
    <w:rsid w:val="1412706F"/>
    <w:rsid w:val="1416282C"/>
    <w:rsid w:val="14174F96"/>
    <w:rsid w:val="142E68B4"/>
    <w:rsid w:val="14802EE0"/>
    <w:rsid w:val="14D058FE"/>
    <w:rsid w:val="1504516A"/>
    <w:rsid w:val="1530435E"/>
    <w:rsid w:val="1549413F"/>
    <w:rsid w:val="156832C9"/>
    <w:rsid w:val="157F789C"/>
    <w:rsid w:val="15A56927"/>
    <w:rsid w:val="15B24815"/>
    <w:rsid w:val="15BC0EBD"/>
    <w:rsid w:val="160C75BA"/>
    <w:rsid w:val="163861BF"/>
    <w:rsid w:val="16551103"/>
    <w:rsid w:val="165549FA"/>
    <w:rsid w:val="16882773"/>
    <w:rsid w:val="16A374E2"/>
    <w:rsid w:val="16EC686B"/>
    <w:rsid w:val="170F1F75"/>
    <w:rsid w:val="17326C0A"/>
    <w:rsid w:val="17702E1A"/>
    <w:rsid w:val="17A775DA"/>
    <w:rsid w:val="17A8681E"/>
    <w:rsid w:val="17AB069D"/>
    <w:rsid w:val="17B9474D"/>
    <w:rsid w:val="17F307FC"/>
    <w:rsid w:val="17F54841"/>
    <w:rsid w:val="17FD438D"/>
    <w:rsid w:val="183C64BA"/>
    <w:rsid w:val="18573A5F"/>
    <w:rsid w:val="187539D5"/>
    <w:rsid w:val="187E5A25"/>
    <w:rsid w:val="18997D3A"/>
    <w:rsid w:val="18A96D7B"/>
    <w:rsid w:val="18FE6D8A"/>
    <w:rsid w:val="1919364C"/>
    <w:rsid w:val="19650E47"/>
    <w:rsid w:val="199110A8"/>
    <w:rsid w:val="19924B23"/>
    <w:rsid w:val="19A06E77"/>
    <w:rsid w:val="19D409BE"/>
    <w:rsid w:val="19F02B24"/>
    <w:rsid w:val="19FD47AB"/>
    <w:rsid w:val="1A225021"/>
    <w:rsid w:val="1A4123B2"/>
    <w:rsid w:val="1A9644B4"/>
    <w:rsid w:val="1ACC2E46"/>
    <w:rsid w:val="1AD07837"/>
    <w:rsid w:val="1ADD644A"/>
    <w:rsid w:val="1B461F98"/>
    <w:rsid w:val="1B4D43DE"/>
    <w:rsid w:val="1BB22A78"/>
    <w:rsid w:val="1BC4079A"/>
    <w:rsid w:val="1BE67609"/>
    <w:rsid w:val="1C080149"/>
    <w:rsid w:val="1C290E2C"/>
    <w:rsid w:val="1C4A480A"/>
    <w:rsid w:val="1C6137D4"/>
    <w:rsid w:val="1CB174FD"/>
    <w:rsid w:val="1CBD0CCF"/>
    <w:rsid w:val="1CC41D43"/>
    <w:rsid w:val="1CFC12CD"/>
    <w:rsid w:val="1D386D4A"/>
    <w:rsid w:val="1DB71936"/>
    <w:rsid w:val="1DC1652D"/>
    <w:rsid w:val="1DC31E1F"/>
    <w:rsid w:val="1DE35D46"/>
    <w:rsid w:val="1E4B61AC"/>
    <w:rsid w:val="1E566102"/>
    <w:rsid w:val="1E5C29D6"/>
    <w:rsid w:val="1EDC54DB"/>
    <w:rsid w:val="1EE00025"/>
    <w:rsid w:val="1EE173CB"/>
    <w:rsid w:val="1EFD1EE3"/>
    <w:rsid w:val="1F295739"/>
    <w:rsid w:val="1F2C11B4"/>
    <w:rsid w:val="1F324048"/>
    <w:rsid w:val="1F380507"/>
    <w:rsid w:val="1F4A381A"/>
    <w:rsid w:val="1F746F32"/>
    <w:rsid w:val="1F964D4A"/>
    <w:rsid w:val="1FA00695"/>
    <w:rsid w:val="1FCE6AA8"/>
    <w:rsid w:val="202C5712"/>
    <w:rsid w:val="20397EA5"/>
    <w:rsid w:val="20660D07"/>
    <w:rsid w:val="2097201A"/>
    <w:rsid w:val="20B47B09"/>
    <w:rsid w:val="20E913D1"/>
    <w:rsid w:val="213020C0"/>
    <w:rsid w:val="21446FE4"/>
    <w:rsid w:val="215F6D0D"/>
    <w:rsid w:val="217C4BFC"/>
    <w:rsid w:val="218E03B4"/>
    <w:rsid w:val="2192257D"/>
    <w:rsid w:val="2199547B"/>
    <w:rsid w:val="21DF504E"/>
    <w:rsid w:val="222835EB"/>
    <w:rsid w:val="22284C84"/>
    <w:rsid w:val="22457718"/>
    <w:rsid w:val="22497651"/>
    <w:rsid w:val="226459A6"/>
    <w:rsid w:val="22C710A8"/>
    <w:rsid w:val="22FB024E"/>
    <w:rsid w:val="236A1FDB"/>
    <w:rsid w:val="238625EB"/>
    <w:rsid w:val="239A0A8F"/>
    <w:rsid w:val="23B72D7B"/>
    <w:rsid w:val="23CF05B3"/>
    <w:rsid w:val="23F50F4B"/>
    <w:rsid w:val="240C444F"/>
    <w:rsid w:val="245E2D72"/>
    <w:rsid w:val="248B4B99"/>
    <w:rsid w:val="24B212F7"/>
    <w:rsid w:val="24F74F0B"/>
    <w:rsid w:val="254B28A1"/>
    <w:rsid w:val="259A4DD8"/>
    <w:rsid w:val="25AE4EC8"/>
    <w:rsid w:val="25B440EE"/>
    <w:rsid w:val="25B52B2D"/>
    <w:rsid w:val="26005D5F"/>
    <w:rsid w:val="26153D22"/>
    <w:rsid w:val="263232B1"/>
    <w:rsid w:val="263F3B08"/>
    <w:rsid w:val="266A14FC"/>
    <w:rsid w:val="267B4E79"/>
    <w:rsid w:val="268F17AF"/>
    <w:rsid w:val="2699331E"/>
    <w:rsid w:val="26C52EB7"/>
    <w:rsid w:val="26EB1FBC"/>
    <w:rsid w:val="26FA6D01"/>
    <w:rsid w:val="27007143"/>
    <w:rsid w:val="273246F3"/>
    <w:rsid w:val="27446AE0"/>
    <w:rsid w:val="281868FF"/>
    <w:rsid w:val="28520228"/>
    <w:rsid w:val="28616728"/>
    <w:rsid w:val="28687A02"/>
    <w:rsid w:val="288813BC"/>
    <w:rsid w:val="28BA257E"/>
    <w:rsid w:val="28EE068A"/>
    <w:rsid w:val="28FD5549"/>
    <w:rsid w:val="290158B9"/>
    <w:rsid w:val="292F3A10"/>
    <w:rsid w:val="29351D37"/>
    <w:rsid w:val="293762B2"/>
    <w:rsid w:val="294A4643"/>
    <w:rsid w:val="296568DF"/>
    <w:rsid w:val="29BF162B"/>
    <w:rsid w:val="29CA7176"/>
    <w:rsid w:val="29F874A8"/>
    <w:rsid w:val="2A113464"/>
    <w:rsid w:val="2A266946"/>
    <w:rsid w:val="2A4C368A"/>
    <w:rsid w:val="2A635EA7"/>
    <w:rsid w:val="2A7361B7"/>
    <w:rsid w:val="2A8044F0"/>
    <w:rsid w:val="2A816043"/>
    <w:rsid w:val="2B4648E7"/>
    <w:rsid w:val="2B90233A"/>
    <w:rsid w:val="2BAA10F4"/>
    <w:rsid w:val="2C2C27F2"/>
    <w:rsid w:val="2C2C5FE0"/>
    <w:rsid w:val="2C35451D"/>
    <w:rsid w:val="2C8C5EC7"/>
    <w:rsid w:val="2C982432"/>
    <w:rsid w:val="2CB9117D"/>
    <w:rsid w:val="2CCC52C1"/>
    <w:rsid w:val="2CD772A4"/>
    <w:rsid w:val="2CF56836"/>
    <w:rsid w:val="2D1B41BF"/>
    <w:rsid w:val="2D1E09D3"/>
    <w:rsid w:val="2D3A0F5B"/>
    <w:rsid w:val="2D732873"/>
    <w:rsid w:val="2D760B97"/>
    <w:rsid w:val="2D8E282F"/>
    <w:rsid w:val="2DF86A3F"/>
    <w:rsid w:val="2E1176C7"/>
    <w:rsid w:val="2E715FBD"/>
    <w:rsid w:val="2EDE2E1D"/>
    <w:rsid w:val="2EE46C1E"/>
    <w:rsid w:val="2F326D3E"/>
    <w:rsid w:val="2F3938B7"/>
    <w:rsid w:val="2F4A3BB1"/>
    <w:rsid w:val="2F617712"/>
    <w:rsid w:val="2F671237"/>
    <w:rsid w:val="2F800AA9"/>
    <w:rsid w:val="2FC703E6"/>
    <w:rsid w:val="2FC71CAC"/>
    <w:rsid w:val="2FD34634"/>
    <w:rsid w:val="2FDE35F7"/>
    <w:rsid w:val="3012055B"/>
    <w:rsid w:val="3019194A"/>
    <w:rsid w:val="30382F52"/>
    <w:rsid w:val="305F033C"/>
    <w:rsid w:val="30A04CD5"/>
    <w:rsid w:val="30B905AC"/>
    <w:rsid w:val="31003B8A"/>
    <w:rsid w:val="316D6F65"/>
    <w:rsid w:val="31C36DBF"/>
    <w:rsid w:val="31E92D78"/>
    <w:rsid w:val="31F64694"/>
    <w:rsid w:val="3253684A"/>
    <w:rsid w:val="32741CBF"/>
    <w:rsid w:val="32897F72"/>
    <w:rsid w:val="32A17DD9"/>
    <w:rsid w:val="32D90EE7"/>
    <w:rsid w:val="32EA3D05"/>
    <w:rsid w:val="33664D5E"/>
    <w:rsid w:val="33811107"/>
    <w:rsid w:val="338D1A09"/>
    <w:rsid w:val="339E3FED"/>
    <w:rsid w:val="33D13784"/>
    <w:rsid w:val="33D26C7B"/>
    <w:rsid w:val="34043D3A"/>
    <w:rsid w:val="3416393D"/>
    <w:rsid w:val="3422469C"/>
    <w:rsid w:val="342E75FD"/>
    <w:rsid w:val="3491589F"/>
    <w:rsid w:val="34D97EC3"/>
    <w:rsid w:val="352441CC"/>
    <w:rsid w:val="352778B0"/>
    <w:rsid w:val="35382061"/>
    <w:rsid w:val="353A363A"/>
    <w:rsid w:val="35403AAD"/>
    <w:rsid w:val="354C75B8"/>
    <w:rsid w:val="35544617"/>
    <w:rsid w:val="35615B36"/>
    <w:rsid w:val="357C2B79"/>
    <w:rsid w:val="357C4535"/>
    <w:rsid w:val="35EF7016"/>
    <w:rsid w:val="364E2CAE"/>
    <w:rsid w:val="36A06BA0"/>
    <w:rsid w:val="36B51412"/>
    <w:rsid w:val="36BD6367"/>
    <w:rsid w:val="36EC068D"/>
    <w:rsid w:val="36F94DBE"/>
    <w:rsid w:val="371A09E9"/>
    <w:rsid w:val="37335195"/>
    <w:rsid w:val="377159C2"/>
    <w:rsid w:val="37955A4E"/>
    <w:rsid w:val="37B2288F"/>
    <w:rsid w:val="37B83322"/>
    <w:rsid w:val="38424D15"/>
    <w:rsid w:val="384A2BAD"/>
    <w:rsid w:val="384A6950"/>
    <w:rsid w:val="38887E1F"/>
    <w:rsid w:val="38B46127"/>
    <w:rsid w:val="38DB608C"/>
    <w:rsid w:val="38EB060A"/>
    <w:rsid w:val="38F47067"/>
    <w:rsid w:val="38F6067D"/>
    <w:rsid w:val="38FF7950"/>
    <w:rsid w:val="39484D52"/>
    <w:rsid w:val="395F4011"/>
    <w:rsid w:val="3961438C"/>
    <w:rsid w:val="39672749"/>
    <w:rsid w:val="397B430A"/>
    <w:rsid w:val="397D40EF"/>
    <w:rsid w:val="39871DBF"/>
    <w:rsid w:val="39BB1324"/>
    <w:rsid w:val="39F2138E"/>
    <w:rsid w:val="3A060027"/>
    <w:rsid w:val="3A232E9B"/>
    <w:rsid w:val="3A8557E2"/>
    <w:rsid w:val="3ABC34C5"/>
    <w:rsid w:val="3B067FD5"/>
    <w:rsid w:val="3B2116D4"/>
    <w:rsid w:val="3B461807"/>
    <w:rsid w:val="3B9025C3"/>
    <w:rsid w:val="3BAA7CCD"/>
    <w:rsid w:val="3C495012"/>
    <w:rsid w:val="3C580416"/>
    <w:rsid w:val="3C8F2480"/>
    <w:rsid w:val="3C901FE1"/>
    <w:rsid w:val="3CC50155"/>
    <w:rsid w:val="3CD77224"/>
    <w:rsid w:val="3CE40755"/>
    <w:rsid w:val="3D1E7750"/>
    <w:rsid w:val="3D5266F8"/>
    <w:rsid w:val="3DC66E38"/>
    <w:rsid w:val="3DD06519"/>
    <w:rsid w:val="3DD71852"/>
    <w:rsid w:val="3E093A97"/>
    <w:rsid w:val="3E1B25F6"/>
    <w:rsid w:val="3E3A724B"/>
    <w:rsid w:val="3E3E7D85"/>
    <w:rsid w:val="3E783853"/>
    <w:rsid w:val="3E7B551A"/>
    <w:rsid w:val="3E7D293D"/>
    <w:rsid w:val="3E8F40E0"/>
    <w:rsid w:val="3EB97499"/>
    <w:rsid w:val="3ED95197"/>
    <w:rsid w:val="3EEB0FDE"/>
    <w:rsid w:val="3F152669"/>
    <w:rsid w:val="3F5C45E1"/>
    <w:rsid w:val="3F5C54A3"/>
    <w:rsid w:val="3F616033"/>
    <w:rsid w:val="3FB26665"/>
    <w:rsid w:val="3FC152D8"/>
    <w:rsid w:val="3FEE1467"/>
    <w:rsid w:val="40416EBE"/>
    <w:rsid w:val="40542C45"/>
    <w:rsid w:val="41266D49"/>
    <w:rsid w:val="414937CD"/>
    <w:rsid w:val="414E4B90"/>
    <w:rsid w:val="41D37762"/>
    <w:rsid w:val="41F230AB"/>
    <w:rsid w:val="41FD3531"/>
    <w:rsid w:val="42136E92"/>
    <w:rsid w:val="422C26BD"/>
    <w:rsid w:val="425F335B"/>
    <w:rsid w:val="426D6408"/>
    <w:rsid w:val="427F2557"/>
    <w:rsid w:val="429B617E"/>
    <w:rsid w:val="42AA05F7"/>
    <w:rsid w:val="43127C48"/>
    <w:rsid w:val="43504C43"/>
    <w:rsid w:val="43537316"/>
    <w:rsid w:val="43692FF0"/>
    <w:rsid w:val="437F58E1"/>
    <w:rsid w:val="43A10DFC"/>
    <w:rsid w:val="440F0481"/>
    <w:rsid w:val="441E6201"/>
    <w:rsid w:val="444B2D56"/>
    <w:rsid w:val="448E2C00"/>
    <w:rsid w:val="44D13205"/>
    <w:rsid w:val="44F40351"/>
    <w:rsid w:val="4539209C"/>
    <w:rsid w:val="45524FFE"/>
    <w:rsid w:val="455F1A5F"/>
    <w:rsid w:val="45910116"/>
    <w:rsid w:val="45BF6672"/>
    <w:rsid w:val="45C507EB"/>
    <w:rsid w:val="45EE526E"/>
    <w:rsid w:val="464419BC"/>
    <w:rsid w:val="46495703"/>
    <w:rsid w:val="46B92323"/>
    <w:rsid w:val="46CB2CD8"/>
    <w:rsid w:val="47401CDD"/>
    <w:rsid w:val="4772307F"/>
    <w:rsid w:val="47725B2E"/>
    <w:rsid w:val="47730F0E"/>
    <w:rsid w:val="47884132"/>
    <w:rsid w:val="478D2D2D"/>
    <w:rsid w:val="4799385F"/>
    <w:rsid w:val="47C76DF8"/>
    <w:rsid w:val="47F16AE3"/>
    <w:rsid w:val="480E0F79"/>
    <w:rsid w:val="48130028"/>
    <w:rsid w:val="486840F6"/>
    <w:rsid w:val="487C587D"/>
    <w:rsid w:val="48821589"/>
    <w:rsid w:val="48E12A96"/>
    <w:rsid w:val="491B48BF"/>
    <w:rsid w:val="49912DE8"/>
    <w:rsid w:val="49A93E4F"/>
    <w:rsid w:val="49FC2E00"/>
    <w:rsid w:val="4A3B566C"/>
    <w:rsid w:val="4A3D47FF"/>
    <w:rsid w:val="4A4E4B2F"/>
    <w:rsid w:val="4A577388"/>
    <w:rsid w:val="4AA26D33"/>
    <w:rsid w:val="4AD91A7B"/>
    <w:rsid w:val="4B3B7324"/>
    <w:rsid w:val="4B673685"/>
    <w:rsid w:val="4B7869DC"/>
    <w:rsid w:val="4BE21316"/>
    <w:rsid w:val="4BF77AFD"/>
    <w:rsid w:val="4C1D7B7D"/>
    <w:rsid w:val="4C2B5039"/>
    <w:rsid w:val="4C406D1E"/>
    <w:rsid w:val="4C5069E8"/>
    <w:rsid w:val="4C534D6C"/>
    <w:rsid w:val="4C816689"/>
    <w:rsid w:val="4CAF6FAE"/>
    <w:rsid w:val="4CDD1300"/>
    <w:rsid w:val="4CE029D2"/>
    <w:rsid w:val="4CF96434"/>
    <w:rsid w:val="4CFF0A0F"/>
    <w:rsid w:val="4D093305"/>
    <w:rsid w:val="4D162051"/>
    <w:rsid w:val="4D200468"/>
    <w:rsid w:val="4D501281"/>
    <w:rsid w:val="4D736B3E"/>
    <w:rsid w:val="4DC5608D"/>
    <w:rsid w:val="4E217538"/>
    <w:rsid w:val="4E280739"/>
    <w:rsid w:val="4E2C0EA5"/>
    <w:rsid w:val="4E49398B"/>
    <w:rsid w:val="4E8D2CC9"/>
    <w:rsid w:val="4EBF7E7C"/>
    <w:rsid w:val="4EC06F62"/>
    <w:rsid w:val="4F016D9C"/>
    <w:rsid w:val="4F411060"/>
    <w:rsid w:val="4F9B0E1C"/>
    <w:rsid w:val="4FADA9DB"/>
    <w:rsid w:val="4FFA1EF0"/>
    <w:rsid w:val="50073E42"/>
    <w:rsid w:val="501D48D0"/>
    <w:rsid w:val="50AB2679"/>
    <w:rsid w:val="50B31004"/>
    <w:rsid w:val="50F25198"/>
    <w:rsid w:val="51711B99"/>
    <w:rsid w:val="518E1821"/>
    <w:rsid w:val="51992AE9"/>
    <w:rsid w:val="51AF710C"/>
    <w:rsid w:val="51D42729"/>
    <w:rsid w:val="51D54D4F"/>
    <w:rsid w:val="51D55CE1"/>
    <w:rsid w:val="521A3FD3"/>
    <w:rsid w:val="52337C1F"/>
    <w:rsid w:val="52590BA5"/>
    <w:rsid w:val="52620ED9"/>
    <w:rsid w:val="52A43617"/>
    <w:rsid w:val="52B83D0A"/>
    <w:rsid w:val="52DE65C0"/>
    <w:rsid w:val="53D5763E"/>
    <w:rsid w:val="53EA25D7"/>
    <w:rsid w:val="540B3F39"/>
    <w:rsid w:val="54810D59"/>
    <w:rsid w:val="549040F5"/>
    <w:rsid w:val="54AC5CEB"/>
    <w:rsid w:val="54CB50E2"/>
    <w:rsid w:val="54F51D96"/>
    <w:rsid w:val="5571656E"/>
    <w:rsid w:val="55722076"/>
    <w:rsid w:val="557F2E2E"/>
    <w:rsid w:val="558F4990"/>
    <w:rsid w:val="55E62AC6"/>
    <w:rsid w:val="56133DB0"/>
    <w:rsid w:val="56271F77"/>
    <w:rsid w:val="56305670"/>
    <w:rsid w:val="56486BF1"/>
    <w:rsid w:val="56606E08"/>
    <w:rsid w:val="56CC3FA3"/>
    <w:rsid w:val="56F02E6F"/>
    <w:rsid w:val="571A0337"/>
    <w:rsid w:val="5760217F"/>
    <w:rsid w:val="576923B0"/>
    <w:rsid w:val="57D87577"/>
    <w:rsid w:val="57E81799"/>
    <w:rsid w:val="57EA5A89"/>
    <w:rsid w:val="58015B57"/>
    <w:rsid w:val="58126677"/>
    <w:rsid w:val="5918014C"/>
    <w:rsid w:val="594650F8"/>
    <w:rsid w:val="594C39E5"/>
    <w:rsid w:val="599B1A31"/>
    <w:rsid w:val="59F56392"/>
    <w:rsid w:val="5A5B32E1"/>
    <w:rsid w:val="5A6A5302"/>
    <w:rsid w:val="5A8B5D67"/>
    <w:rsid w:val="5AAB4906"/>
    <w:rsid w:val="5AC96DE4"/>
    <w:rsid w:val="5AE9708A"/>
    <w:rsid w:val="5B0B708D"/>
    <w:rsid w:val="5B2B3D91"/>
    <w:rsid w:val="5B98338E"/>
    <w:rsid w:val="5BE1185A"/>
    <w:rsid w:val="5BED0E2D"/>
    <w:rsid w:val="5BF15B0D"/>
    <w:rsid w:val="5C067684"/>
    <w:rsid w:val="5C3D1340"/>
    <w:rsid w:val="5C826E43"/>
    <w:rsid w:val="5CA17F8A"/>
    <w:rsid w:val="5CDD7DB2"/>
    <w:rsid w:val="5CF024A8"/>
    <w:rsid w:val="5CF25AB3"/>
    <w:rsid w:val="5CF32C97"/>
    <w:rsid w:val="5CFD6005"/>
    <w:rsid w:val="5D1D6263"/>
    <w:rsid w:val="5DE76071"/>
    <w:rsid w:val="5E747FFC"/>
    <w:rsid w:val="5E767C8F"/>
    <w:rsid w:val="5E95519C"/>
    <w:rsid w:val="5EBA6794"/>
    <w:rsid w:val="5F8E33B6"/>
    <w:rsid w:val="5FDC2F51"/>
    <w:rsid w:val="5FEC07A8"/>
    <w:rsid w:val="601E1E88"/>
    <w:rsid w:val="60327517"/>
    <w:rsid w:val="60343AAC"/>
    <w:rsid w:val="605A0982"/>
    <w:rsid w:val="605A77FE"/>
    <w:rsid w:val="60802416"/>
    <w:rsid w:val="60832BD2"/>
    <w:rsid w:val="60991F64"/>
    <w:rsid w:val="60C33294"/>
    <w:rsid w:val="60CC65D9"/>
    <w:rsid w:val="60F4331C"/>
    <w:rsid w:val="616D6B9A"/>
    <w:rsid w:val="617C1599"/>
    <w:rsid w:val="617F22F0"/>
    <w:rsid w:val="61B20CB8"/>
    <w:rsid w:val="61DD3680"/>
    <w:rsid w:val="62255DB9"/>
    <w:rsid w:val="62C14188"/>
    <w:rsid w:val="62F12194"/>
    <w:rsid w:val="63085145"/>
    <w:rsid w:val="63095E62"/>
    <w:rsid w:val="63575D6B"/>
    <w:rsid w:val="63735138"/>
    <w:rsid w:val="63E1766B"/>
    <w:rsid w:val="63F242AF"/>
    <w:rsid w:val="64323AB7"/>
    <w:rsid w:val="64347A0F"/>
    <w:rsid w:val="6437191F"/>
    <w:rsid w:val="6462694D"/>
    <w:rsid w:val="64AB4270"/>
    <w:rsid w:val="64AC43E1"/>
    <w:rsid w:val="64AC7A09"/>
    <w:rsid w:val="651B02B0"/>
    <w:rsid w:val="65473257"/>
    <w:rsid w:val="65891BC7"/>
    <w:rsid w:val="658E7FF0"/>
    <w:rsid w:val="658F663F"/>
    <w:rsid w:val="65A96159"/>
    <w:rsid w:val="65BE0645"/>
    <w:rsid w:val="65C305FE"/>
    <w:rsid w:val="65C51EEE"/>
    <w:rsid w:val="6627672F"/>
    <w:rsid w:val="66506FB0"/>
    <w:rsid w:val="669576E5"/>
    <w:rsid w:val="669F7884"/>
    <w:rsid w:val="66C4122D"/>
    <w:rsid w:val="66C44FC1"/>
    <w:rsid w:val="66E562CB"/>
    <w:rsid w:val="66F74B4F"/>
    <w:rsid w:val="6702782F"/>
    <w:rsid w:val="671C47EC"/>
    <w:rsid w:val="67240B3E"/>
    <w:rsid w:val="672F5221"/>
    <w:rsid w:val="674613F5"/>
    <w:rsid w:val="675353D0"/>
    <w:rsid w:val="676C775F"/>
    <w:rsid w:val="678E2CC2"/>
    <w:rsid w:val="679923F8"/>
    <w:rsid w:val="67B07C46"/>
    <w:rsid w:val="67BF6506"/>
    <w:rsid w:val="67CB52BA"/>
    <w:rsid w:val="67E409CA"/>
    <w:rsid w:val="67EC4A41"/>
    <w:rsid w:val="68437794"/>
    <w:rsid w:val="68506355"/>
    <w:rsid w:val="68BD726F"/>
    <w:rsid w:val="68C46AC1"/>
    <w:rsid w:val="68DE670F"/>
    <w:rsid w:val="68F67B73"/>
    <w:rsid w:val="68FE7BE3"/>
    <w:rsid w:val="69342EAA"/>
    <w:rsid w:val="694511C8"/>
    <w:rsid w:val="6973080E"/>
    <w:rsid w:val="697564C1"/>
    <w:rsid w:val="69B135F2"/>
    <w:rsid w:val="69C95B76"/>
    <w:rsid w:val="6A221630"/>
    <w:rsid w:val="6A247209"/>
    <w:rsid w:val="6A510297"/>
    <w:rsid w:val="6AA43A8E"/>
    <w:rsid w:val="6ABC47D7"/>
    <w:rsid w:val="6B2D753A"/>
    <w:rsid w:val="6B736896"/>
    <w:rsid w:val="6B81400C"/>
    <w:rsid w:val="6B9A6406"/>
    <w:rsid w:val="6BBD3B35"/>
    <w:rsid w:val="6BD22B40"/>
    <w:rsid w:val="6BD96172"/>
    <w:rsid w:val="6BF60DA2"/>
    <w:rsid w:val="6C1A1910"/>
    <w:rsid w:val="6C217071"/>
    <w:rsid w:val="6C23786A"/>
    <w:rsid w:val="6C3C006A"/>
    <w:rsid w:val="6C850EC2"/>
    <w:rsid w:val="6C890FF1"/>
    <w:rsid w:val="6CAD6218"/>
    <w:rsid w:val="6CFB21A3"/>
    <w:rsid w:val="6D273E11"/>
    <w:rsid w:val="6D445FC6"/>
    <w:rsid w:val="6DB01FEB"/>
    <w:rsid w:val="6DC11C7F"/>
    <w:rsid w:val="6DE56B9E"/>
    <w:rsid w:val="6E4D1BD2"/>
    <w:rsid w:val="6EDB086D"/>
    <w:rsid w:val="6EF30613"/>
    <w:rsid w:val="6F2E5B46"/>
    <w:rsid w:val="6F3201BA"/>
    <w:rsid w:val="6F5767E4"/>
    <w:rsid w:val="6F845923"/>
    <w:rsid w:val="6FA756BC"/>
    <w:rsid w:val="703F668B"/>
    <w:rsid w:val="70C63992"/>
    <w:rsid w:val="70E33C8A"/>
    <w:rsid w:val="70F72BF6"/>
    <w:rsid w:val="70FD0DAE"/>
    <w:rsid w:val="71053C3D"/>
    <w:rsid w:val="710B7776"/>
    <w:rsid w:val="711A686A"/>
    <w:rsid w:val="7125186F"/>
    <w:rsid w:val="71601CFF"/>
    <w:rsid w:val="718C17C4"/>
    <w:rsid w:val="71A7213A"/>
    <w:rsid w:val="722846AE"/>
    <w:rsid w:val="722B0A91"/>
    <w:rsid w:val="726A2BC5"/>
    <w:rsid w:val="72874FCE"/>
    <w:rsid w:val="72AD0A6E"/>
    <w:rsid w:val="72D56D62"/>
    <w:rsid w:val="72DD418F"/>
    <w:rsid w:val="73150D7D"/>
    <w:rsid w:val="731B7D28"/>
    <w:rsid w:val="732D4CE6"/>
    <w:rsid w:val="734401B0"/>
    <w:rsid w:val="73C76D13"/>
    <w:rsid w:val="73DD39BF"/>
    <w:rsid w:val="743C62A9"/>
    <w:rsid w:val="748D32C5"/>
    <w:rsid w:val="75095FAD"/>
    <w:rsid w:val="752A1DE3"/>
    <w:rsid w:val="75581777"/>
    <w:rsid w:val="757116CD"/>
    <w:rsid w:val="757660E6"/>
    <w:rsid w:val="75CC6B1B"/>
    <w:rsid w:val="76056C16"/>
    <w:rsid w:val="76183495"/>
    <w:rsid w:val="761E5BA9"/>
    <w:rsid w:val="762D6355"/>
    <w:rsid w:val="76726864"/>
    <w:rsid w:val="767B63C8"/>
    <w:rsid w:val="76A67B84"/>
    <w:rsid w:val="76EF2E5F"/>
    <w:rsid w:val="770A730F"/>
    <w:rsid w:val="771C3FF9"/>
    <w:rsid w:val="776B2DDA"/>
    <w:rsid w:val="777934FE"/>
    <w:rsid w:val="777C6BB6"/>
    <w:rsid w:val="77B11076"/>
    <w:rsid w:val="77C60413"/>
    <w:rsid w:val="783D446D"/>
    <w:rsid w:val="787834BC"/>
    <w:rsid w:val="78A6013D"/>
    <w:rsid w:val="78B82044"/>
    <w:rsid w:val="79867533"/>
    <w:rsid w:val="79957134"/>
    <w:rsid w:val="799A7B16"/>
    <w:rsid w:val="79B00097"/>
    <w:rsid w:val="79B66F87"/>
    <w:rsid w:val="79E5150A"/>
    <w:rsid w:val="7A1E6ED4"/>
    <w:rsid w:val="7A2B7335"/>
    <w:rsid w:val="7A4C5609"/>
    <w:rsid w:val="7A6967A3"/>
    <w:rsid w:val="7A7A095B"/>
    <w:rsid w:val="7AF00D4F"/>
    <w:rsid w:val="7AFB3FEA"/>
    <w:rsid w:val="7B0051C3"/>
    <w:rsid w:val="7B0A45E8"/>
    <w:rsid w:val="7B0B4106"/>
    <w:rsid w:val="7B2F1D2A"/>
    <w:rsid w:val="7B586E7D"/>
    <w:rsid w:val="7B5E5236"/>
    <w:rsid w:val="7B821A7C"/>
    <w:rsid w:val="7B964459"/>
    <w:rsid w:val="7B9F2078"/>
    <w:rsid w:val="7BB94454"/>
    <w:rsid w:val="7BE276B6"/>
    <w:rsid w:val="7BE50A24"/>
    <w:rsid w:val="7BE82CB6"/>
    <w:rsid w:val="7BFE6188"/>
    <w:rsid w:val="7C091EFD"/>
    <w:rsid w:val="7C24641D"/>
    <w:rsid w:val="7C2A7AF0"/>
    <w:rsid w:val="7C313366"/>
    <w:rsid w:val="7C967DAB"/>
    <w:rsid w:val="7CA60D60"/>
    <w:rsid w:val="7CA67A79"/>
    <w:rsid w:val="7CFF25AA"/>
    <w:rsid w:val="7D073950"/>
    <w:rsid w:val="7D363EA4"/>
    <w:rsid w:val="7D4567F7"/>
    <w:rsid w:val="7D475CDE"/>
    <w:rsid w:val="7D4C2C38"/>
    <w:rsid w:val="7DC714C6"/>
    <w:rsid w:val="7E6C4319"/>
    <w:rsid w:val="7E9A32D6"/>
    <w:rsid w:val="7EC15E1C"/>
    <w:rsid w:val="7EF35EEC"/>
    <w:rsid w:val="7F114486"/>
    <w:rsid w:val="7F1F3EFD"/>
    <w:rsid w:val="7F3863BF"/>
    <w:rsid w:val="7F676851"/>
    <w:rsid w:val="7F792D55"/>
    <w:rsid w:val="7FB430A6"/>
    <w:rsid w:val="7FBC3AAF"/>
    <w:rsid w:val="7FBC7EED"/>
    <w:rsid w:val="7FEE3DC4"/>
    <w:rsid w:val="EFBF74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semiHidden/>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38"/>
    <w:semiHidden/>
    <w:unhideWhenUsed/>
    <w:qFormat/>
    <w:uiPriority w:val="9"/>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7"/>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333333"/>
      <w:u w:val="none"/>
    </w:rPr>
  </w:style>
  <w:style w:type="character" w:styleId="17">
    <w:name w:val="Emphasis"/>
    <w:basedOn w:val="14"/>
    <w:qFormat/>
    <w:uiPriority w:val="20"/>
    <w:rPr>
      <w:b/>
    </w:rPr>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HTML Cite"/>
    <w:basedOn w:val="14"/>
    <w:semiHidden/>
    <w:unhideWhenUsed/>
    <w:qFormat/>
    <w:uiPriority w:val="99"/>
  </w:style>
  <w:style w:type="character" w:styleId="23">
    <w:name w:val="HTML Keyboard"/>
    <w:basedOn w:val="14"/>
    <w:semiHidden/>
    <w:unhideWhenUsed/>
    <w:qFormat/>
    <w:uiPriority w:val="99"/>
    <w:rPr>
      <w:rFonts w:ascii="Courier New" w:hAnsi="Courier New"/>
      <w:sz w:val="20"/>
    </w:rPr>
  </w:style>
  <w:style w:type="character" w:styleId="24">
    <w:name w:val="HTML Sample"/>
    <w:basedOn w:val="14"/>
    <w:semiHidden/>
    <w:unhideWhenUsed/>
    <w:qFormat/>
    <w:uiPriority w:val="99"/>
    <w:rPr>
      <w:rFonts w:ascii="Courier New" w:hAnsi="Courier New"/>
    </w:rPr>
  </w:style>
  <w:style w:type="character" w:customStyle="1" w:styleId="25">
    <w:name w:val="页眉 字符"/>
    <w:basedOn w:val="14"/>
    <w:link w:val="8"/>
    <w:qFormat/>
    <w:uiPriority w:val="99"/>
    <w:rPr>
      <w:sz w:val="18"/>
      <w:szCs w:val="18"/>
    </w:rPr>
  </w:style>
  <w:style w:type="character" w:customStyle="1" w:styleId="26">
    <w:name w:val="页脚 字符"/>
    <w:basedOn w:val="14"/>
    <w:link w:val="7"/>
    <w:qFormat/>
    <w:uiPriority w:val="99"/>
    <w:rPr>
      <w:sz w:val="18"/>
      <w:szCs w:val="18"/>
    </w:rPr>
  </w:style>
  <w:style w:type="character" w:customStyle="1" w:styleId="27">
    <w:name w:val="批注框文本 字符"/>
    <w:basedOn w:val="14"/>
    <w:link w:val="6"/>
    <w:semiHidden/>
    <w:qFormat/>
    <w:uiPriority w:val="99"/>
    <w:rPr>
      <w:sz w:val="18"/>
      <w:szCs w:val="18"/>
    </w:rPr>
  </w:style>
  <w:style w:type="character" w:customStyle="1" w:styleId="28">
    <w:name w:val="标题 1 字符"/>
    <w:basedOn w:val="14"/>
    <w:link w:val="2"/>
    <w:qFormat/>
    <w:uiPriority w:val="9"/>
    <w:rPr>
      <w:b/>
      <w:bCs/>
      <w:kern w:val="44"/>
      <w:sz w:val="44"/>
      <w:szCs w:val="44"/>
    </w:rPr>
  </w:style>
  <w:style w:type="paragraph" w:customStyle="1" w:styleId="2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style01"/>
    <w:basedOn w:val="14"/>
    <w:qFormat/>
    <w:uiPriority w:val="0"/>
    <w:rPr>
      <w:rFonts w:hint="eastAsia" w:ascii="楷体_GB2312" w:eastAsia="楷体_GB2312"/>
      <w:color w:val="000000"/>
      <w:sz w:val="32"/>
      <w:szCs w:val="32"/>
    </w:rPr>
  </w:style>
  <w:style w:type="table" w:customStyle="1" w:styleId="35">
    <w:name w:val="网格型1"/>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List Paragraph"/>
    <w:basedOn w:val="1"/>
    <w:unhideWhenUsed/>
    <w:qFormat/>
    <w:uiPriority w:val="99"/>
    <w:pPr>
      <w:ind w:firstLine="420" w:firstLineChars="200"/>
    </w:pPr>
  </w:style>
  <w:style w:type="character" w:customStyle="1" w:styleId="37">
    <w:name w:val="标题 2 字符"/>
    <w:link w:val="3"/>
    <w:qFormat/>
    <w:uiPriority w:val="0"/>
    <w:rPr>
      <w:rFonts w:ascii="Arial" w:hAnsi="Arial" w:eastAsia="黑体"/>
      <w:b/>
      <w:sz w:val="32"/>
    </w:rPr>
  </w:style>
  <w:style w:type="character" w:customStyle="1" w:styleId="38">
    <w:name w:val="标题 3 字符"/>
    <w:link w:val="4"/>
    <w:qFormat/>
    <w:uiPriority w:val="0"/>
    <w:rPr>
      <w:b/>
      <w:sz w:val="32"/>
    </w:rPr>
  </w:style>
  <w:style w:type="character" w:customStyle="1" w:styleId="39">
    <w:name w:val="wfriend"/>
    <w:basedOn w:val="14"/>
    <w:qFormat/>
    <w:uiPriority w:val="0"/>
  </w:style>
  <w:style w:type="character" w:customStyle="1" w:styleId="40">
    <w:name w:val="soucres"/>
    <w:basedOn w:val="14"/>
    <w:qFormat/>
    <w:uiPriority w:val="0"/>
  </w:style>
  <w:style w:type="character" w:customStyle="1" w:styleId="41">
    <w:name w:val="catecurr"/>
    <w:basedOn w:val="14"/>
    <w:qFormat/>
    <w:uiPriority w:val="0"/>
  </w:style>
  <w:style w:type="character" w:customStyle="1" w:styleId="42">
    <w:name w:val="checked"/>
    <w:basedOn w:val="14"/>
    <w:qFormat/>
    <w:uiPriority w:val="0"/>
  </w:style>
  <w:style w:type="character" w:customStyle="1" w:styleId="43">
    <w:name w:val="checked1"/>
    <w:basedOn w:val="14"/>
    <w:qFormat/>
    <w:uiPriority w:val="0"/>
  </w:style>
  <w:style w:type="character" w:customStyle="1" w:styleId="44">
    <w:name w:val="c-icon28"/>
    <w:basedOn w:val="14"/>
    <w:qFormat/>
    <w:uiPriority w:val="0"/>
  </w:style>
  <w:style w:type="character" w:customStyle="1" w:styleId="45">
    <w:name w:val="hover24"/>
    <w:basedOn w:val="14"/>
    <w:qFormat/>
    <w:uiPriority w:val="0"/>
  </w:style>
  <w:style w:type="character" w:customStyle="1" w:styleId="46">
    <w:name w:val="hover25"/>
    <w:basedOn w:val="14"/>
    <w:qFormat/>
    <w:uiPriority w:val="0"/>
    <w:rPr>
      <w:color w:val="315EFB"/>
    </w:rPr>
  </w:style>
  <w:style w:type="paragraph" w:customStyle="1" w:styleId="47">
    <w:name w:val="TOC 标题3"/>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40</Pages>
  <Words>19545</Words>
  <Characters>20937</Characters>
  <Lines>168</Lines>
  <Paragraphs>47</Paragraphs>
  <TotalTime>2</TotalTime>
  <ScaleCrop>false</ScaleCrop>
  <LinksUpToDate>false</LinksUpToDate>
  <CharactersWithSpaces>21080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2021-03-06T00:35:00Z</dcterms:created>
  <dc:creator>姚建伟</dc:creator>
  <cp:lastModifiedBy>Icarus</cp:lastModifiedBy>
  <cp:lastPrinted>2021-05-21T09:59:00Z</cp:lastPrinted>
  <dcterms:modified xsi:type="dcterms:W3CDTF">2023-06-02T02:29:31Z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AD438524CBBE40B4A805C8AF47D405F3</vt:lpwstr>
  </property>
</Properties>
</file>