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2019年丽水市城乡规划编审中心整体支出绩效评价报告</w:t>
      </w:r>
    </w:p>
    <w:p>
      <w:pPr>
        <w:jc w:val="center"/>
        <w:rPr>
          <w:b/>
          <w:sz w:val="44"/>
          <w:szCs w:val="44"/>
        </w:rPr>
      </w:pPr>
    </w:p>
    <w:p>
      <w:pPr>
        <w:pStyle w:val="6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一、部门基本概况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1.丽水市城乡规划编审中心成立于2012 年，为公益一类事业全额拨款单位，核定编制8人。主要职责是：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开展城乡中长期发展战略、城乡规划编制方法以及重大项目可行性前期规划的研究，为上级提供决策建议；受行政主管部门委托，负责市域城镇体系规划、城市总体规划、分区规划、控制性详细规划、重要地段修建性详细规划和城市设计的编制、评审等工作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kern w:val="0"/>
          <w:sz w:val="24"/>
          <w:szCs w:val="24"/>
        </w:rPr>
        <w:t>2.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2019年年度财政拨款收入支出情况：本年收入合计189.13万元，占总收入 99.73 %，包括财政拨款收入189.13万元（其中，一般公共预算 178.70万元，政府性基金预算10.43万元），占总收入99.73 %；事业单位专户资金0万元，占总收入0%；事业收入（不含专户资金）0万元，占0%；其他收入0万元，占0%；上级补助收入0万元，占0%；附属单位上缴收入0万元，占0%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本年支出合计186.77万元，其中基本支出 179.71 万元，占 96.22 %；项目支出 7.06万元，占 3.78 %；经营支出0万元，占0%。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3.2019年固定资产状况：截至2019年12月31日，本单位固定资产总额为 12.58 万元，未发生资产盘盈盘亏情况。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4.财务管理制度及执行情况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合理编制单位预算，如实反映单位财务状况。不断完善内部控制制度，建立健全财务制度，提高资金使用效率，对单位经济活动进行财务控制和监督。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单位编制的支出预算，保证了本部门履行基本职责所需要的人员经费和公用经费；对专项经费进行严格控制，专项资金管理，专款专用。单位建立专项资金绩效考核评价制度，提高资金使用效率；建立健全支出内控制度和内部稽核、审批、审查制度，完善内部支出管理；采购管理方面，严格按照规定实行政府采购；做好固定资产管理工作，资产按规定采购到位后及时录入资产云，完善资产信息登记，定期或不定期对固定资产进行清查盘点，做到账实相符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二、部门整体支出绩效情况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1、2019年，丽水市城乡规划编审中心在上级部门的关心和指导下，全体工作人员团结一致、齐心协力，切实落实各级领导交办的工作任务，取得了较好的成绩。有序地推进专项规划编制和研究工作；协助国土空间规划编制工作；继续推进美丽乡村相关工作；做好提案办理工作，共办理提案12件，其中重点提案1件，主办提案1件，会办提案10件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2.严格按照预算开展财务计划，强化部门财务管理，加强资金绩效考评制度。建立内部控制制度，根据市财政局要求，完成单位内部控制考评报告工作。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3.整体绩效考核结果：优秀。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三、存在的问题及原因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影响本部门财政资金使用绩效的问题及原因：预算预测不够精准，需进一步完善专项资金绩效考评制度。在专项资金使用工程中，部门预算要完善对专项资金的具体开支内容做进一步的细化。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四、提高财政资金绩效的措施和建议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进一步完善更细化的专项资金绩效评价制度，提高预算编制的科学性和合理性，优化资金结构，提高专项资金的使用效益。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五、附件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市级部门整体支出绩效评价基本情况表。</w:t>
      </w: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434" w:firstLineChars="181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560" w:lineRule="atLeast"/>
        <w:ind w:firstLine="579" w:firstLineChars="181"/>
        <w:rPr>
          <w:rFonts w:ascii="宋体" w:hAnsi="宋体" w:cs="宋体"/>
          <w:kern w:val="0"/>
          <w:sz w:val="32"/>
          <w:szCs w:val="32"/>
        </w:rPr>
      </w:pPr>
    </w:p>
    <w:p>
      <w:pPr>
        <w:spacing w:line="440" w:lineRule="exact"/>
        <w:ind w:firstLine="694" w:firstLineChars="192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市级部门整体支出绩效评价基本情况表</w:t>
      </w:r>
    </w:p>
    <w:p>
      <w:pPr>
        <w:spacing w:line="440" w:lineRule="exact"/>
        <w:ind w:firstLine="403" w:firstLineChars="192"/>
        <w:jc w:val="center"/>
      </w:pPr>
      <w:r>
        <w:rPr>
          <w:rFonts w:hint="eastAsia"/>
        </w:rPr>
        <w:t>（ 2019 年度）</w:t>
      </w:r>
    </w:p>
    <w:p>
      <w:pPr>
        <w:spacing w:line="440" w:lineRule="exact"/>
        <w:ind w:firstLine="403" w:firstLineChars="192"/>
        <w:jc w:val="left"/>
      </w:pPr>
      <w:r>
        <w:rPr>
          <w:rFonts w:hint="eastAsia"/>
        </w:rPr>
        <w:t>填报单位（盖章）：</w:t>
      </w:r>
    </w:p>
    <w:tbl>
      <w:tblPr>
        <w:tblStyle w:val="4"/>
        <w:tblW w:w="139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25"/>
        <w:gridCol w:w="2270"/>
        <w:gridCol w:w="1885"/>
        <w:gridCol w:w="360"/>
        <w:gridCol w:w="2865"/>
        <w:gridCol w:w="195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评价联系人</w:t>
            </w:r>
          </w:p>
        </w:tc>
        <w:tc>
          <w:tcPr>
            <w:tcW w:w="46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陈聿芳</w:t>
            </w:r>
          </w:p>
        </w:tc>
        <w:tc>
          <w:tcPr>
            <w:tcW w:w="322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联系电话及手机</w:t>
            </w:r>
          </w:p>
        </w:tc>
        <w:tc>
          <w:tcPr>
            <w:tcW w:w="441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13666557727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人员编制数</w:t>
            </w:r>
          </w:p>
        </w:tc>
        <w:tc>
          <w:tcPr>
            <w:tcW w:w="46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22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实有人数</w:t>
            </w:r>
          </w:p>
        </w:tc>
        <w:tc>
          <w:tcPr>
            <w:tcW w:w="441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单位职能</w:t>
            </w:r>
          </w:p>
        </w:tc>
        <w:tc>
          <w:tcPr>
            <w:tcW w:w="12320" w:type="dxa"/>
            <w:gridSpan w:val="7"/>
            <w:noWrap/>
            <w:vAlign w:val="center"/>
          </w:tcPr>
          <w:p>
            <w:pPr>
              <w:widowControl/>
              <w:spacing w:line="560" w:lineRule="atLeast"/>
              <w:ind w:firstLine="434" w:firstLineChars="181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开展城乡中长期发展战略、城乡规划编制方法以及重大项目可行性前期规划的研究，为上级提供决策建议；受行政主管部门委托，负责市域城镇体系规划、城市总体规划、分区规划、控制性详细规划、重要地段修建性详细规划和城市设计的编制、评审等工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95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单位年度实际收入（万元）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收入合计</w:t>
            </w:r>
          </w:p>
        </w:tc>
        <w:tc>
          <w:tcPr>
            <w:tcW w:w="11795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27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上年结转结余</w:t>
            </w: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财政拨款收入</w:t>
            </w:r>
          </w:p>
        </w:tc>
        <w:tc>
          <w:tcPr>
            <w:tcW w:w="28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上级补助收入</w:t>
            </w:r>
          </w:p>
        </w:tc>
        <w:tc>
          <w:tcPr>
            <w:tcW w:w="195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事业收入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经营收入及其他收入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189.64</w:t>
            </w:r>
          </w:p>
        </w:tc>
        <w:tc>
          <w:tcPr>
            <w:tcW w:w="2270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0.51</w:t>
            </w: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189.13</w:t>
            </w:r>
          </w:p>
        </w:tc>
        <w:tc>
          <w:tcPr>
            <w:tcW w:w="286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5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单位年度实际支出（万元）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gridSpan w:val="2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 支出合计</w:t>
            </w:r>
          </w:p>
        </w:tc>
        <w:tc>
          <w:tcPr>
            <w:tcW w:w="11795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27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基本支出</w:t>
            </w:r>
          </w:p>
        </w:tc>
        <w:tc>
          <w:tcPr>
            <w:tcW w:w="5110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其中:</w:t>
            </w:r>
          </w:p>
        </w:tc>
        <w:tc>
          <w:tcPr>
            <w:tcW w:w="195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项目支出</w:t>
            </w:r>
          </w:p>
        </w:tc>
        <w:tc>
          <w:tcPr>
            <w:tcW w:w="24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经营支出及其他支出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人员支出</w:t>
            </w:r>
          </w:p>
        </w:tc>
        <w:tc>
          <w:tcPr>
            <w:tcW w:w="286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日常公用支出</w:t>
            </w:r>
          </w:p>
        </w:tc>
        <w:tc>
          <w:tcPr>
            <w:tcW w:w="195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46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186.77</w:t>
            </w:r>
          </w:p>
        </w:tc>
        <w:tc>
          <w:tcPr>
            <w:tcW w:w="2270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179.71</w:t>
            </w:r>
          </w:p>
        </w:tc>
        <w:tc>
          <w:tcPr>
            <w:tcW w:w="2245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162.76</w:t>
            </w:r>
          </w:p>
        </w:tc>
        <w:tc>
          <w:tcPr>
            <w:tcW w:w="286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16.95</w:t>
            </w:r>
          </w:p>
        </w:tc>
        <w:tc>
          <w:tcPr>
            <w:tcW w:w="195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7.06</w:t>
            </w: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rPr>
          <w:rFonts w:ascii="宋体" w:hAnsi="宋体" w:cs="宋体"/>
          <w:kern w:val="0"/>
          <w:sz w:val="28"/>
          <w:szCs w:val="28"/>
        </w:rPr>
      </w:pPr>
    </w:p>
    <w:tbl>
      <w:tblPr>
        <w:tblStyle w:val="4"/>
        <w:tblW w:w="139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795"/>
        <w:gridCol w:w="5110"/>
        <w:gridCol w:w="4385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8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年度绩效状况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年度财政支出整体绩效目标总体描述</w:t>
            </w:r>
          </w:p>
        </w:tc>
        <w:tc>
          <w:tcPr>
            <w:tcW w:w="12350" w:type="dxa"/>
            <w:gridSpan w:val="4"/>
            <w:noWrap/>
            <w:vAlign w:val="center"/>
          </w:tcPr>
          <w:p>
            <w:pPr>
              <w:spacing w:line="288" w:lineRule="auto"/>
              <w:rPr>
                <w:rFonts w:asciiTheme="minorEastAsia" w:hAnsiTheme="minorEastAsia" w:cstheme="minorEastAsia"/>
                <w:sz w:val="24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编审中心按照市局统一部署，紧紧围绕国土空间规划要求，不断提升规划编制水平和规划服务能力，落实专项规划编制，协助国土空间总体规划编制；继续推进美丽乡村相关工作；有序推进其他工作，共办理提案12件，其中重点提案1件，主办提案1件，会办提案10件，顺利完成提案的办理工作；创新与突破，完成餐饮业空间布局专项规划编制；优化与提升，完成基础教育设施布局专项规划编制；细化与完善，完成体育空间布局专项规划编制；保障与拓展，完成电力设施布局规划编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目标设置和年度财政收支的主要依据及说明</w:t>
            </w:r>
          </w:p>
        </w:tc>
        <w:tc>
          <w:tcPr>
            <w:tcW w:w="1235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0"/>
              </w:rPr>
              <w:t>指设立目标和财政收支所依据的主要政策制度、可行性论证报告和专家咨询意见等。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3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本年度提供的公共产品或服务</w:t>
            </w:r>
          </w:p>
        </w:tc>
        <w:tc>
          <w:tcPr>
            <w:tcW w:w="27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服务名称</w:t>
            </w:r>
          </w:p>
        </w:tc>
        <w:tc>
          <w:tcPr>
            <w:tcW w:w="5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  划</w:t>
            </w:r>
          </w:p>
        </w:tc>
        <w:tc>
          <w:tcPr>
            <w:tcW w:w="44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3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bookmarkStart w:id="0" w:name="_GoBack" w:colFirst="2" w:colLast="2"/>
          </w:p>
        </w:tc>
        <w:tc>
          <w:tcPr>
            <w:tcW w:w="27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专项规划编制和研究</w:t>
            </w:r>
          </w:p>
        </w:tc>
        <w:tc>
          <w:tcPr>
            <w:tcW w:w="5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有序推进专项规划编制和研究工作</w:t>
            </w:r>
          </w:p>
        </w:tc>
        <w:tc>
          <w:tcPr>
            <w:tcW w:w="4445" w:type="dxa"/>
            <w:gridSpan w:val="2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项专项规划编制工作顺利开展，并取得阶段性成果。教育、餐饮、管线综合、综合管廊、电力设施等专项规划经市政府批复实施；体育专项规划正在报批中；综合交通、道路网等专项规划经规委会审议通过；海绵城市、绿线、环境卫生、瓯江大花园绿道、养老服务设施等专项规划已组织部门审查；完成联城农居新社区迁建式安置区块审查工作，完成城市生态修复规划研究；继续推进美丽乡村相关工作；</w:t>
            </w:r>
            <w:r>
              <w:rPr>
                <w:rFonts w:hint="eastAsia" w:asciiTheme="minorEastAsia" w:hAnsiTheme="minorEastAsia" w:cstheme="minorEastAsia"/>
                <w:szCs w:val="21"/>
              </w:rPr>
              <w:t>有序推进其他工作，共办理提案12件，其中重点提案1件，主办提案1件，会办提案10件，顺利完成提案的办理工作。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本年度取得的实际效益</w:t>
            </w:r>
          </w:p>
        </w:tc>
        <w:tc>
          <w:tcPr>
            <w:tcW w:w="27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效益名称</w:t>
            </w:r>
          </w:p>
        </w:tc>
        <w:tc>
          <w:tcPr>
            <w:tcW w:w="5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  划</w:t>
            </w:r>
          </w:p>
        </w:tc>
        <w:tc>
          <w:tcPr>
            <w:tcW w:w="44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772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7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完成专项编制</w:t>
            </w:r>
          </w:p>
        </w:tc>
        <w:tc>
          <w:tcPr>
            <w:tcW w:w="5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教育、餐饮、管线综合、综合管廊、电力设施等专项规划经市政府批复实施.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65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服务对象（受益者及相关群体）满意度</w:t>
            </w:r>
          </w:p>
        </w:tc>
        <w:tc>
          <w:tcPr>
            <w:tcW w:w="12290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100%满意度。</w:t>
            </w:r>
          </w:p>
        </w:tc>
      </w:tr>
    </w:tbl>
    <w:p>
      <w:pPr>
        <w:widowControl/>
        <w:spacing w:line="560" w:lineRule="atLeast"/>
        <w:rPr>
          <w:rFonts w:ascii="宋体" w:hAnsi="宋体" w:cs="宋体"/>
          <w:kern w:val="0"/>
          <w:sz w:val="32"/>
          <w:szCs w:val="32"/>
        </w:rPr>
      </w:pPr>
    </w:p>
    <w:sectPr>
      <w:pgSz w:w="16838" w:h="11906" w:orient="landscape"/>
      <w:pgMar w:top="70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06A6"/>
    <w:rsid w:val="00040AE0"/>
    <w:rsid w:val="000542AD"/>
    <w:rsid w:val="00063CA2"/>
    <w:rsid w:val="00091AA5"/>
    <w:rsid w:val="000C7F19"/>
    <w:rsid w:val="001567AA"/>
    <w:rsid w:val="001E393F"/>
    <w:rsid w:val="00211C8C"/>
    <w:rsid w:val="002C3483"/>
    <w:rsid w:val="003100F2"/>
    <w:rsid w:val="00311A37"/>
    <w:rsid w:val="003470E1"/>
    <w:rsid w:val="00351767"/>
    <w:rsid w:val="00356DEB"/>
    <w:rsid w:val="00365EB0"/>
    <w:rsid w:val="00395D7B"/>
    <w:rsid w:val="00401CE6"/>
    <w:rsid w:val="00412280"/>
    <w:rsid w:val="00415DCE"/>
    <w:rsid w:val="0045132C"/>
    <w:rsid w:val="004668A9"/>
    <w:rsid w:val="004706A6"/>
    <w:rsid w:val="0049615B"/>
    <w:rsid w:val="004D5018"/>
    <w:rsid w:val="004E4097"/>
    <w:rsid w:val="00525376"/>
    <w:rsid w:val="005C1BB3"/>
    <w:rsid w:val="005E34FF"/>
    <w:rsid w:val="005F338D"/>
    <w:rsid w:val="00606B50"/>
    <w:rsid w:val="00676042"/>
    <w:rsid w:val="006A5E4B"/>
    <w:rsid w:val="006C69FF"/>
    <w:rsid w:val="006E6C66"/>
    <w:rsid w:val="0072274A"/>
    <w:rsid w:val="007A087B"/>
    <w:rsid w:val="007A788C"/>
    <w:rsid w:val="00886DB3"/>
    <w:rsid w:val="008A4AD1"/>
    <w:rsid w:val="008C3CEB"/>
    <w:rsid w:val="008E1313"/>
    <w:rsid w:val="00933E33"/>
    <w:rsid w:val="00947E48"/>
    <w:rsid w:val="00955E83"/>
    <w:rsid w:val="00961CDB"/>
    <w:rsid w:val="00997B13"/>
    <w:rsid w:val="009A68AC"/>
    <w:rsid w:val="009B3C4D"/>
    <w:rsid w:val="009F3C25"/>
    <w:rsid w:val="009F687F"/>
    <w:rsid w:val="00A15011"/>
    <w:rsid w:val="00A4137D"/>
    <w:rsid w:val="00AE6409"/>
    <w:rsid w:val="00B002E8"/>
    <w:rsid w:val="00B05D3C"/>
    <w:rsid w:val="00B26FDA"/>
    <w:rsid w:val="00B80578"/>
    <w:rsid w:val="00BB18EB"/>
    <w:rsid w:val="00BD4A7A"/>
    <w:rsid w:val="00C00F7F"/>
    <w:rsid w:val="00C21FC7"/>
    <w:rsid w:val="00C32A16"/>
    <w:rsid w:val="00C40B3F"/>
    <w:rsid w:val="00C71AA9"/>
    <w:rsid w:val="00CA17E8"/>
    <w:rsid w:val="00CF52AC"/>
    <w:rsid w:val="00D471C5"/>
    <w:rsid w:val="00D6230F"/>
    <w:rsid w:val="00DB30F9"/>
    <w:rsid w:val="00DB64E2"/>
    <w:rsid w:val="00DD050A"/>
    <w:rsid w:val="00E1543F"/>
    <w:rsid w:val="00E50D2B"/>
    <w:rsid w:val="00EA3169"/>
    <w:rsid w:val="00EA3DB5"/>
    <w:rsid w:val="00EB72C2"/>
    <w:rsid w:val="00EF0522"/>
    <w:rsid w:val="107D61B6"/>
    <w:rsid w:val="200035B3"/>
    <w:rsid w:val="22850891"/>
    <w:rsid w:val="27254B5C"/>
    <w:rsid w:val="27D47B85"/>
    <w:rsid w:val="2D0F17A1"/>
    <w:rsid w:val="2F242858"/>
    <w:rsid w:val="5AAF1C3B"/>
    <w:rsid w:val="5B381E1F"/>
    <w:rsid w:val="63102E3C"/>
    <w:rsid w:val="65F2690F"/>
    <w:rsid w:val="7ABE1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440</Words>
  <Characters>2510</Characters>
  <Lines>20</Lines>
  <Paragraphs>5</Paragraphs>
  <TotalTime>20</TotalTime>
  <ScaleCrop>false</ScaleCrop>
  <LinksUpToDate>false</LinksUpToDate>
  <CharactersWithSpaces>2945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2020-04-07T07:57:00Z</dcterms:created>
  <dc:creator>admin</dc:creator>
  <cp:lastModifiedBy>陈俊波</cp:lastModifiedBy>
  <cp:lastPrinted>2020-04-24T07:26:00Z</cp:lastPrinted>
  <dcterms:modified xsi:type="dcterms:W3CDTF">2020-08-26T03:38:55Z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