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48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617" w:firstLineChars="192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市级部门整体支出绩效评价基本情况表</w:t>
      </w:r>
    </w:p>
    <w:p>
      <w:pPr>
        <w:spacing w:line="440" w:lineRule="exact"/>
        <w:ind w:firstLine="614" w:firstLineChars="192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  2019  年度）</w:t>
      </w:r>
    </w:p>
    <w:p>
      <w:pPr>
        <w:spacing w:line="440" w:lineRule="exact"/>
        <w:ind w:firstLine="614" w:firstLineChars="192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填报单位（盖章）：丽水市农</w:t>
      </w:r>
      <w:r>
        <w:rPr>
          <w:rFonts w:hint="eastAsia" w:ascii="宋体" w:hAnsi="宋体"/>
          <w:sz w:val="32"/>
          <w:szCs w:val="32"/>
          <w:lang w:eastAsia="zh-CN"/>
        </w:rPr>
        <w:t>业</w:t>
      </w:r>
      <w:r>
        <w:rPr>
          <w:rFonts w:hint="eastAsia" w:ascii="宋体" w:hAnsi="宋体"/>
          <w:sz w:val="32"/>
          <w:szCs w:val="32"/>
        </w:rPr>
        <w:t>科</w:t>
      </w:r>
      <w:r>
        <w:rPr>
          <w:rFonts w:hint="eastAsia" w:ascii="宋体" w:hAnsi="宋体"/>
          <w:sz w:val="32"/>
          <w:szCs w:val="32"/>
          <w:lang w:eastAsia="zh-CN"/>
        </w:rPr>
        <w:t>学研究</w:t>
      </w:r>
      <w:r>
        <w:rPr>
          <w:rFonts w:hint="eastAsia" w:ascii="宋体" w:hAnsi="宋体"/>
          <w:sz w:val="32"/>
          <w:szCs w:val="32"/>
        </w:rPr>
        <w:t>院</w:t>
      </w:r>
    </w:p>
    <w:tbl>
      <w:tblPr>
        <w:tblStyle w:val="5"/>
        <w:tblW w:w="1441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25"/>
        <w:gridCol w:w="2270"/>
        <w:gridCol w:w="1885"/>
        <w:gridCol w:w="360"/>
        <w:gridCol w:w="283"/>
        <w:gridCol w:w="1500"/>
        <w:gridCol w:w="343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评价联系人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刘根华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联系电话及手机</w:t>
            </w:r>
          </w:p>
        </w:tc>
        <w:tc>
          <w:tcPr>
            <w:tcW w:w="5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2028076  13666559419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人员编制数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实有人数</w:t>
            </w:r>
          </w:p>
        </w:tc>
        <w:tc>
          <w:tcPr>
            <w:tcW w:w="5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单位职能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（一）承担全市农林业战略性、前瞻性和应用性项目研发和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sz w:val="24"/>
                <w:szCs w:val="24"/>
              </w:rPr>
              <w:t>成果转化工作，组织全市农林业科技协同创新，支撑服务农林业发展的科技需求。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（二）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全市粮油、食用菌、茶叶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、水干果、蔬菜、中药材、畜牧、笋竹、木本油料等品种引进、良种选育、生态高效种养技术、设施农业及农林产品贮藏、保鲜、加工等领域的研发工作。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（三）开展森林生态环境功能与修复、野生动植物保护与利用、种苗花卉、森林培育、生态公益林和森林景观建设等领域的研发工作。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（四）开展农林业标准化、农林业循环经济和产业化发展的研究。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（五）开展农林业科技创新与成果熟化，建立科技示范基地，开展成果转化与科技服务工作。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（六）建设维护丽水农科教旅一体化（松阳）基地等院属科研基地和科技创新平台。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（七）守成市委、市政府交办的其他任务。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单位年度实际收入（万元）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收入合计</w:t>
            </w:r>
          </w:p>
        </w:tc>
        <w:tc>
          <w:tcPr>
            <w:tcW w:w="12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上年结转结余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经营收入及其他收入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6524.55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1558.61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4391.99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573.95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单位年度实际支出（万元）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支出合计</w:t>
            </w:r>
          </w:p>
        </w:tc>
        <w:tc>
          <w:tcPr>
            <w:tcW w:w="12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其中: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经营支出及其他支出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日常公用支出</w:t>
            </w:r>
          </w:p>
        </w:tc>
        <w:tc>
          <w:tcPr>
            <w:tcW w:w="34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4882.95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2243.46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2036.54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206.92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2639.49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年度绩效状况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年度财政支出整体绩效目标总体描述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科技创新在若干领域国内省内有影响、成果转化为丽水现代生态农业提供重要支撑。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目标设置和年度财政收支的主要依据及说明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丽编委[2019］47号关于丽水市农林科院职能配置规定及我院十三五规划。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本年度提供的公共产品或服务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  划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cs="仿宋_GB2312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11"/>
                <w:sz w:val="22"/>
                <w:szCs w:val="22"/>
              </w:rPr>
              <w:t>夯实科学研究和条件建设水平，提升科技支撑能力</w:t>
            </w:r>
          </w:p>
          <w:p>
            <w:pPr>
              <w:autoSpaceDE w:val="0"/>
              <w:spacing w:line="360" w:lineRule="exact"/>
              <w:rPr>
                <w:rFonts w:hint="eastAsia" w:ascii="宋体" w:hAnsi="宋体" w:cs="仿宋_GB2312"/>
                <w:spacing w:val="-11"/>
                <w:sz w:val="22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both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获国家发明专利5项以上，审定新品种3个以上，获省科技进步奖3项以上。完成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丽水农科教旅一体化（松阳）基地大楼及附属设施建设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.围绕丽水主导农林产业，重点在食用菌、茶叶、蔬菜、中药材、水果、加工、竹笋、美丽林相等产业开展研发，深入推进院重大项目三年培育计划。申请专利9项，授权7项，编制修订市级地方标准7项，审定品种4个，获中国民族医药协会科学技术奖一等奖1项、省科技进步三等奖1项、省科技兴林奖二等奖1项、三等奖1项。其中，我院主持的省重点研发计划项目“垂直农业系列关键技术研究及产品开发---垂直农场与垂直农业技术的研发及应用”顺利通过验收，研究成果不仅国内各地得到推广，也在美国、俄罗斯等世界各地推广。2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 xml:space="preserve"> 已完成4400平方米主体大楼建筑，连栋大棚、钢架大棚等农业设施18000多平方米、配套用房和江边坑水利工程、园区大门等配套设施建设。国家食用菌产业体系区试站、浙江茶树种质资源圃、省农作物区试站等一批重点项目入园，其中浙江茶树种质资源圃为国内绿茶种质资源最为齐全，已收集保存1900多份茶树种质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本年度取得的实际效益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效益名称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  划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深入开展四季服务“两山”实践行动，提升服务区域成效，整合资源，创新科技合作模式，充分利用科技人员优势，深入产业一线开展乡村振兴工作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开展三服务活动80次以上，与各类创新主体合作申报项目35项以上，推广新品种15个以上</w:t>
            </w:r>
            <w:r>
              <w:rPr>
                <w:rFonts w:hint="eastAsia" w:ascii="宋体" w:hAnsi="宋体" w:cs="仿宋_GB2312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ind w:firstLine="440" w:firstLineChars="200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各研究所发挥技术和人才优势，每月组织2次深入服务基层农业主体，开展三服务活动86余次，梳理问题清单53项，其中现场解决生产实际问题49项。2.发放种子、种苗、农资等400多份，发放模式图、技术手册等资料1000多份；派出一名科技干部挂职缙云县农业农村局，牵头组织实施茭白产业发展专项，建立科技示范基地2个，面积2000多亩；参与2019年石练镇迎新村借力发展计划，多次开展调研，开展扶贫增收、生态大米和稻田养鱼等方案，向养殖户免费赠送鸡苗1000只和玉米饲料100斤并提供全程技术支持；与市供销社深入推进“市农作物放心工程”，参与制定并实施《2019农作物放心工程培训计划》、《2019年农作物放心工程电台广播讲座计划》。3.整合资源，创新科技合作模式。以院农民讲师团、国家产业技术体系综合试验站、院士专家工作站、博士后工作站等为载体，以项目合作、技术服务为切入点，与其他各县市各类企业主体共同开展国家自然科学基金、省重大专项、市重点科技项目等项目合作50多项。4.实施山区茶园可持续技术模式示范等推广项目22项，示范推广“丽耳3号”、“丽芸2号”等自主选育新品种6个，示范推广“中桃5号”、“中蟠11号”等引进优质新品种20多个，专技人员对接各类农业主体43个。</w:t>
            </w:r>
          </w:p>
          <w:p>
            <w:pPr>
              <w:widowControl/>
              <w:autoSpaceDE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服务对象（受益者及相关群体）满意度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满意</w:t>
            </w:r>
          </w:p>
        </w:tc>
      </w:tr>
    </w:tbl>
    <w:p>
      <w:pPr>
        <w:tabs>
          <w:tab w:val="left" w:pos="5083"/>
        </w:tabs>
        <w:jc w:val="left"/>
        <w:rPr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B58"/>
    <w:rsid w:val="00E65B58"/>
    <w:rsid w:val="00FE64BF"/>
    <w:rsid w:val="0D20156A"/>
    <w:rsid w:val="115D69F1"/>
    <w:rsid w:val="21561ADC"/>
    <w:rsid w:val="26F938D4"/>
    <w:rsid w:val="2C957F6E"/>
    <w:rsid w:val="305A40CF"/>
    <w:rsid w:val="45BF3C85"/>
    <w:rsid w:val="46866126"/>
    <w:rsid w:val="57055ADF"/>
    <w:rsid w:val="5C8859FB"/>
    <w:rsid w:val="66764C78"/>
    <w:rsid w:val="7BD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unhideWhenUsed/>
    <w:qFormat/>
    <w:uiPriority w:val="99"/>
    <w:pPr>
      <w:spacing w:before="100" w:beforeAutospacing="1"/>
      <w:ind w:firstLine="420" w:firstLineChars="200"/>
    </w:pPr>
    <w:rPr>
      <w:kern w:val="0"/>
      <w:sz w:val="20"/>
      <w:szCs w:val="20"/>
    </w:rPr>
  </w:style>
  <w:style w:type="character" w:customStyle="1" w:styleId="6">
    <w:name w:val="正文文本缩进 Char"/>
    <w:basedOn w:val="4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2 Char"/>
    <w:basedOn w:val="6"/>
    <w:link w:val="3"/>
    <w:qFormat/>
    <w:uiPriority w:val="99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604</Words>
  <Characters>3446</Characters>
  <Lines>28</Lines>
  <Paragraphs>8</Paragraphs>
  <TotalTime>14</TotalTime>
  <ScaleCrop>false</ScaleCrop>
  <LinksUpToDate>false</LinksUpToDate>
  <CharactersWithSpaces>4042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2020-08-28T07:56:00Z</dcterms:created>
  <dc:creator>Microsoft</dc:creator>
  <cp:lastModifiedBy>徐红珍</cp:lastModifiedBy>
  <cp:lastPrinted>2020-08-31T03:01:00Z</cp:lastPrinted>
  <dcterms:modified xsi:type="dcterms:W3CDTF">2020-09-02T02:36:46Z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