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Times New Roman" w:eastAsia="方正小标宋简体" w:cs="Times New Roman"/>
          <w:bCs/>
          <w:sz w:val="36"/>
          <w:szCs w:val="36"/>
        </w:rPr>
      </w:pPr>
      <w:r>
        <w:rPr>
          <w:rFonts w:hint="eastAsia" w:ascii="方正小标宋简体" w:eastAsia="方正小标宋简体" w:cs="Times New Roman"/>
          <w:bCs/>
          <w:sz w:val="36"/>
          <w:szCs w:val="36"/>
          <w:lang w:val="en-US" w:eastAsia="zh-CN"/>
        </w:rPr>
        <w:t>丽水市退役军人事务局</w:t>
      </w:r>
      <w:r>
        <w:rPr>
          <w:rFonts w:hint="eastAsia" w:ascii="方正小标宋简体" w:hAnsi="Times New Roman" w:eastAsia="方正小标宋简体" w:cs="Times New Roman"/>
          <w:bCs/>
          <w:sz w:val="36"/>
          <w:szCs w:val="36"/>
        </w:rPr>
        <w:t>整体支出绩效评价报告</w:t>
      </w:r>
    </w:p>
    <w:p>
      <w:pPr>
        <w:spacing w:line="520" w:lineRule="exact"/>
        <w:ind w:firstLine="614" w:firstLineChars="192"/>
        <w:rPr>
          <w:rFonts w:hint="eastAsia" w:ascii="黑体" w:hAnsi="Times New Roman" w:eastAsia="黑体" w:cs="Times New Roman"/>
          <w:sz w:val="32"/>
          <w:szCs w:val="32"/>
        </w:rPr>
      </w:pPr>
    </w:p>
    <w:p>
      <w:pPr>
        <w:spacing w:line="520" w:lineRule="exact"/>
        <w:ind w:firstLine="614" w:firstLineChars="192"/>
        <w:rPr>
          <w:rFonts w:hint="eastAsia" w:ascii="黑体" w:hAnsi="Times New Roman" w:eastAsia="黑体" w:cs="Times New Roman"/>
          <w:sz w:val="32"/>
          <w:szCs w:val="32"/>
        </w:rPr>
      </w:pPr>
      <w:r>
        <w:rPr>
          <w:rFonts w:hint="eastAsia" w:ascii="黑体" w:hAnsi="Times New Roman" w:eastAsia="黑体" w:cs="Times New Roman"/>
          <w:sz w:val="32"/>
          <w:szCs w:val="32"/>
        </w:rPr>
        <w:t>一、部门基本概况</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我单位于2019年</w:t>
      </w:r>
      <w:r>
        <w:rPr>
          <w:rFonts w:hint="eastAsia" w:ascii="仿宋_GB2312" w:eastAsia="仿宋_GB2312"/>
          <w:sz w:val="32"/>
          <w:szCs w:val="32"/>
          <w:lang w:val="en-US" w:eastAsia="zh-CN"/>
        </w:rPr>
        <w:t>1月16日挂牌成立</w:t>
      </w:r>
      <w:r>
        <w:rPr>
          <w:rFonts w:hint="eastAsia" w:ascii="仿宋_GB2312" w:eastAsia="仿宋_GB2312"/>
          <w:sz w:val="32"/>
          <w:szCs w:val="32"/>
        </w:rPr>
        <w:t>，为全额拨款行政单位</w:t>
      </w:r>
      <w:r>
        <w:rPr>
          <w:rFonts w:hint="eastAsia" w:ascii="仿宋_GB2312" w:eastAsia="仿宋_GB2312"/>
          <w:sz w:val="32"/>
          <w:szCs w:val="32"/>
          <w:lang w:eastAsia="zh-CN"/>
        </w:rPr>
        <w:t>。</w:t>
      </w:r>
      <w:r>
        <w:rPr>
          <w:rFonts w:hint="eastAsia" w:ascii="仿宋_GB2312" w:eastAsia="仿宋_GB2312"/>
          <w:sz w:val="32"/>
          <w:szCs w:val="32"/>
        </w:rPr>
        <w:t>截止2019年12月31日，编委核定编制人数9人，在职10人，其中9人为行政管理人员，1人为</w:t>
      </w:r>
      <w:r>
        <w:rPr>
          <w:rFonts w:hint="eastAsia" w:ascii="仿宋_GB2312" w:eastAsia="仿宋_GB2312"/>
          <w:sz w:val="32"/>
          <w:szCs w:val="32"/>
          <w:lang w:val="en-US" w:eastAsia="zh-CN"/>
        </w:rPr>
        <w:t>编外人员</w:t>
      </w:r>
      <w:r>
        <w:rPr>
          <w:rFonts w:hint="eastAsia" w:ascii="仿宋_GB2312" w:eastAsia="仿宋_GB2312"/>
          <w:sz w:val="32"/>
          <w:szCs w:val="32"/>
        </w:rPr>
        <w:t>。</w:t>
      </w:r>
      <w:r>
        <w:rPr>
          <w:rFonts w:hint="eastAsia" w:ascii="仿宋_GB2312" w:eastAsia="仿宋_GB2312"/>
          <w:sz w:val="32"/>
          <w:szCs w:val="32"/>
          <w:lang w:val="en-US" w:eastAsia="zh-CN"/>
        </w:rPr>
        <w:t xml:space="preserve">                     </w:t>
      </w:r>
      <w:r>
        <w:rPr>
          <w:rFonts w:hint="eastAsia" w:ascii="仿宋_GB2312" w:eastAsia="仿宋_GB2312"/>
          <w:sz w:val="32"/>
          <w:szCs w:val="32"/>
        </w:rPr>
        <w:t>截至2019年12月31日，我单位资产总额为220.17万元，</w:t>
      </w:r>
      <w:r>
        <w:rPr>
          <w:rFonts w:hint="eastAsia" w:ascii="仿宋_GB2312" w:eastAsia="仿宋_GB2312"/>
          <w:sz w:val="32"/>
          <w:szCs w:val="32"/>
          <w:lang w:val="en-US" w:eastAsia="zh-CN"/>
        </w:rPr>
        <w:t xml:space="preserve">  </w:t>
      </w:r>
      <w:r>
        <w:rPr>
          <w:rFonts w:hint="eastAsia" w:ascii="仿宋_GB2312" w:eastAsia="仿宋_GB2312"/>
          <w:sz w:val="32"/>
          <w:szCs w:val="32"/>
        </w:rPr>
        <w:t>主要由以下三部分构成：流动资产88.91万元，占资产总额的40.38 %，主要为货币资金及财政应返还额度；固定资产16.45万元，占资产总额的7.47%，主要</w:t>
      </w:r>
      <w:r>
        <w:rPr>
          <w:rFonts w:hint="eastAsia" w:ascii="仿宋_GB2312" w:eastAsia="仿宋_GB2312"/>
          <w:sz w:val="32"/>
          <w:szCs w:val="32"/>
          <w:lang w:eastAsia="zh-CN"/>
        </w:rPr>
        <w:t>为</w:t>
      </w:r>
      <w:r>
        <w:rPr>
          <w:rFonts w:hint="eastAsia" w:ascii="仿宋_GB2312" w:eastAsia="仿宋_GB2312"/>
          <w:sz w:val="32"/>
          <w:szCs w:val="32"/>
        </w:rPr>
        <w:t>办公设备、计算机设备等通用设备及办公家具；在建工程114.82万元，占资产总额的52.15%。资产管理由财务部门进行价值核算并设置专人进行固定资产实物卡片管理及使用状况监督；办公设备由办公室设置专人进行实物卡片管理及使用状况监督。</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我单位</w:t>
      </w:r>
      <w:r>
        <w:rPr>
          <w:rFonts w:hint="eastAsia" w:ascii="仿宋_GB2312" w:eastAsia="仿宋_GB2312"/>
          <w:sz w:val="32"/>
          <w:szCs w:val="32"/>
        </w:rPr>
        <w:t>会计核算执行《政府会计制度》</w:t>
      </w:r>
      <w:r>
        <w:rPr>
          <w:rFonts w:hint="eastAsia" w:ascii="仿宋_GB2312" w:eastAsia="仿宋_GB2312"/>
          <w:sz w:val="32"/>
          <w:szCs w:val="32"/>
          <w:lang w:eastAsia="zh-CN"/>
        </w:rPr>
        <w:t>，</w:t>
      </w:r>
      <w:r>
        <w:rPr>
          <w:rFonts w:hint="eastAsia" w:ascii="仿宋_GB2312" w:eastAsia="仿宋_GB2312"/>
          <w:sz w:val="32"/>
          <w:szCs w:val="32"/>
          <w:lang w:val="en-US" w:eastAsia="zh-CN"/>
        </w:rPr>
        <w:t>2019年预算收入743.17万元，上年结转结余37.26万元，预算支出706.69万元。在单位内部控制建设上，</w:t>
      </w:r>
      <w:r>
        <w:rPr>
          <w:rFonts w:hint="eastAsia" w:ascii="仿宋_GB2312" w:eastAsia="仿宋_GB2312"/>
          <w:sz w:val="32"/>
          <w:szCs w:val="32"/>
        </w:rPr>
        <w:t>建立健全了局机关会议、内部财务、公车使用等管理制度</w:t>
      </w:r>
      <w:r>
        <w:rPr>
          <w:rFonts w:hint="eastAsia" w:ascii="仿宋_GB2312" w:eastAsia="仿宋_GB2312"/>
          <w:sz w:val="32"/>
          <w:szCs w:val="32"/>
          <w:lang w:eastAsia="zh-CN"/>
        </w:rPr>
        <w:t>。</w:t>
      </w:r>
    </w:p>
    <w:p>
      <w:pPr>
        <w:spacing w:line="520" w:lineRule="exact"/>
        <w:ind w:firstLine="614" w:firstLineChars="192"/>
        <w:rPr>
          <w:rFonts w:hint="eastAsia" w:ascii="黑体" w:hAnsi="Times New Roman" w:eastAsia="黑体" w:cs="Times New Roman"/>
          <w:sz w:val="32"/>
          <w:szCs w:val="32"/>
        </w:rPr>
      </w:pPr>
      <w:r>
        <w:rPr>
          <w:rFonts w:hint="eastAsia" w:ascii="黑体" w:hAnsi="Times New Roman" w:eastAsia="黑体" w:cs="Times New Roman"/>
          <w:sz w:val="32"/>
          <w:szCs w:val="32"/>
        </w:rPr>
        <w:t>二、部门整体支出绩效状况</w:t>
      </w:r>
    </w:p>
    <w:p>
      <w:pPr>
        <w:spacing w:line="600" w:lineRule="exact"/>
        <w:ind w:firstLine="480" w:firstLineChars="15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一</w:t>
      </w:r>
      <w:r>
        <w:rPr>
          <w:rFonts w:hint="eastAsia" w:ascii="楷体" w:hAnsi="楷体" w:eastAsia="楷体"/>
          <w:sz w:val="32"/>
          <w:szCs w:val="32"/>
        </w:rPr>
        <w:t>）聚焦主责，健全优质到位的服务机制。</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全面开展</w:t>
      </w:r>
      <w:r>
        <w:rPr>
          <w:rFonts w:hint="eastAsia" w:ascii="仿宋_GB2312" w:eastAsia="仿宋_GB2312"/>
          <w:sz w:val="32"/>
          <w:szCs w:val="32"/>
          <w:lang w:eastAsia="zh-CN"/>
        </w:rPr>
        <w:t>退役士兵</w:t>
      </w:r>
      <w:r>
        <w:rPr>
          <w:rFonts w:hint="eastAsia" w:ascii="仿宋_GB2312" w:eastAsia="仿宋_GB2312"/>
          <w:sz w:val="32"/>
          <w:szCs w:val="32"/>
        </w:rPr>
        <w:t>保险接续</w:t>
      </w:r>
      <w:r>
        <w:rPr>
          <w:rFonts w:hint="eastAsia" w:ascii="仿宋_GB2312" w:eastAsia="仿宋_GB2312"/>
          <w:sz w:val="32"/>
          <w:szCs w:val="32"/>
          <w:lang w:eastAsia="zh-CN"/>
        </w:rPr>
        <w:t>工作</w:t>
      </w:r>
      <w:r>
        <w:rPr>
          <w:rFonts w:hint="eastAsia" w:ascii="仿宋_GB2312" w:eastAsia="仿宋_GB2312"/>
          <w:sz w:val="32"/>
          <w:szCs w:val="32"/>
        </w:rPr>
        <w:t>，会同财政、人社、医保、民政等部门在政策落实、底数调查、信息比对、风险防控等方面做好工作</w:t>
      </w:r>
      <w:r>
        <w:rPr>
          <w:rFonts w:hint="eastAsia" w:ascii="仿宋_GB2312" w:eastAsia="仿宋_GB2312"/>
          <w:sz w:val="32"/>
          <w:szCs w:val="32"/>
          <w:lang w:eastAsia="zh-CN"/>
        </w:rPr>
        <w:t>，</w:t>
      </w:r>
      <w:r>
        <w:rPr>
          <w:rFonts w:hint="eastAsia" w:ascii="仿宋_GB2312" w:eastAsia="仿宋_GB2312"/>
          <w:sz w:val="32"/>
          <w:szCs w:val="32"/>
        </w:rPr>
        <w:t>共审核符合条件断保人数3423名，除去无补缴意愿394名，系统录入3029名，总进度达到100%。</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圆满完成安置工作，就业创业质量不断提高。2019年，</w:t>
      </w:r>
      <w:r>
        <w:rPr>
          <w:rFonts w:hint="eastAsia" w:ascii="仿宋_GB2312" w:eastAsia="仿宋_GB2312"/>
          <w:sz w:val="32"/>
          <w:szCs w:val="32"/>
          <w:lang w:eastAsia="zh-CN"/>
        </w:rPr>
        <w:t>及时足额发放转业(退役)士官(士兵)安置补偿金及优待金</w:t>
      </w:r>
      <w:r>
        <w:rPr>
          <w:rFonts w:hint="eastAsia" w:ascii="仿宋_GB2312" w:eastAsia="仿宋_GB2312"/>
          <w:sz w:val="32"/>
          <w:szCs w:val="32"/>
          <w:lang w:val="en-US" w:eastAsia="zh-CN"/>
        </w:rPr>
        <w:t>137.54万元，</w:t>
      </w:r>
      <w:r>
        <w:rPr>
          <w:rFonts w:hint="eastAsia" w:ascii="仿宋_GB2312" w:eastAsia="仿宋_GB2312"/>
          <w:sz w:val="32"/>
          <w:szCs w:val="32"/>
        </w:rPr>
        <w:t>安置军转干部28名，安置符合政府安排工作条件的退役士兵105名，高质量完成了安置任务。接收随调家属2人、随军家属8人。组织自主就业退役士兵技能培训386人、复学282人、报考高职扩招98人，举办各类招聘会11场、提供就业岗位1928个、签订意向协议265人</w:t>
      </w:r>
      <w:r>
        <w:rPr>
          <w:rFonts w:hint="eastAsia" w:ascii="仿宋_GB2312" w:eastAsia="仿宋_GB2312"/>
          <w:sz w:val="32"/>
          <w:szCs w:val="32"/>
          <w:lang w:eastAsia="zh-CN"/>
        </w:rPr>
        <w:t>。</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及时、足额发放优抚对象的生活补助、医疗等补助。</w:t>
      </w:r>
      <w:r>
        <w:rPr>
          <w:rFonts w:hint="eastAsia" w:ascii="仿宋_GB2312" w:eastAsia="仿宋_GB2312"/>
          <w:sz w:val="32"/>
          <w:szCs w:val="32"/>
          <w:lang w:val="en-US" w:eastAsia="zh-CN"/>
        </w:rPr>
        <w:t>2019年，市本级（南明山街道）对309名对象投入优抚对象补助经费162.35万元，医疗补助15.93万元，切实保障了优抚对象的基本生活，</w:t>
      </w:r>
      <w:r>
        <w:rPr>
          <w:rFonts w:hint="eastAsia" w:ascii="仿宋_GB2312" w:eastAsia="仿宋_GB2312"/>
          <w:sz w:val="32"/>
          <w:szCs w:val="32"/>
          <w:lang w:val="en-US" w:eastAsia="zh-CN"/>
        </w:rPr>
        <w:t>提高了优抚对象生活质量，使得优抚对象感受到了党和政府对其的关心、关怀，提高优抚对象的荣誉感，促进了经济发展和社会和谐。</w:t>
      </w:r>
    </w:p>
    <w:p>
      <w:pPr>
        <w:spacing w:line="600" w:lineRule="exact"/>
        <w:ind w:firstLine="640" w:firstLineChars="200"/>
        <w:rPr>
          <w:rFonts w:ascii="仿宋_GB2312" w:eastAsia="仿宋_GB2312"/>
          <w:b/>
          <w:color w:val="000000"/>
          <w:sz w:val="32"/>
          <w:szCs w:val="32"/>
        </w:rPr>
      </w:pPr>
      <w:r>
        <w:rPr>
          <w:rFonts w:hint="eastAsia" w:ascii="仿宋_GB2312" w:eastAsia="仿宋_GB2312"/>
          <w:sz w:val="32"/>
          <w:szCs w:val="32"/>
        </w:rPr>
        <w:t>成功获评“省级双拥模范城”，实现“四连冠”。</w:t>
      </w:r>
      <w:r>
        <w:rPr>
          <w:rFonts w:hint="eastAsia" w:ascii="仿宋_GB2312" w:eastAsia="仿宋_GB2312"/>
          <w:color w:val="000000"/>
          <w:sz w:val="32"/>
          <w:szCs w:val="32"/>
        </w:rPr>
        <w:t>四级服务体系联动开展“八一”建军节大走访，期间全市共召开座谈会735 场，参加人次达1.29 万，</w:t>
      </w:r>
      <w:r>
        <w:rPr>
          <w:rFonts w:hint="eastAsia" w:ascii="仿宋_GB2312" w:eastAsia="仿宋_GB2312"/>
          <w:sz w:val="32"/>
          <w:szCs w:val="32"/>
        </w:rPr>
        <w:t>上门走访 1.81 万户</w:t>
      </w:r>
      <w:r>
        <w:rPr>
          <w:rFonts w:hint="eastAsia" w:ascii="仿宋_GB2312" w:eastAsia="仿宋_GB2312"/>
          <w:color w:val="000000"/>
          <w:sz w:val="32"/>
          <w:szCs w:val="32"/>
        </w:rPr>
        <w:t>，慰问1.39 万人，送达慰问品和慰问金 257.78 万元，发送慰问信或短信微信7.33万条，开展先进代表事迹宣讲136场次。</w:t>
      </w:r>
    </w:p>
    <w:p>
      <w:pPr>
        <w:spacing w:line="600" w:lineRule="exact"/>
        <w:ind w:firstLine="480" w:firstLineChars="15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）探索创新，打造特色鲜明的工作亮点。</w:t>
      </w:r>
    </w:p>
    <w:p>
      <w:pPr>
        <w:spacing w:line="600" w:lineRule="exact"/>
        <w:ind w:firstLine="480" w:firstLineChars="150"/>
        <w:rPr>
          <w:rFonts w:hint="eastAsia" w:ascii="仿宋_GB2312" w:eastAsia="仿宋_GB2312"/>
          <w:color w:val="000000"/>
          <w:sz w:val="32"/>
          <w:szCs w:val="32"/>
        </w:rPr>
      </w:pPr>
      <w:r>
        <w:rPr>
          <w:rFonts w:hint="eastAsia" w:ascii="仿宋_GB2312" w:eastAsia="仿宋_GB2312"/>
          <w:color w:val="000000"/>
          <w:sz w:val="32"/>
          <w:szCs w:val="32"/>
        </w:rPr>
        <w:t>借助在丽水取景拍摄的电视剧《麦香》热播之际, 开展寻找丽水“麦香”活动，全市评出10名优秀“老兵”和10名“麦香”式优秀军烈属。缙云县退役军人丁泽林被评为“全国模范退役军人”“浙江省十大优秀退役军人”。同时，丁泽林与龙泉市吴子敬、庆元县吴凯斌、莲都区张冬军、云和县梅小平获评“浙江省首届最美退役军人”。信息采集、光荣牌悬挂和庆祝中华人民共和国成立70周年纪念章颁授等阶段性任务圆满完成。</w:t>
      </w:r>
    </w:p>
    <w:p>
      <w:pPr>
        <w:spacing w:line="600" w:lineRule="exact"/>
        <w:ind w:firstLine="480" w:firstLineChars="150"/>
        <w:rPr>
          <w:rFonts w:ascii="楷体" w:hAnsi="楷体" w:eastAsia="楷体"/>
          <w:b/>
          <w:sz w:val="32"/>
          <w:szCs w:val="32"/>
        </w:rPr>
      </w:pPr>
      <w:r>
        <w:rPr>
          <w:rFonts w:hint="eastAsia" w:ascii="楷体" w:hAnsi="楷体" w:eastAsia="楷体"/>
          <w:sz w:val="32"/>
          <w:szCs w:val="32"/>
        </w:rPr>
        <w:t>（</w:t>
      </w:r>
      <w:r>
        <w:rPr>
          <w:rFonts w:hint="eastAsia" w:ascii="楷体" w:hAnsi="楷体" w:eastAsia="楷体"/>
          <w:sz w:val="32"/>
          <w:szCs w:val="32"/>
          <w:lang w:eastAsia="zh-CN"/>
        </w:rPr>
        <w:t>三</w:t>
      </w:r>
      <w:r>
        <w:rPr>
          <w:rFonts w:hint="eastAsia" w:ascii="楷体" w:hAnsi="楷体" w:eastAsia="楷体"/>
          <w:sz w:val="32"/>
          <w:szCs w:val="32"/>
        </w:rPr>
        <w:t>）统筹全局，实现各项工作高质量开展。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深入实施“矛盾攻坚化解年”活动，全市排查退役军人矛盾问题46个，绝大部分得到有效化解。各级部门督办件27件全部办结，《浙江省统一政务咨询投诉举报平台》登记各类信访件45件，目前1件正在办理，其余全部办结。全年重点维稳时期未发生退役军人非法上京情况。</w:t>
      </w:r>
      <w:r>
        <w:rPr>
          <w:rFonts w:hint="eastAsia" w:ascii="仿宋_GB2312" w:hAnsi="Calibri" w:eastAsia="仿宋_GB2312" w:cs="Times New Roman"/>
          <w:sz w:val="32"/>
          <w:szCs w:val="32"/>
        </w:rPr>
        <w:t>梳理统计权力事项共72项</w:t>
      </w:r>
      <w:r>
        <w:rPr>
          <w:rFonts w:hint="eastAsia" w:ascii="仿宋_GB2312" w:eastAsia="仿宋_GB2312"/>
          <w:sz w:val="32"/>
          <w:szCs w:val="32"/>
        </w:rPr>
        <w:t>，明确“跑一次”事项25项。与邮储银行丽水市分行正式签订“拥军优抚”合作协议，为全市退役军人提供专享优质优惠的金融服务。</w:t>
      </w:r>
    </w:p>
    <w:p>
      <w:pPr>
        <w:spacing w:line="520" w:lineRule="exact"/>
        <w:ind w:firstLine="614" w:firstLineChars="192"/>
        <w:rPr>
          <w:rFonts w:hint="eastAsia" w:ascii="黑体" w:hAnsi="Times New Roman" w:eastAsia="黑体" w:cs="Times New Roman"/>
          <w:sz w:val="32"/>
          <w:szCs w:val="32"/>
        </w:rPr>
      </w:pPr>
      <w:r>
        <w:rPr>
          <w:rFonts w:hint="eastAsia" w:ascii="黑体" w:hAnsi="Times New Roman" w:eastAsia="黑体" w:cs="Times New Roman"/>
          <w:sz w:val="32"/>
          <w:szCs w:val="32"/>
        </w:rPr>
        <w:t>三、存在的问题及原因</w:t>
      </w:r>
    </w:p>
    <w:p>
      <w:pPr>
        <w:spacing w:line="520" w:lineRule="exact"/>
        <w:ind w:firstLine="614" w:firstLineChars="192"/>
        <w:rPr>
          <w:rFonts w:hint="eastAsia" w:ascii="黑体" w:hAnsi="Times New Roman" w:eastAsia="仿宋_GB2312" w:cs="Times New Roman"/>
          <w:sz w:val="32"/>
          <w:szCs w:val="32"/>
          <w:lang w:eastAsia="zh-CN"/>
        </w:rPr>
      </w:pPr>
      <w:r>
        <w:rPr>
          <w:rFonts w:hint="eastAsia" w:ascii="仿宋_GB2312" w:eastAsia="仿宋_GB2312"/>
          <w:sz w:val="32"/>
          <w:szCs w:val="32"/>
          <w:lang w:eastAsia="zh-CN"/>
        </w:rPr>
        <w:t>经认真分析，认为</w:t>
      </w:r>
      <w:r>
        <w:rPr>
          <w:rFonts w:hint="eastAsia" w:ascii="仿宋_GB2312" w:eastAsia="仿宋_GB2312"/>
          <w:sz w:val="32"/>
          <w:szCs w:val="32"/>
        </w:rPr>
        <w:t>当前影响本部门财政资金使用绩效的问题及原因</w:t>
      </w:r>
      <w:r>
        <w:rPr>
          <w:rFonts w:hint="eastAsia" w:ascii="仿宋_GB2312" w:eastAsia="仿宋_GB2312"/>
          <w:sz w:val="32"/>
          <w:szCs w:val="32"/>
          <w:lang w:eastAsia="zh-CN"/>
        </w:rPr>
        <w:t>有以下几点</w:t>
      </w:r>
    </w:p>
    <w:p>
      <w:pPr>
        <w:spacing w:line="520" w:lineRule="exact"/>
        <w:ind w:firstLine="614" w:firstLineChars="192"/>
        <w:rPr>
          <w:rFonts w:hint="eastAsia" w:ascii="仿宋_GB2312" w:hAnsi="Times New Roman" w:eastAsia="仿宋_GB2312" w:cs="Times New Roman"/>
          <w:sz w:val="32"/>
          <w:szCs w:val="32"/>
        </w:rPr>
      </w:pPr>
      <w:r>
        <w:rPr>
          <w:rFonts w:hint="eastAsia" w:ascii="黑体" w:hAnsi="Times New Roman" w:eastAsia="黑体" w:cs="Times New Roman"/>
          <w:sz w:val="32"/>
          <w:szCs w:val="32"/>
        </w:rPr>
        <w:t>（</w:t>
      </w:r>
      <w:r>
        <w:rPr>
          <w:rFonts w:hint="eastAsia" w:ascii="仿宋_GB2312" w:hAnsi="Times New Roman" w:eastAsia="仿宋_GB2312" w:cs="Times New Roman"/>
          <w:sz w:val="32"/>
          <w:szCs w:val="32"/>
        </w:rPr>
        <w:t>一）人员到岗不及时。</w:t>
      </w:r>
      <w:r>
        <w:rPr>
          <w:rFonts w:hint="eastAsia" w:ascii="仿宋_GB2312" w:eastAsia="仿宋_GB2312" w:cs="Times New Roman"/>
          <w:sz w:val="32"/>
          <w:szCs w:val="32"/>
          <w:lang w:eastAsia="zh-CN"/>
        </w:rPr>
        <w:t>本单位为</w:t>
      </w:r>
      <w:r>
        <w:rPr>
          <w:rFonts w:hint="eastAsia" w:ascii="仿宋_GB2312" w:eastAsia="仿宋_GB2312" w:cs="Times New Roman"/>
          <w:sz w:val="32"/>
          <w:szCs w:val="32"/>
          <w:lang w:val="en-US" w:eastAsia="zh-CN"/>
        </w:rPr>
        <w:t>2019年新成立的单位，成立之初人员配备不足，部分业务开展难度大，在一定程度上影响了财政资金的使用绩效</w:t>
      </w:r>
      <w:r>
        <w:rPr>
          <w:rFonts w:hint="eastAsia" w:ascii="仿宋_GB2312" w:hAnsi="Times New Roman" w:eastAsia="仿宋_GB2312" w:cs="Times New Roman"/>
          <w:sz w:val="32"/>
          <w:szCs w:val="32"/>
        </w:rPr>
        <w:t>。</w:t>
      </w:r>
      <w:r>
        <w:rPr>
          <w:rFonts w:hint="eastAsia" w:ascii="仿宋_GB2312" w:eastAsia="仿宋_GB2312" w:cs="Times New Roman"/>
          <w:sz w:val="32"/>
          <w:szCs w:val="32"/>
          <w:lang w:eastAsia="zh-CN"/>
        </w:rPr>
        <w:t>局机关核定编制</w:t>
      </w:r>
      <w:r>
        <w:rPr>
          <w:rFonts w:hint="eastAsia" w:ascii="仿宋_GB2312" w:eastAsia="仿宋_GB2312" w:cs="Times New Roman"/>
          <w:sz w:val="32"/>
          <w:szCs w:val="32"/>
          <w:lang w:val="en-US" w:eastAsia="zh-CN"/>
        </w:rPr>
        <w:t>9人，2019年9月人员配备到位；</w:t>
      </w:r>
      <w:r>
        <w:rPr>
          <w:rFonts w:hint="eastAsia" w:ascii="仿宋_GB2312" w:hAnsi="Times New Roman" w:eastAsia="仿宋_GB2312" w:cs="Times New Roman"/>
          <w:sz w:val="32"/>
          <w:szCs w:val="32"/>
        </w:rPr>
        <w:t>市本级服务中心核定编制7名，均未到岗。</w:t>
      </w:r>
    </w:p>
    <w:p>
      <w:pPr>
        <w:spacing w:line="520" w:lineRule="exact"/>
        <w:ind w:firstLine="614" w:firstLineChars="192"/>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（二）培训项目市场竞争活力不强。阶段开展的技能培训项目对退役士兵吸引力还不够大，与退役士兵所希望的从事高技术工作、搞管理、搞创业，实现高收入等需求，存在一定差距。</w:t>
      </w:r>
    </w:p>
    <w:p>
      <w:pPr>
        <w:spacing w:line="520" w:lineRule="exact"/>
        <w:ind w:firstLine="614" w:firstLineChars="192"/>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w:t>
      </w:r>
      <w:r>
        <w:rPr>
          <w:rFonts w:hint="eastAsia" w:ascii="仿宋_GB2312" w:eastAsia="仿宋_GB2312" w:cs="Times New Roman"/>
          <w:sz w:val="32"/>
          <w:szCs w:val="32"/>
          <w:lang w:eastAsia="zh-CN"/>
        </w:rPr>
        <w:t>新冠肺炎疫情的影响</w:t>
      </w:r>
      <w:r>
        <w:rPr>
          <w:rFonts w:hint="eastAsia" w:ascii="仿宋_GB2312" w:hAnsi="Times New Roman" w:eastAsia="仿宋_GB2312" w:cs="Times New Roman"/>
          <w:sz w:val="32"/>
          <w:szCs w:val="32"/>
        </w:rPr>
        <w:t>。由于</w:t>
      </w:r>
      <w:r>
        <w:rPr>
          <w:rFonts w:hint="eastAsia" w:ascii="仿宋_GB2312" w:eastAsia="仿宋_GB2312" w:cs="Times New Roman"/>
          <w:sz w:val="32"/>
          <w:szCs w:val="32"/>
          <w:lang w:eastAsia="zh-CN"/>
        </w:rPr>
        <w:t>新冠肺炎疫情的影响，军转干部、退役士兵的职业技能培训未能如期开展</w:t>
      </w:r>
      <w:r>
        <w:rPr>
          <w:rFonts w:hint="eastAsia" w:ascii="仿宋_GB2312" w:hAnsi="Times New Roman" w:eastAsia="仿宋_GB2312" w:cs="Times New Roman"/>
          <w:sz w:val="32"/>
          <w:szCs w:val="32"/>
        </w:rPr>
        <w:t>。</w:t>
      </w:r>
    </w:p>
    <w:p>
      <w:pPr>
        <w:spacing w:line="520" w:lineRule="exact"/>
        <w:ind w:firstLine="614" w:firstLineChars="192"/>
        <w:rPr>
          <w:rFonts w:hint="eastAsia" w:ascii="黑体" w:hAnsi="Times New Roman" w:eastAsia="黑体" w:cs="Times New Roman"/>
          <w:sz w:val="32"/>
          <w:szCs w:val="32"/>
        </w:rPr>
      </w:pPr>
      <w:r>
        <w:rPr>
          <w:rFonts w:hint="eastAsia" w:ascii="黑体" w:hAnsi="Times New Roman" w:eastAsia="黑体" w:cs="Times New Roman"/>
          <w:sz w:val="32"/>
          <w:szCs w:val="32"/>
        </w:rPr>
        <w:t>四、提高财政资金绩效的措施与建议</w:t>
      </w:r>
    </w:p>
    <w:p>
      <w:pPr>
        <w:spacing w:line="520" w:lineRule="exact"/>
        <w:ind w:firstLine="614" w:firstLineChars="192"/>
        <w:rPr>
          <w:rFonts w:hint="eastAsia" w:ascii="仿宋_GB2312" w:hAnsi="Times New Roman" w:eastAsia="仿宋_GB2312" w:cs="Times New Roman"/>
          <w:sz w:val="32"/>
          <w:szCs w:val="32"/>
        </w:rPr>
      </w:pPr>
      <w:r>
        <w:rPr>
          <w:rFonts w:hint="eastAsia" w:ascii="仿宋_GB2312" w:eastAsia="仿宋_GB2312" w:cs="Times New Roman"/>
          <w:sz w:val="32"/>
          <w:szCs w:val="32"/>
          <w:lang w:val="zh-CN"/>
        </w:rPr>
        <w:t>一</w:t>
      </w:r>
      <w:r>
        <w:rPr>
          <w:rFonts w:hint="eastAsia" w:ascii="仿宋_GB2312" w:hAnsi="Times New Roman" w:eastAsia="仿宋_GB2312" w:cs="Times New Roman"/>
          <w:sz w:val="32"/>
          <w:szCs w:val="32"/>
          <w:lang w:val="zh-CN"/>
        </w:rPr>
        <w:t>是做好移交安置工作。</w:t>
      </w:r>
      <w:r>
        <w:rPr>
          <w:rFonts w:hint="eastAsia" w:ascii="仿宋_GB2312" w:hAnsi="Times New Roman" w:eastAsia="仿宋_GB2312" w:cs="Times New Roman"/>
          <w:sz w:val="32"/>
          <w:szCs w:val="32"/>
        </w:rPr>
        <w:t>畅通安置渠道，建立专用岗位接收安置退役军人制度，探索军转干部“直通车”式安置办法，促进人岗相适、人事相宜。改进移交机制，完善移交程序；提高安置质量，加强安置保障，进一步优化安排工作、扶持自主就业、退休、供养等安置方式，</w:t>
      </w:r>
      <w:r>
        <w:rPr>
          <w:rFonts w:hint="eastAsia" w:ascii="仿宋_GB2312" w:eastAsia="仿宋_GB2312" w:cs="Times New Roman"/>
          <w:sz w:val="32"/>
          <w:szCs w:val="32"/>
          <w:lang w:eastAsia="zh-CN"/>
        </w:rPr>
        <w:t>深入研究退役士兵的保险接续工作，</w:t>
      </w:r>
      <w:r>
        <w:rPr>
          <w:rFonts w:hint="eastAsia" w:ascii="仿宋_GB2312" w:hAnsi="Times New Roman" w:eastAsia="仿宋_GB2312" w:cs="Times New Roman"/>
          <w:sz w:val="32"/>
          <w:szCs w:val="32"/>
        </w:rPr>
        <w:t>确保安置政策落实到位。</w:t>
      </w:r>
    </w:p>
    <w:p>
      <w:pPr>
        <w:spacing w:line="520" w:lineRule="exact"/>
        <w:ind w:firstLine="614" w:firstLineChars="192"/>
        <w:rPr>
          <w:rFonts w:hint="eastAsia" w:ascii="仿宋_GB2312" w:hAnsi="Times New Roman" w:eastAsia="仿宋_GB2312" w:cs="Times New Roman"/>
          <w:sz w:val="32"/>
          <w:szCs w:val="32"/>
        </w:rPr>
      </w:pPr>
      <w:r>
        <w:rPr>
          <w:rFonts w:hint="eastAsia" w:ascii="仿宋_GB2312" w:eastAsia="仿宋_GB2312" w:cs="Times New Roman"/>
          <w:sz w:val="32"/>
          <w:szCs w:val="32"/>
          <w:lang w:val="zh-CN"/>
        </w:rPr>
        <w:t>二</w:t>
      </w:r>
      <w:r>
        <w:rPr>
          <w:rFonts w:hint="eastAsia" w:ascii="仿宋_GB2312" w:hAnsi="Times New Roman" w:eastAsia="仿宋_GB2312" w:cs="Times New Roman"/>
          <w:sz w:val="32"/>
          <w:szCs w:val="32"/>
          <w:lang w:val="zh-CN"/>
        </w:rPr>
        <w:t>是大力扶持就业创业。</w:t>
      </w:r>
      <w:r>
        <w:rPr>
          <w:rFonts w:hint="eastAsia" w:ascii="仿宋_GB2312" w:eastAsia="仿宋_GB2312" w:cs="Times New Roman"/>
          <w:sz w:val="32"/>
          <w:szCs w:val="32"/>
          <w:lang w:val="zh-CN"/>
        </w:rPr>
        <w:t>积极克服疫情带来的困难，</w:t>
      </w:r>
      <w:r>
        <w:rPr>
          <w:rFonts w:hint="eastAsia" w:ascii="仿宋_GB2312" w:hAnsi="Times New Roman" w:eastAsia="仿宋_GB2312" w:cs="Times New Roman"/>
          <w:sz w:val="32"/>
          <w:szCs w:val="32"/>
        </w:rPr>
        <w:t>加强教育培训，以提高就业质量为导向，建立学历教育与职业技能培训并行并举的退役军人教育培训体系；拓宽就业渠道，研究制定退役军人优先就业岗位目录，建立退役军人就业信息平台，促进供需信息有效对接。积极扶持创业，在政策、资金、税收等方面加以扶持。</w:t>
      </w:r>
    </w:p>
    <w:p>
      <w:pPr>
        <w:spacing w:line="520" w:lineRule="exact"/>
        <w:ind w:firstLine="614" w:firstLineChars="192"/>
        <w:rPr>
          <w:rFonts w:hint="eastAsia" w:ascii="黑体" w:hAnsi="Times New Roman" w:eastAsia="黑体" w:cs="Times New Roman"/>
          <w:sz w:val="32"/>
          <w:szCs w:val="32"/>
        </w:rPr>
      </w:pPr>
      <w:r>
        <w:rPr>
          <w:rFonts w:hint="eastAsia" w:ascii="黑体" w:hAnsi="Times New Roman" w:eastAsia="黑体" w:cs="Times New Roman"/>
          <w:sz w:val="32"/>
          <w:szCs w:val="32"/>
        </w:rPr>
        <w:t>五、附件</w:t>
      </w:r>
    </w:p>
    <w:p>
      <w:pPr>
        <w:spacing w:line="520" w:lineRule="exact"/>
        <w:ind w:firstLine="614" w:firstLineChars="192"/>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市级部门整体支出绩效评价基本情况表。</w:t>
      </w:r>
    </w:p>
    <w:p>
      <w:pPr>
        <w:spacing w:line="440" w:lineRule="exact"/>
        <w:ind w:firstLine="617" w:firstLineChars="192"/>
        <w:jc w:val="center"/>
        <w:rPr>
          <w:rFonts w:ascii="仿宋_GB2312" w:eastAsia="仿宋_GB2312"/>
          <w:b/>
          <w:bCs/>
          <w:sz w:val="32"/>
          <w:szCs w:val="32"/>
        </w:rPr>
        <w:sectPr>
          <w:pgSz w:w="11906" w:h="16838"/>
          <w:pgMar w:top="1440" w:right="1797" w:bottom="1440" w:left="1797" w:header="851" w:footer="992" w:gutter="0"/>
          <w:cols w:space="720" w:num="1"/>
          <w:docGrid w:type="lines" w:linePitch="312" w:charSpace="0"/>
        </w:sectPr>
      </w:pPr>
    </w:p>
    <w:p>
      <w:pPr>
        <w:spacing w:line="440" w:lineRule="exact"/>
        <w:ind w:firstLine="694" w:firstLineChars="192"/>
        <w:jc w:val="center"/>
        <w:rPr>
          <w:rFonts w:hint="eastAsia" w:ascii="宋体" w:hAnsi="宋体" w:eastAsia="宋体" w:cs="Times New Roman"/>
          <w:b/>
          <w:bCs/>
          <w:sz w:val="36"/>
          <w:szCs w:val="36"/>
        </w:rPr>
      </w:pPr>
      <w:r>
        <w:rPr>
          <w:rFonts w:hint="eastAsia" w:ascii="宋体" w:hAnsi="宋体" w:eastAsia="宋体" w:cs="Times New Roman"/>
          <w:b/>
          <w:bCs/>
          <w:sz w:val="36"/>
          <w:szCs w:val="36"/>
        </w:rPr>
        <w:t>市级部门整体支出绩效评价基本情况表</w:t>
      </w:r>
    </w:p>
    <w:p>
      <w:pPr>
        <w:spacing w:line="440" w:lineRule="exact"/>
        <w:ind w:firstLine="403" w:firstLineChars="192"/>
        <w:jc w:val="center"/>
        <w:rPr>
          <w:rFonts w:hint="eastAsia" w:ascii="Times New Roman" w:hAnsi="Times New Roman" w:eastAsia="宋体" w:cs="Times New Roman"/>
        </w:rPr>
      </w:pPr>
      <w:r>
        <w:rPr>
          <w:rFonts w:hint="eastAsia" w:ascii="Times New Roman" w:hAnsi="Times New Roman" w:eastAsia="宋体" w:cs="Times New Roman"/>
        </w:rPr>
        <w:t xml:space="preserve">（   </w:t>
      </w:r>
      <w:r>
        <w:rPr>
          <w:rFonts w:hint="eastAsia" w:cs="Times New Roman"/>
          <w:lang w:val="en-US" w:eastAsia="zh-CN"/>
        </w:rPr>
        <w:t>2019</w:t>
      </w:r>
      <w:r>
        <w:rPr>
          <w:rFonts w:hint="eastAsia" w:ascii="Times New Roman" w:hAnsi="Times New Roman" w:eastAsia="宋体" w:cs="Times New Roman"/>
        </w:rPr>
        <w:t xml:space="preserve"> 年度）</w:t>
      </w:r>
    </w:p>
    <w:p>
      <w:pPr>
        <w:spacing w:line="440" w:lineRule="exact"/>
        <w:ind w:firstLine="403" w:firstLineChars="192"/>
        <w:jc w:val="left"/>
        <w:rPr>
          <w:rFonts w:hint="eastAsia" w:ascii="Times New Roman" w:hAnsi="Times New Roman" w:eastAsia="宋体" w:cs="Times New Roman"/>
        </w:rPr>
      </w:pPr>
      <w:r>
        <w:rPr>
          <w:rFonts w:hint="eastAsia" w:ascii="Times New Roman" w:hAnsi="Times New Roman" w:eastAsia="宋体" w:cs="Times New Roman"/>
        </w:rPr>
        <w:t>填报单位（盖章）：</w:t>
      </w:r>
    </w:p>
    <w:tbl>
      <w:tblPr>
        <w:tblStyle w:val="3"/>
        <w:tblW w:w="1441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525"/>
        <w:gridCol w:w="2270"/>
        <w:gridCol w:w="1885"/>
        <w:gridCol w:w="360"/>
        <w:gridCol w:w="2865"/>
        <w:gridCol w:w="2355"/>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35" w:type="dxa"/>
            <w:noWrap w:val="0"/>
            <w:vAlign w:val="center"/>
          </w:tcPr>
          <w:p>
            <w:pPr>
              <w:widowControl/>
              <w:jc w:val="center"/>
              <w:rPr>
                <w:rFonts w:ascii="黑体" w:hAnsi="宋体" w:eastAsia="黑体" w:cs="宋体"/>
                <w:b/>
                <w:bCs/>
                <w:kern w:val="0"/>
                <w:sz w:val="24"/>
              </w:rPr>
            </w:pPr>
            <w:r>
              <w:rPr>
                <w:rFonts w:hint="eastAsia" w:ascii="黑体" w:hAnsi="宋体" w:eastAsia="黑体" w:cs="宋体"/>
                <w:b/>
                <w:bCs/>
                <w:kern w:val="0"/>
                <w:sz w:val="24"/>
              </w:rPr>
              <w:t>评价联系人</w:t>
            </w:r>
          </w:p>
        </w:tc>
        <w:tc>
          <w:tcPr>
            <w:tcW w:w="4680" w:type="dxa"/>
            <w:gridSpan w:val="3"/>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雷芳</w:t>
            </w:r>
          </w:p>
        </w:tc>
        <w:tc>
          <w:tcPr>
            <w:tcW w:w="3225" w:type="dxa"/>
            <w:gridSpan w:val="2"/>
            <w:noWrap w:val="0"/>
            <w:vAlign w:val="center"/>
          </w:tcPr>
          <w:p>
            <w:pPr>
              <w:widowControl/>
              <w:jc w:val="center"/>
              <w:rPr>
                <w:rFonts w:ascii="黑体" w:hAnsi="宋体" w:eastAsia="黑体" w:cs="宋体"/>
                <w:b/>
                <w:bCs/>
                <w:kern w:val="0"/>
                <w:sz w:val="24"/>
              </w:rPr>
            </w:pPr>
            <w:r>
              <w:rPr>
                <w:rFonts w:hint="eastAsia" w:ascii="黑体" w:hAnsi="宋体" w:eastAsia="黑体" w:cs="宋体"/>
                <w:b/>
                <w:bCs/>
                <w:kern w:val="0"/>
                <w:sz w:val="24"/>
              </w:rPr>
              <w:t xml:space="preserve"> 联系电话及手机</w:t>
            </w:r>
          </w:p>
        </w:tc>
        <w:tc>
          <w:tcPr>
            <w:tcW w:w="4875" w:type="dxa"/>
            <w:gridSpan w:val="2"/>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2263973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635" w:type="dxa"/>
            <w:noWrap w:val="0"/>
            <w:vAlign w:val="center"/>
          </w:tcPr>
          <w:p>
            <w:pPr>
              <w:widowControl/>
              <w:jc w:val="center"/>
              <w:rPr>
                <w:rFonts w:ascii="黑体" w:hAnsi="宋体" w:eastAsia="黑体" w:cs="宋体"/>
                <w:b/>
                <w:bCs/>
                <w:kern w:val="0"/>
                <w:sz w:val="24"/>
              </w:rPr>
            </w:pPr>
            <w:r>
              <w:rPr>
                <w:rFonts w:hint="eastAsia" w:ascii="黑体" w:hAnsi="宋体" w:eastAsia="黑体" w:cs="宋体"/>
                <w:b/>
                <w:bCs/>
                <w:kern w:val="0"/>
                <w:sz w:val="24"/>
              </w:rPr>
              <w:t>人员编制数</w:t>
            </w:r>
          </w:p>
        </w:tc>
        <w:tc>
          <w:tcPr>
            <w:tcW w:w="4680" w:type="dxa"/>
            <w:gridSpan w:val="3"/>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9</w:t>
            </w:r>
          </w:p>
        </w:tc>
        <w:tc>
          <w:tcPr>
            <w:tcW w:w="3225" w:type="dxa"/>
            <w:gridSpan w:val="2"/>
            <w:noWrap w:val="0"/>
            <w:vAlign w:val="center"/>
          </w:tcPr>
          <w:p>
            <w:pPr>
              <w:widowControl/>
              <w:jc w:val="center"/>
              <w:rPr>
                <w:rFonts w:ascii="黑体" w:hAnsi="宋体" w:eastAsia="黑体" w:cs="宋体"/>
                <w:b/>
                <w:bCs/>
                <w:kern w:val="0"/>
                <w:sz w:val="24"/>
              </w:rPr>
            </w:pPr>
            <w:r>
              <w:rPr>
                <w:rFonts w:hint="eastAsia" w:ascii="黑体" w:hAnsi="宋体" w:eastAsia="黑体" w:cs="宋体"/>
                <w:b/>
                <w:bCs/>
                <w:kern w:val="0"/>
                <w:sz w:val="24"/>
              </w:rPr>
              <w:t xml:space="preserve"> 实有人数</w:t>
            </w:r>
          </w:p>
        </w:tc>
        <w:tc>
          <w:tcPr>
            <w:tcW w:w="4875" w:type="dxa"/>
            <w:gridSpan w:val="2"/>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1635" w:type="dxa"/>
            <w:noWrap w:val="0"/>
            <w:vAlign w:val="center"/>
          </w:tcPr>
          <w:p>
            <w:pPr>
              <w:widowControl/>
              <w:jc w:val="center"/>
              <w:rPr>
                <w:rFonts w:ascii="黑体" w:hAnsi="宋体" w:eastAsia="黑体" w:cs="宋体"/>
                <w:b/>
                <w:bCs/>
                <w:kern w:val="0"/>
                <w:sz w:val="24"/>
              </w:rPr>
            </w:pPr>
            <w:r>
              <w:rPr>
                <w:rFonts w:hint="eastAsia" w:ascii="黑体" w:hAnsi="宋体" w:eastAsia="黑体" w:cs="宋体"/>
                <w:b/>
                <w:bCs/>
                <w:kern w:val="0"/>
                <w:sz w:val="24"/>
              </w:rPr>
              <w:t>单位职能</w:t>
            </w:r>
          </w:p>
        </w:tc>
        <w:tc>
          <w:tcPr>
            <w:tcW w:w="12780" w:type="dxa"/>
            <w:gridSpan w:val="7"/>
            <w:noWrap w:val="0"/>
            <w:vAlign w:val="center"/>
          </w:tcPr>
          <w:p>
            <w:pPr>
              <w:widowControl/>
              <w:jc w:val="left"/>
              <w:rPr>
                <w:rFonts w:hint="eastAsia" w:ascii="宋体" w:hAnsi="宋体" w:eastAsia="宋体" w:cs="宋体"/>
                <w:kern w:val="0"/>
                <w:sz w:val="24"/>
                <w:lang w:eastAsia="zh-CN"/>
              </w:rPr>
            </w:pPr>
            <w:r>
              <w:rPr>
                <w:rFonts w:hint="eastAsia" w:ascii="宋体" w:hAnsi="宋体" w:eastAsia="宋体" w:cs="宋体"/>
                <w:kern w:val="0"/>
                <w:sz w:val="24"/>
              </w:rPr>
              <w:t xml:space="preserve"> </w:t>
            </w:r>
            <w:r>
              <w:rPr>
                <w:rFonts w:hint="eastAsia" w:ascii="宋体" w:hAnsi="宋体" w:cs="宋体"/>
                <w:kern w:val="0"/>
                <w:sz w:val="24"/>
                <w:lang w:eastAsia="zh-CN"/>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415" w:type="dxa"/>
            <w:gridSpan w:val="8"/>
            <w:noWrap w:val="0"/>
            <w:vAlign w:val="center"/>
          </w:tcPr>
          <w:p>
            <w:pPr>
              <w:widowControl/>
              <w:jc w:val="center"/>
              <w:rPr>
                <w:rFonts w:ascii="黑体" w:hAnsi="宋体" w:eastAsia="黑体" w:cs="宋体"/>
                <w:b/>
                <w:bCs/>
                <w:kern w:val="0"/>
                <w:sz w:val="24"/>
              </w:rPr>
            </w:pPr>
            <w:r>
              <w:rPr>
                <w:rFonts w:hint="eastAsia" w:ascii="黑体" w:hAnsi="宋体" w:eastAsia="黑体" w:cs="宋体"/>
                <w:b/>
                <w:bCs/>
                <w:kern w:val="0"/>
                <w:sz w:val="24"/>
              </w:rPr>
              <w:t>单位年度实际收入（万元）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160" w:type="dxa"/>
            <w:gridSpan w:val="2"/>
            <w:vMerge w:val="restart"/>
            <w:noWrap w:val="0"/>
            <w:vAlign w:val="center"/>
          </w:tcPr>
          <w:p>
            <w:pPr>
              <w:widowControl/>
              <w:jc w:val="center"/>
              <w:rPr>
                <w:rFonts w:ascii="黑体" w:hAnsi="宋体" w:eastAsia="黑体" w:cs="宋体"/>
                <w:kern w:val="0"/>
                <w:sz w:val="24"/>
              </w:rPr>
            </w:pPr>
            <w:r>
              <w:rPr>
                <w:rFonts w:hint="eastAsia" w:ascii="黑体" w:hAnsi="宋体" w:eastAsia="黑体" w:cs="宋体"/>
                <w:kern w:val="0"/>
                <w:sz w:val="24"/>
              </w:rPr>
              <w:t>收入合计</w:t>
            </w:r>
          </w:p>
        </w:tc>
        <w:tc>
          <w:tcPr>
            <w:tcW w:w="12255" w:type="dxa"/>
            <w:gridSpan w:val="6"/>
            <w:noWrap w:val="0"/>
            <w:vAlign w:val="center"/>
          </w:tcPr>
          <w:p>
            <w:pPr>
              <w:widowControl/>
              <w:jc w:val="left"/>
              <w:rPr>
                <w:rFonts w:ascii="黑体" w:hAnsi="宋体" w:eastAsia="黑体" w:cs="宋体"/>
                <w:kern w:val="0"/>
                <w:sz w:val="24"/>
              </w:rPr>
            </w:pPr>
            <w:r>
              <w:rPr>
                <w:rFonts w:hint="eastAsia" w:ascii="黑体" w:hAnsi="宋体" w:eastAsia="黑体" w:cs="宋体"/>
                <w:kern w:val="0"/>
                <w:sz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160" w:type="dxa"/>
            <w:gridSpan w:val="2"/>
            <w:vMerge w:val="continue"/>
            <w:noWrap w:val="0"/>
            <w:vAlign w:val="center"/>
          </w:tcPr>
          <w:p>
            <w:pPr>
              <w:widowControl/>
              <w:jc w:val="left"/>
              <w:rPr>
                <w:rFonts w:ascii="黑体" w:hAnsi="宋体" w:eastAsia="黑体" w:cs="宋体"/>
                <w:kern w:val="0"/>
                <w:sz w:val="24"/>
              </w:rPr>
            </w:pPr>
          </w:p>
        </w:tc>
        <w:tc>
          <w:tcPr>
            <w:tcW w:w="2270" w:type="dxa"/>
            <w:noWrap w:val="0"/>
            <w:vAlign w:val="center"/>
          </w:tcPr>
          <w:p>
            <w:pPr>
              <w:widowControl/>
              <w:jc w:val="center"/>
              <w:rPr>
                <w:rFonts w:ascii="黑体" w:hAnsi="宋体" w:eastAsia="黑体" w:cs="宋体"/>
                <w:kern w:val="0"/>
                <w:sz w:val="24"/>
              </w:rPr>
            </w:pPr>
            <w:r>
              <w:rPr>
                <w:rFonts w:hint="eastAsia" w:ascii="黑体" w:hAnsi="宋体" w:eastAsia="黑体" w:cs="宋体"/>
                <w:kern w:val="0"/>
                <w:sz w:val="24"/>
              </w:rPr>
              <w:t>上年结转结余</w:t>
            </w:r>
          </w:p>
        </w:tc>
        <w:tc>
          <w:tcPr>
            <w:tcW w:w="2245" w:type="dxa"/>
            <w:gridSpan w:val="2"/>
            <w:noWrap w:val="0"/>
            <w:vAlign w:val="center"/>
          </w:tcPr>
          <w:p>
            <w:pPr>
              <w:widowControl/>
              <w:jc w:val="center"/>
              <w:rPr>
                <w:rFonts w:ascii="黑体" w:hAnsi="宋体" w:eastAsia="黑体" w:cs="宋体"/>
                <w:kern w:val="0"/>
                <w:sz w:val="24"/>
              </w:rPr>
            </w:pPr>
            <w:r>
              <w:rPr>
                <w:rFonts w:hint="eastAsia" w:ascii="黑体" w:hAnsi="宋体" w:eastAsia="黑体" w:cs="宋体"/>
                <w:kern w:val="0"/>
                <w:sz w:val="24"/>
              </w:rPr>
              <w:t>财政拨款收入</w:t>
            </w:r>
          </w:p>
        </w:tc>
        <w:tc>
          <w:tcPr>
            <w:tcW w:w="2865" w:type="dxa"/>
            <w:noWrap w:val="0"/>
            <w:vAlign w:val="center"/>
          </w:tcPr>
          <w:p>
            <w:pPr>
              <w:widowControl/>
              <w:jc w:val="center"/>
              <w:rPr>
                <w:rFonts w:hint="eastAsia" w:ascii="黑体" w:hAnsi="宋体" w:eastAsia="黑体" w:cs="宋体"/>
                <w:kern w:val="0"/>
                <w:sz w:val="24"/>
              </w:rPr>
            </w:pPr>
            <w:r>
              <w:rPr>
                <w:rFonts w:hint="eastAsia" w:ascii="黑体" w:hAnsi="宋体" w:eastAsia="黑体" w:cs="宋体"/>
                <w:kern w:val="0"/>
                <w:sz w:val="24"/>
              </w:rPr>
              <w:t>上级补助收入</w:t>
            </w:r>
          </w:p>
        </w:tc>
        <w:tc>
          <w:tcPr>
            <w:tcW w:w="2355" w:type="dxa"/>
            <w:noWrap w:val="0"/>
            <w:vAlign w:val="center"/>
          </w:tcPr>
          <w:p>
            <w:pPr>
              <w:widowControl/>
              <w:jc w:val="center"/>
              <w:rPr>
                <w:rFonts w:ascii="黑体" w:hAnsi="宋体" w:eastAsia="黑体" w:cs="宋体"/>
                <w:kern w:val="0"/>
                <w:sz w:val="24"/>
              </w:rPr>
            </w:pPr>
            <w:r>
              <w:rPr>
                <w:rFonts w:hint="eastAsia" w:ascii="黑体" w:hAnsi="宋体" w:eastAsia="黑体" w:cs="宋体"/>
                <w:kern w:val="0"/>
                <w:sz w:val="24"/>
              </w:rPr>
              <w:t>事业收入</w:t>
            </w:r>
          </w:p>
        </w:tc>
        <w:tc>
          <w:tcPr>
            <w:tcW w:w="2520" w:type="dxa"/>
            <w:noWrap w:val="0"/>
            <w:vAlign w:val="center"/>
          </w:tcPr>
          <w:p>
            <w:pPr>
              <w:widowControl/>
              <w:jc w:val="center"/>
              <w:rPr>
                <w:rFonts w:ascii="黑体" w:hAnsi="宋体" w:eastAsia="黑体" w:cs="宋体"/>
                <w:kern w:val="0"/>
                <w:sz w:val="24"/>
              </w:rPr>
            </w:pPr>
            <w:r>
              <w:rPr>
                <w:rFonts w:hint="eastAsia" w:ascii="黑体" w:hAnsi="宋体" w:eastAsia="黑体" w:cs="宋体"/>
                <w:kern w:val="0"/>
                <w:sz w:val="24"/>
              </w:rPr>
              <w:t>经营收入及其他收入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160" w:type="dxa"/>
            <w:gridSpan w:val="2"/>
            <w:noWrap w:val="0"/>
            <w:vAlign w:val="center"/>
          </w:tcPr>
          <w:p>
            <w:pPr>
              <w:widowControl/>
              <w:jc w:val="left"/>
              <w:rPr>
                <w:rFonts w:hint="default" w:ascii="黑体" w:hAnsi="宋体" w:eastAsia="黑体" w:cs="宋体"/>
                <w:kern w:val="0"/>
                <w:sz w:val="24"/>
                <w:lang w:val="en-US" w:eastAsia="zh-CN"/>
              </w:rPr>
            </w:pPr>
            <w:r>
              <w:rPr>
                <w:rFonts w:hint="eastAsia" w:ascii="黑体" w:hAnsi="宋体" w:eastAsia="黑体" w:cs="宋体"/>
                <w:kern w:val="0"/>
                <w:sz w:val="24"/>
                <w:lang w:val="en-US" w:eastAsia="zh-CN"/>
              </w:rPr>
              <w:t>780.43</w:t>
            </w:r>
          </w:p>
        </w:tc>
        <w:tc>
          <w:tcPr>
            <w:tcW w:w="2270" w:type="dxa"/>
            <w:noWrap w:val="0"/>
            <w:vAlign w:val="center"/>
          </w:tcPr>
          <w:p>
            <w:pPr>
              <w:widowControl/>
              <w:jc w:val="left"/>
              <w:rPr>
                <w:rFonts w:hint="default" w:ascii="黑体" w:hAnsi="宋体" w:eastAsia="黑体" w:cs="宋体"/>
                <w:kern w:val="0"/>
                <w:sz w:val="24"/>
                <w:lang w:val="en-US" w:eastAsia="zh-CN"/>
              </w:rPr>
            </w:pPr>
            <w:r>
              <w:rPr>
                <w:rFonts w:hint="eastAsia" w:ascii="黑体" w:hAnsi="宋体" w:eastAsia="黑体" w:cs="宋体"/>
                <w:kern w:val="0"/>
                <w:sz w:val="24"/>
                <w:lang w:val="en-US" w:eastAsia="zh-CN"/>
              </w:rPr>
              <w:t>37.26</w:t>
            </w:r>
          </w:p>
        </w:tc>
        <w:tc>
          <w:tcPr>
            <w:tcW w:w="2245" w:type="dxa"/>
            <w:gridSpan w:val="2"/>
            <w:noWrap w:val="0"/>
            <w:vAlign w:val="center"/>
          </w:tcPr>
          <w:p>
            <w:pPr>
              <w:widowControl/>
              <w:jc w:val="left"/>
              <w:rPr>
                <w:rFonts w:hint="default" w:ascii="黑体" w:hAnsi="宋体" w:eastAsia="黑体" w:cs="宋体"/>
                <w:kern w:val="0"/>
                <w:sz w:val="24"/>
                <w:lang w:val="en-US" w:eastAsia="zh-CN"/>
              </w:rPr>
            </w:pPr>
            <w:r>
              <w:rPr>
                <w:rFonts w:hint="eastAsia" w:ascii="黑体" w:hAnsi="宋体" w:eastAsia="黑体" w:cs="宋体"/>
                <w:kern w:val="0"/>
                <w:sz w:val="24"/>
                <w:lang w:val="en-US" w:eastAsia="zh-CN"/>
              </w:rPr>
              <w:t>743.17</w:t>
            </w:r>
          </w:p>
        </w:tc>
        <w:tc>
          <w:tcPr>
            <w:tcW w:w="2865" w:type="dxa"/>
            <w:noWrap w:val="0"/>
            <w:vAlign w:val="center"/>
          </w:tcPr>
          <w:p>
            <w:pPr>
              <w:widowControl/>
              <w:jc w:val="left"/>
              <w:rPr>
                <w:rFonts w:hint="eastAsia" w:ascii="黑体" w:hAnsi="宋体" w:eastAsia="黑体" w:cs="宋体"/>
                <w:kern w:val="0"/>
                <w:sz w:val="24"/>
                <w:lang w:val="en-US" w:eastAsia="zh-CN"/>
              </w:rPr>
            </w:pPr>
            <w:r>
              <w:rPr>
                <w:rFonts w:hint="eastAsia" w:ascii="黑体" w:hAnsi="宋体" w:eastAsia="黑体" w:cs="宋体"/>
                <w:kern w:val="0"/>
                <w:sz w:val="24"/>
                <w:lang w:val="en-US" w:eastAsia="zh-CN"/>
              </w:rPr>
              <w:t>0</w:t>
            </w:r>
          </w:p>
        </w:tc>
        <w:tc>
          <w:tcPr>
            <w:tcW w:w="2355" w:type="dxa"/>
            <w:noWrap w:val="0"/>
            <w:vAlign w:val="center"/>
          </w:tcPr>
          <w:p>
            <w:pPr>
              <w:widowControl/>
              <w:jc w:val="left"/>
              <w:rPr>
                <w:rFonts w:hint="eastAsia" w:ascii="黑体" w:hAnsi="宋体" w:eastAsia="黑体" w:cs="宋体"/>
                <w:kern w:val="0"/>
                <w:sz w:val="24"/>
                <w:lang w:val="en-US" w:eastAsia="zh-CN"/>
              </w:rPr>
            </w:pPr>
            <w:r>
              <w:rPr>
                <w:rFonts w:hint="eastAsia" w:ascii="黑体" w:hAnsi="宋体" w:eastAsia="黑体" w:cs="宋体"/>
                <w:kern w:val="0"/>
                <w:sz w:val="24"/>
                <w:lang w:val="en-US" w:eastAsia="zh-CN"/>
              </w:rPr>
              <w:t>0</w:t>
            </w:r>
          </w:p>
        </w:tc>
        <w:tc>
          <w:tcPr>
            <w:tcW w:w="2520" w:type="dxa"/>
            <w:noWrap w:val="0"/>
            <w:vAlign w:val="center"/>
          </w:tcPr>
          <w:p>
            <w:pPr>
              <w:widowControl/>
              <w:jc w:val="left"/>
              <w:rPr>
                <w:rFonts w:hint="eastAsia" w:ascii="黑体" w:hAnsi="宋体" w:eastAsia="黑体" w:cs="宋体"/>
                <w:kern w:val="0"/>
                <w:sz w:val="24"/>
                <w:lang w:val="en-US" w:eastAsia="zh-CN"/>
              </w:rPr>
            </w:pPr>
            <w:r>
              <w:rPr>
                <w:rFonts w:hint="eastAsia" w:ascii="黑体" w:hAnsi="宋体" w:eastAsia="黑体" w:cs="宋体"/>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4415" w:type="dxa"/>
            <w:gridSpan w:val="8"/>
            <w:noWrap w:val="0"/>
            <w:vAlign w:val="center"/>
          </w:tcPr>
          <w:p>
            <w:pPr>
              <w:widowControl/>
              <w:jc w:val="center"/>
              <w:rPr>
                <w:rFonts w:ascii="黑体" w:hAnsi="宋体" w:eastAsia="黑体" w:cs="宋体"/>
                <w:b/>
                <w:bCs/>
                <w:kern w:val="0"/>
                <w:sz w:val="24"/>
              </w:rPr>
            </w:pPr>
            <w:r>
              <w:rPr>
                <w:rFonts w:hint="eastAsia" w:ascii="黑体" w:hAnsi="宋体" w:eastAsia="黑体" w:cs="宋体"/>
                <w:b/>
                <w:bCs/>
                <w:kern w:val="0"/>
                <w:sz w:val="24"/>
              </w:rPr>
              <w:t>单位年度实际支出（万元）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60" w:type="dxa"/>
            <w:gridSpan w:val="2"/>
            <w:vMerge w:val="restart"/>
            <w:noWrap w:val="0"/>
            <w:vAlign w:val="center"/>
          </w:tcPr>
          <w:p>
            <w:pPr>
              <w:widowControl/>
              <w:jc w:val="left"/>
              <w:rPr>
                <w:rFonts w:ascii="黑体" w:hAnsi="宋体" w:eastAsia="黑体" w:cs="宋体"/>
                <w:kern w:val="0"/>
                <w:sz w:val="24"/>
              </w:rPr>
            </w:pPr>
            <w:r>
              <w:rPr>
                <w:rFonts w:hint="eastAsia" w:ascii="黑体" w:hAnsi="宋体" w:eastAsia="黑体" w:cs="宋体"/>
                <w:kern w:val="0"/>
                <w:sz w:val="24"/>
              </w:rPr>
              <w:t xml:space="preserve">  支出合计</w:t>
            </w:r>
          </w:p>
        </w:tc>
        <w:tc>
          <w:tcPr>
            <w:tcW w:w="12255" w:type="dxa"/>
            <w:gridSpan w:val="6"/>
            <w:noWrap w:val="0"/>
            <w:vAlign w:val="center"/>
          </w:tcPr>
          <w:p>
            <w:pPr>
              <w:widowControl/>
              <w:jc w:val="left"/>
              <w:rPr>
                <w:rFonts w:ascii="黑体" w:hAnsi="宋体" w:eastAsia="黑体" w:cs="宋体"/>
                <w:kern w:val="0"/>
                <w:sz w:val="24"/>
              </w:rPr>
            </w:pPr>
            <w:r>
              <w:rPr>
                <w:rFonts w:hint="eastAsia" w:ascii="黑体" w:hAnsi="宋体" w:eastAsia="黑体" w:cs="宋体"/>
                <w:kern w:val="0"/>
                <w:sz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60" w:type="dxa"/>
            <w:gridSpan w:val="2"/>
            <w:vMerge w:val="continue"/>
            <w:noWrap w:val="0"/>
            <w:vAlign w:val="center"/>
          </w:tcPr>
          <w:p>
            <w:pPr>
              <w:widowControl/>
              <w:jc w:val="left"/>
              <w:rPr>
                <w:rFonts w:ascii="黑体" w:hAnsi="宋体" w:eastAsia="黑体" w:cs="宋体"/>
                <w:kern w:val="0"/>
                <w:sz w:val="24"/>
              </w:rPr>
            </w:pPr>
          </w:p>
        </w:tc>
        <w:tc>
          <w:tcPr>
            <w:tcW w:w="2270" w:type="dxa"/>
            <w:vMerge w:val="restart"/>
            <w:noWrap w:val="0"/>
            <w:vAlign w:val="center"/>
          </w:tcPr>
          <w:p>
            <w:pPr>
              <w:widowControl/>
              <w:jc w:val="center"/>
              <w:rPr>
                <w:rFonts w:ascii="黑体" w:hAnsi="宋体" w:eastAsia="黑体" w:cs="宋体"/>
                <w:kern w:val="0"/>
                <w:sz w:val="24"/>
              </w:rPr>
            </w:pPr>
            <w:r>
              <w:rPr>
                <w:rFonts w:hint="eastAsia" w:ascii="黑体" w:hAnsi="宋体" w:eastAsia="黑体" w:cs="宋体"/>
                <w:kern w:val="0"/>
                <w:sz w:val="24"/>
              </w:rPr>
              <w:t>基本支出</w:t>
            </w:r>
          </w:p>
        </w:tc>
        <w:tc>
          <w:tcPr>
            <w:tcW w:w="5110" w:type="dxa"/>
            <w:gridSpan w:val="3"/>
            <w:noWrap w:val="0"/>
            <w:vAlign w:val="center"/>
          </w:tcPr>
          <w:p>
            <w:pPr>
              <w:widowControl/>
              <w:jc w:val="left"/>
              <w:rPr>
                <w:rFonts w:ascii="黑体" w:hAnsi="宋体" w:eastAsia="黑体" w:cs="宋体"/>
                <w:kern w:val="0"/>
                <w:sz w:val="24"/>
              </w:rPr>
            </w:pPr>
            <w:r>
              <w:rPr>
                <w:rFonts w:hint="eastAsia" w:ascii="黑体" w:hAnsi="宋体" w:eastAsia="黑体" w:cs="宋体"/>
                <w:kern w:val="0"/>
                <w:sz w:val="24"/>
              </w:rPr>
              <w:t>其中:</w:t>
            </w:r>
          </w:p>
        </w:tc>
        <w:tc>
          <w:tcPr>
            <w:tcW w:w="2355" w:type="dxa"/>
            <w:vMerge w:val="restart"/>
            <w:noWrap w:val="0"/>
            <w:vAlign w:val="center"/>
          </w:tcPr>
          <w:p>
            <w:pPr>
              <w:widowControl/>
              <w:jc w:val="center"/>
              <w:rPr>
                <w:rFonts w:ascii="黑体" w:hAnsi="宋体" w:eastAsia="黑体" w:cs="宋体"/>
                <w:kern w:val="0"/>
                <w:sz w:val="24"/>
              </w:rPr>
            </w:pPr>
            <w:r>
              <w:rPr>
                <w:rFonts w:hint="eastAsia" w:ascii="黑体" w:hAnsi="宋体" w:eastAsia="黑体" w:cs="宋体"/>
                <w:kern w:val="0"/>
                <w:sz w:val="24"/>
              </w:rPr>
              <w:t>项目支出</w:t>
            </w:r>
          </w:p>
        </w:tc>
        <w:tc>
          <w:tcPr>
            <w:tcW w:w="2520" w:type="dxa"/>
            <w:vMerge w:val="restart"/>
            <w:noWrap w:val="0"/>
            <w:vAlign w:val="center"/>
          </w:tcPr>
          <w:p>
            <w:pPr>
              <w:widowControl/>
              <w:jc w:val="center"/>
              <w:rPr>
                <w:rFonts w:ascii="黑体" w:hAnsi="宋体" w:eastAsia="黑体" w:cs="宋体"/>
                <w:kern w:val="0"/>
                <w:sz w:val="24"/>
              </w:rPr>
            </w:pPr>
            <w:r>
              <w:rPr>
                <w:rFonts w:hint="eastAsia" w:ascii="黑体" w:hAnsi="宋体" w:eastAsia="黑体" w:cs="宋体"/>
                <w:kern w:val="0"/>
                <w:sz w:val="24"/>
              </w:rPr>
              <w:t>经营支出及其他支出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160" w:type="dxa"/>
            <w:gridSpan w:val="2"/>
            <w:vMerge w:val="continue"/>
            <w:noWrap w:val="0"/>
            <w:vAlign w:val="center"/>
          </w:tcPr>
          <w:p>
            <w:pPr>
              <w:widowControl/>
              <w:jc w:val="left"/>
              <w:rPr>
                <w:rFonts w:ascii="黑体" w:hAnsi="宋体" w:eastAsia="黑体" w:cs="宋体"/>
                <w:kern w:val="0"/>
                <w:sz w:val="24"/>
              </w:rPr>
            </w:pPr>
          </w:p>
        </w:tc>
        <w:tc>
          <w:tcPr>
            <w:tcW w:w="2270" w:type="dxa"/>
            <w:vMerge w:val="continue"/>
            <w:noWrap w:val="0"/>
            <w:vAlign w:val="center"/>
          </w:tcPr>
          <w:p>
            <w:pPr>
              <w:widowControl/>
              <w:jc w:val="left"/>
              <w:rPr>
                <w:rFonts w:ascii="黑体" w:hAnsi="宋体" w:eastAsia="黑体" w:cs="宋体"/>
                <w:kern w:val="0"/>
                <w:sz w:val="24"/>
              </w:rPr>
            </w:pPr>
          </w:p>
        </w:tc>
        <w:tc>
          <w:tcPr>
            <w:tcW w:w="2245" w:type="dxa"/>
            <w:gridSpan w:val="2"/>
            <w:noWrap w:val="0"/>
            <w:vAlign w:val="center"/>
          </w:tcPr>
          <w:p>
            <w:pPr>
              <w:widowControl/>
              <w:jc w:val="center"/>
              <w:rPr>
                <w:rFonts w:ascii="黑体" w:hAnsi="宋体" w:eastAsia="黑体" w:cs="宋体"/>
                <w:kern w:val="0"/>
                <w:sz w:val="24"/>
              </w:rPr>
            </w:pPr>
            <w:r>
              <w:rPr>
                <w:rFonts w:hint="eastAsia" w:ascii="黑体" w:hAnsi="宋体" w:eastAsia="黑体" w:cs="宋体"/>
                <w:kern w:val="0"/>
                <w:sz w:val="24"/>
              </w:rPr>
              <w:t>人员支出</w:t>
            </w:r>
          </w:p>
        </w:tc>
        <w:tc>
          <w:tcPr>
            <w:tcW w:w="2865" w:type="dxa"/>
            <w:noWrap w:val="0"/>
            <w:vAlign w:val="center"/>
          </w:tcPr>
          <w:p>
            <w:pPr>
              <w:widowControl/>
              <w:jc w:val="left"/>
              <w:rPr>
                <w:rFonts w:ascii="黑体" w:hAnsi="宋体" w:eastAsia="黑体" w:cs="宋体"/>
                <w:kern w:val="0"/>
                <w:sz w:val="24"/>
              </w:rPr>
            </w:pPr>
            <w:r>
              <w:rPr>
                <w:rFonts w:hint="eastAsia" w:ascii="黑体" w:hAnsi="宋体" w:eastAsia="黑体" w:cs="宋体"/>
                <w:kern w:val="0"/>
                <w:sz w:val="24"/>
              </w:rPr>
              <w:t>日常公用支出</w:t>
            </w:r>
          </w:p>
        </w:tc>
        <w:tc>
          <w:tcPr>
            <w:tcW w:w="2355" w:type="dxa"/>
            <w:vMerge w:val="continue"/>
            <w:noWrap w:val="0"/>
            <w:vAlign w:val="center"/>
          </w:tcPr>
          <w:p>
            <w:pPr>
              <w:widowControl/>
              <w:jc w:val="left"/>
              <w:rPr>
                <w:rFonts w:ascii="黑体" w:hAnsi="宋体" w:eastAsia="黑体" w:cs="宋体"/>
                <w:kern w:val="0"/>
                <w:sz w:val="24"/>
              </w:rPr>
            </w:pPr>
          </w:p>
        </w:tc>
        <w:tc>
          <w:tcPr>
            <w:tcW w:w="2520" w:type="dxa"/>
            <w:vMerge w:val="continue"/>
            <w:noWrap w:val="0"/>
            <w:vAlign w:val="center"/>
          </w:tcPr>
          <w:p>
            <w:pPr>
              <w:widowControl/>
              <w:jc w:val="left"/>
              <w:rPr>
                <w:rFonts w:ascii="黑体" w:hAnsi="宋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60" w:type="dxa"/>
            <w:gridSpan w:val="2"/>
            <w:noWrap w:val="0"/>
            <w:vAlign w:val="center"/>
          </w:tcPr>
          <w:p>
            <w:pPr>
              <w:widowControl/>
              <w:jc w:val="left"/>
              <w:rPr>
                <w:rFonts w:hint="default" w:ascii="黑体" w:hAnsi="宋体" w:eastAsia="黑体" w:cs="宋体"/>
                <w:kern w:val="0"/>
                <w:sz w:val="24"/>
                <w:lang w:val="en-US" w:eastAsia="zh-CN"/>
              </w:rPr>
            </w:pPr>
            <w:r>
              <w:rPr>
                <w:rFonts w:hint="eastAsia" w:ascii="黑体" w:hAnsi="宋体" w:eastAsia="黑体" w:cs="宋体"/>
                <w:kern w:val="0"/>
                <w:sz w:val="24"/>
                <w:lang w:val="en-US" w:eastAsia="zh-CN"/>
              </w:rPr>
              <w:t>706.69</w:t>
            </w:r>
          </w:p>
        </w:tc>
        <w:tc>
          <w:tcPr>
            <w:tcW w:w="2270" w:type="dxa"/>
            <w:noWrap w:val="0"/>
            <w:vAlign w:val="center"/>
          </w:tcPr>
          <w:p>
            <w:pPr>
              <w:widowControl/>
              <w:jc w:val="left"/>
              <w:rPr>
                <w:rFonts w:hint="default" w:ascii="黑体" w:hAnsi="宋体" w:eastAsia="黑体" w:cs="宋体"/>
                <w:kern w:val="0"/>
                <w:sz w:val="24"/>
                <w:lang w:val="en-US" w:eastAsia="zh-CN"/>
              </w:rPr>
            </w:pPr>
            <w:r>
              <w:rPr>
                <w:rFonts w:hint="eastAsia" w:ascii="黑体" w:hAnsi="宋体" w:eastAsia="黑体" w:cs="宋体"/>
                <w:kern w:val="0"/>
                <w:sz w:val="24"/>
                <w:lang w:val="en-US" w:eastAsia="zh-CN"/>
              </w:rPr>
              <w:t>123.94</w:t>
            </w:r>
          </w:p>
        </w:tc>
        <w:tc>
          <w:tcPr>
            <w:tcW w:w="2245" w:type="dxa"/>
            <w:gridSpan w:val="2"/>
            <w:noWrap w:val="0"/>
            <w:vAlign w:val="center"/>
          </w:tcPr>
          <w:p>
            <w:pPr>
              <w:widowControl/>
              <w:jc w:val="left"/>
              <w:rPr>
                <w:rFonts w:hint="default" w:ascii="黑体" w:hAnsi="宋体" w:eastAsia="黑体" w:cs="宋体"/>
                <w:kern w:val="0"/>
                <w:sz w:val="24"/>
                <w:lang w:val="en-US" w:eastAsia="zh-CN"/>
              </w:rPr>
            </w:pPr>
            <w:r>
              <w:rPr>
                <w:rFonts w:hint="eastAsia" w:ascii="黑体" w:hAnsi="宋体" w:eastAsia="黑体" w:cs="宋体"/>
                <w:kern w:val="0"/>
                <w:sz w:val="24"/>
                <w:lang w:val="en-US" w:eastAsia="zh-CN"/>
              </w:rPr>
              <w:t>105.54</w:t>
            </w:r>
          </w:p>
        </w:tc>
        <w:tc>
          <w:tcPr>
            <w:tcW w:w="2865" w:type="dxa"/>
            <w:noWrap w:val="0"/>
            <w:vAlign w:val="center"/>
          </w:tcPr>
          <w:p>
            <w:pPr>
              <w:widowControl/>
              <w:jc w:val="left"/>
              <w:rPr>
                <w:rFonts w:hint="default" w:ascii="黑体" w:hAnsi="宋体" w:eastAsia="黑体" w:cs="宋体"/>
                <w:kern w:val="0"/>
                <w:sz w:val="24"/>
                <w:lang w:val="en-US" w:eastAsia="zh-CN"/>
              </w:rPr>
            </w:pPr>
            <w:r>
              <w:rPr>
                <w:rFonts w:hint="eastAsia" w:ascii="黑体" w:hAnsi="宋体" w:eastAsia="黑体" w:cs="宋体"/>
                <w:kern w:val="0"/>
                <w:sz w:val="24"/>
                <w:lang w:val="en-US" w:eastAsia="zh-CN"/>
              </w:rPr>
              <w:t>18.4</w:t>
            </w:r>
          </w:p>
        </w:tc>
        <w:tc>
          <w:tcPr>
            <w:tcW w:w="2355" w:type="dxa"/>
            <w:noWrap w:val="0"/>
            <w:vAlign w:val="center"/>
          </w:tcPr>
          <w:p>
            <w:pPr>
              <w:widowControl/>
              <w:jc w:val="left"/>
              <w:rPr>
                <w:rFonts w:hint="default" w:ascii="黑体" w:hAnsi="宋体" w:eastAsia="黑体" w:cs="宋体"/>
                <w:kern w:val="0"/>
                <w:sz w:val="24"/>
                <w:lang w:val="en-US" w:eastAsia="zh-CN"/>
              </w:rPr>
            </w:pPr>
            <w:r>
              <w:rPr>
                <w:rFonts w:hint="eastAsia" w:ascii="黑体" w:hAnsi="宋体" w:eastAsia="黑体" w:cs="宋体"/>
                <w:kern w:val="0"/>
                <w:sz w:val="24"/>
                <w:lang w:val="en-US" w:eastAsia="zh-CN"/>
              </w:rPr>
              <w:t>582.75</w:t>
            </w:r>
          </w:p>
        </w:tc>
        <w:tc>
          <w:tcPr>
            <w:tcW w:w="2520" w:type="dxa"/>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4415" w:type="dxa"/>
            <w:gridSpan w:val="8"/>
            <w:noWrap w:val="0"/>
            <w:vAlign w:val="center"/>
          </w:tcPr>
          <w:p>
            <w:pPr>
              <w:widowControl/>
              <w:jc w:val="center"/>
              <w:rPr>
                <w:rFonts w:hint="eastAsia" w:ascii="宋体" w:hAnsi="宋体" w:eastAsia="宋体" w:cs="宋体"/>
                <w:kern w:val="0"/>
                <w:sz w:val="24"/>
              </w:rPr>
            </w:pPr>
            <w:r>
              <w:rPr>
                <w:rFonts w:hint="eastAsia" w:ascii="黑体" w:hAnsi="宋体" w:eastAsia="黑体" w:cs="宋体"/>
                <w:b/>
                <w:bCs/>
                <w:kern w:val="0"/>
                <w:sz w:val="24"/>
              </w:rPr>
              <w:t>年度绩效状况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1635" w:type="dxa"/>
            <w:noWrap w:val="0"/>
            <w:vAlign w:val="center"/>
          </w:tcPr>
          <w:p>
            <w:pPr>
              <w:widowControl/>
              <w:jc w:val="center"/>
              <w:rPr>
                <w:rFonts w:ascii="黑体" w:hAnsi="宋体" w:eastAsia="黑体" w:cs="宋体"/>
                <w:b/>
                <w:bCs/>
                <w:kern w:val="0"/>
                <w:sz w:val="24"/>
              </w:rPr>
            </w:pPr>
            <w:r>
              <w:rPr>
                <w:rFonts w:hint="eastAsia" w:ascii="黑体" w:hAnsi="宋体" w:eastAsia="黑体" w:cs="宋体"/>
                <w:b/>
                <w:bCs/>
                <w:kern w:val="0"/>
                <w:sz w:val="24"/>
              </w:rPr>
              <w:t>单位</w:t>
            </w:r>
            <w:r>
              <w:rPr>
                <w:rFonts w:hint="eastAsia" w:ascii="黑体" w:hAnsi="黑体" w:eastAsia="黑体" w:cs="黑体"/>
                <w:b/>
                <w:bCs/>
                <w:sz w:val="24"/>
              </w:rPr>
              <w:t>年度财政支出整体绩效目标总体描述</w:t>
            </w:r>
          </w:p>
        </w:tc>
        <w:tc>
          <w:tcPr>
            <w:tcW w:w="12780" w:type="dxa"/>
            <w:gridSpan w:val="7"/>
            <w:noWrap w:val="0"/>
            <w:vAlign w:val="center"/>
          </w:tcPr>
          <w:p>
            <w:pPr>
              <w:widowControl/>
              <w:jc w:val="left"/>
              <w:rPr>
                <w:rFonts w:hint="eastAsia" w:ascii="宋体" w:hAnsi="宋体" w:eastAsia="宋体" w:cs="宋体"/>
                <w:kern w:val="0"/>
                <w:sz w:val="24"/>
                <w:lang w:eastAsia="zh-CN"/>
              </w:rPr>
            </w:pPr>
            <w:r>
              <w:rPr>
                <w:rFonts w:hint="eastAsia" w:ascii="宋体" w:hAnsi="宋体" w:eastAsia="宋体" w:cs="宋体"/>
                <w:kern w:val="0"/>
                <w:sz w:val="24"/>
              </w:rPr>
              <w:t xml:space="preserve">    完成转业干部、退役士官的</w:t>
            </w:r>
            <w:r>
              <w:rPr>
                <w:rFonts w:hint="eastAsia" w:ascii="宋体" w:hAnsi="宋体" w:cs="宋体"/>
                <w:kern w:val="0"/>
                <w:sz w:val="24"/>
                <w:lang w:eastAsia="zh-CN"/>
              </w:rPr>
              <w:t>安置</w:t>
            </w:r>
            <w:r>
              <w:rPr>
                <w:rFonts w:hint="eastAsia" w:ascii="宋体" w:hAnsi="宋体" w:eastAsia="宋体" w:cs="宋体"/>
                <w:kern w:val="0"/>
                <w:sz w:val="24"/>
              </w:rPr>
              <w:t>工作，全面开展保险</w:t>
            </w:r>
            <w:r>
              <w:rPr>
                <w:rFonts w:hint="eastAsia" w:ascii="宋体" w:hAnsi="宋体" w:cs="宋体"/>
                <w:kern w:val="0"/>
                <w:sz w:val="24"/>
                <w:lang w:eastAsia="zh-CN"/>
              </w:rPr>
              <w:t>接续</w:t>
            </w:r>
            <w:r>
              <w:rPr>
                <w:rFonts w:hint="eastAsia" w:ascii="宋体" w:hAnsi="宋体" w:eastAsia="宋体" w:cs="宋体"/>
                <w:kern w:val="0"/>
                <w:sz w:val="24"/>
              </w:rPr>
              <w:t>工作，共审核符合条件断保人数3423名，除去无补缴意愿394名，系统录入3029名，总进度达到100%。成功获评“省级双拥模范城”，实现“四连冠”。四级服务体系联动开展“八一”建军节大走访，期间全市共召开座谈会735 场，参加人次达1.29 万，上门走访 1.81 万户，慰问1.39 万人，送达慰问品和慰问金 257.78 万元，发送慰问信或短信微信7.33万条，开展先进代表事迹宣讲136场次</w:t>
            </w:r>
            <w:r>
              <w:rPr>
                <w:rFonts w:hint="eastAsia" w:ascii="宋体" w:hAnsi="宋体" w:cs="宋体"/>
                <w:kern w:val="0"/>
                <w:sz w:val="24"/>
                <w:lang w:eastAsia="zh-CN"/>
              </w:rPr>
              <w:t>，及时发放优抚对象的生活补助和医疗补助，为优抚对象的生活提供保障。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635" w:type="dxa"/>
            <w:noWrap w:val="0"/>
            <w:vAlign w:val="center"/>
          </w:tcPr>
          <w:p>
            <w:pPr>
              <w:widowControl/>
              <w:jc w:val="center"/>
              <w:rPr>
                <w:rFonts w:hint="eastAsia" w:ascii="黑体" w:hAnsi="宋体" w:eastAsia="黑体" w:cs="宋体"/>
                <w:b/>
                <w:bCs/>
                <w:kern w:val="0"/>
                <w:sz w:val="24"/>
              </w:rPr>
            </w:pPr>
            <w:r>
              <w:rPr>
                <w:rFonts w:hint="eastAsia" w:ascii="黑体" w:hAnsi="宋体" w:eastAsia="黑体" w:cs="宋体"/>
                <w:b/>
                <w:bCs/>
                <w:kern w:val="0"/>
                <w:sz w:val="24"/>
              </w:rPr>
              <w:t>目标设置和年度财政收支的主要依据及说明</w:t>
            </w:r>
          </w:p>
        </w:tc>
        <w:tc>
          <w:tcPr>
            <w:tcW w:w="12780" w:type="dxa"/>
            <w:gridSpan w:val="7"/>
            <w:noWrap w:val="0"/>
            <w:vAlign w:val="center"/>
          </w:tcPr>
          <w:p>
            <w:pPr>
              <w:widowControl/>
              <w:jc w:val="left"/>
              <w:rPr>
                <w:rFonts w:hint="eastAsia" w:ascii="宋体" w:hAnsi="宋体" w:eastAsia="宋体" w:cs="宋体"/>
                <w:kern w:val="0"/>
                <w:sz w:val="24"/>
              </w:rPr>
            </w:pPr>
            <w:r>
              <w:rPr>
                <w:rFonts w:hint="eastAsia" w:ascii="仿宋_GB2312" w:hAnsi="仿宋_GB2312" w:eastAsia="仿宋_GB2312" w:cs="Times New Roman"/>
                <w:sz w:val="24"/>
                <w:szCs w:val="30"/>
                <w:lang w:eastAsia="zh-CN"/>
              </w:rPr>
              <w:t>《</w:t>
            </w:r>
            <w:r>
              <w:rPr>
                <w:rFonts w:hint="eastAsia" w:ascii="仿宋_GB2312" w:hAnsi="仿宋_GB2312" w:eastAsia="仿宋_GB2312" w:cs="Times New Roman"/>
                <w:sz w:val="24"/>
                <w:szCs w:val="30"/>
              </w:rPr>
              <w:t>军人优待抚恤条例》、《民政部、财政部关于给部分烈士子女发放定期生活补助的通知》（民发〔2012〕27号）、《关于落实部分农村籍退役士兵发放老年生活补助政策措施的通知》（民办发[2011]11号）、《浙江省人民政府关于加强退役士兵职业技能教育培训工作的意见》（浙政发〔2010〕36号）、《退役士兵安置条例》、《全国双拥工作领导小组关于印发&lt;双拥模范城（县）创建命名管理办法&gt;和&lt;全国双拥模范城（县）考评标准&gt;的通知》（国拥〔2015〕5号）等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635" w:type="dxa"/>
            <w:vMerge w:val="restart"/>
            <w:noWrap w:val="0"/>
            <w:vAlign w:val="center"/>
          </w:tcPr>
          <w:p>
            <w:pPr>
              <w:widowControl/>
              <w:jc w:val="center"/>
              <w:rPr>
                <w:rFonts w:ascii="黑体" w:hAnsi="宋体" w:eastAsia="黑体" w:cs="宋体"/>
                <w:b/>
                <w:bCs/>
                <w:kern w:val="0"/>
                <w:sz w:val="24"/>
              </w:rPr>
            </w:pPr>
            <w:r>
              <w:rPr>
                <w:rFonts w:hint="eastAsia" w:ascii="黑体" w:hAnsi="宋体" w:eastAsia="黑体" w:cs="宋体"/>
                <w:b/>
                <w:bCs/>
                <w:kern w:val="0"/>
                <w:sz w:val="24"/>
              </w:rPr>
              <w:t>本年度提供的公共产品或服务</w:t>
            </w:r>
          </w:p>
        </w:tc>
        <w:tc>
          <w:tcPr>
            <w:tcW w:w="2795" w:type="dxa"/>
            <w:gridSpan w:val="2"/>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服务名称</w:t>
            </w:r>
          </w:p>
        </w:tc>
        <w:tc>
          <w:tcPr>
            <w:tcW w:w="5110" w:type="dxa"/>
            <w:gridSpan w:val="3"/>
            <w:noWrap w:val="0"/>
            <w:vAlign w:val="center"/>
          </w:tcPr>
          <w:p>
            <w:pPr>
              <w:widowControl/>
              <w:jc w:val="center"/>
              <w:rPr>
                <w:rFonts w:ascii="宋体" w:hAnsi="宋体" w:eastAsia="宋体" w:cs="宋体"/>
                <w:kern w:val="0"/>
                <w:sz w:val="24"/>
              </w:rPr>
            </w:pPr>
            <w:r>
              <w:rPr>
                <w:rFonts w:hint="eastAsia" w:ascii="宋体" w:hAnsi="宋体" w:eastAsia="宋体" w:cs="宋体"/>
                <w:kern w:val="0"/>
                <w:sz w:val="24"/>
              </w:rPr>
              <w:t>计  划</w:t>
            </w:r>
          </w:p>
        </w:tc>
        <w:tc>
          <w:tcPr>
            <w:tcW w:w="4875" w:type="dxa"/>
            <w:gridSpan w:val="2"/>
            <w:noWrap w:val="0"/>
            <w:vAlign w:val="center"/>
          </w:tcPr>
          <w:p>
            <w:pPr>
              <w:widowControl/>
              <w:jc w:val="center"/>
              <w:rPr>
                <w:rFonts w:ascii="宋体" w:hAnsi="宋体" w:eastAsia="宋体" w:cs="宋体"/>
                <w:kern w:val="0"/>
                <w:sz w:val="24"/>
              </w:rPr>
            </w:pPr>
            <w:r>
              <w:rPr>
                <w:rFonts w:hint="eastAsia" w:ascii="宋体" w:hAnsi="宋体" w:eastAsia="宋体" w:cs="宋体"/>
                <w:kern w:val="0"/>
                <w:sz w:val="24"/>
              </w:rPr>
              <w:t>实  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635" w:type="dxa"/>
            <w:vMerge w:val="continue"/>
            <w:noWrap w:val="0"/>
            <w:vAlign w:val="center"/>
          </w:tcPr>
          <w:p>
            <w:pPr>
              <w:widowControl/>
              <w:jc w:val="left"/>
              <w:rPr>
                <w:rFonts w:ascii="黑体" w:hAnsi="宋体" w:eastAsia="黑体" w:cs="宋体"/>
                <w:b/>
                <w:bCs/>
                <w:kern w:val="0"/>
                <w:sz w:val="24"/>
              </w:rPr>
            </w:pPr>
          </w:p>
        </w:tc>
        <w:tc>
          <w:tcPr>
            <w:tcW w:w="2795" w:type="dxa"/>
            <w:gridSpan w:val="2"/>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退役士兵职业技能培训</w:t>
            </w:r>
          </w:p>
        </w:tc>
        <w:tc>
          <w:tcPr>
            <w:tcW w:w="5110" w:type="dxa"/>
            <w:gridSpan w:val="3"/>
            <w:noWrap w:val="0"/>
            <w:vAlign w:val="top"/>
          </w:tcPr>
          <w:p>
            <w:pPr>
              <w:widowControl/>
              <w:jc w:val="left"/>
              <w:rPr>
                <w:rFonts w:ascii="宋体" w:hAnsi="宋体" w:eastAsia="宋体" w:cs="宋体"/>
                <w:kern w:val="0"/>
                <w:szCs w:val="21"/>
              </w:rPr>
            </w:pPr>
            <w:r>
              <w:rPr>
                <w:rFonts w:hint="eastAsia" w:ascii="宋体" w:hAnsi="宋体" w:eastAsia="宋体" w:cs="宋体"/>
                <w:kern w:val="0"/>
                <w:szCs w:val="21"/>
              </w:rPr>
              <w:t>深入开展退役士兵教育培训，提升退役士兵就业技能，增强退役士兵在市场竞争中的竞争力，为退役士兵就业创业提供支持帮助</w:t>
            </w:r>
          </w:p>
        </w:tc>
        <w:tc>
          <w:tcPr>
            <w:tcW w:w="4875" w:type="dxa"/>
            <w:gridSpan w:val="2"/>
            <w:noWrap w:val="0"/>
            <w:vAlign w:val="top"/>
          </w:tcPr>
          <w:p>
            <w:pPr>
              <w:widowControl/>
              <w:jc w:val="left"/>
              <w:rPr>
                <w:rFonts w:ascii="宋体" w:hAnsi="宋体" w:eastAsia="宋体" w:cs="宋体"/>
                <w:kern w:val="0"/>
                <w:szCs w:val="21"/>
              </w:rPr>
            </w:pPr>
            <w:r>
              <w:rPr>
                <w:rFonts w:hint="eastAsia" w:ascii="宋体" w:hAnsi="宋体" w:eastAsia="宋体" w:cs="宋体"/>
                <w:kern w:val="0"/>
                <w:szCs w:val="21"/>
              </w:rPr>
              <w:t>组织自主就业退役士兵技能培训386人、复学282人、报考高职扩招98人，举办各类招聘会11场、提供就业岗位1928个、签订意向协议265人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635" w:type="dxa"/>
            <w:vMerge w:val="continue"/>
            <w:noWrap w:val="0"/>
            <w:vAlign w:val="center"/>
          </w:tcPr>
          <w:p>
            <w:pPr>
              <w:widowControl/>
              <w:jc w:val="left"/>
              <w:rPr>
                <w:rFonts w:ascii="黑体" w:hAnsi="宋体" w:eastAsia="黑体" w:cs="宋体"/>
                <w:b/>
                <w:bCs/>
                <w:kern w:val="0"/>
                <w:sz w:val="24"/>
              </w:rPr>
            </w:pPr>
          </w:p>
        </w:tc>
        <w:tc>
          <w:tcPr>
            <w:tcW w:w="2795" w:type="dxa"/>
            <w:gridSpan w:val="2"/>
            <w:noWrap w:val="0"/>
            <w:vAlign w:val="center"/>
          </w:tcPr>
          <w:p>
            <w:pPr>
              <w:widowControl/>
              <w:jc w:val="center"/>
              <w:rPr>
                <w:rFonts w:ascii="宋体" w:hAnsi="宋体" w:eastAsia="宋体" w:cs="宋体"/>
                <w:kern w:val="0"/>
                <w:sz w:val="24"/>
              </w:rPr>
            </w:pPr>
          </w:p>
        </w:tc>
        <w:tc>
          <w:tcPr>
            <w:tcW w:w="5110" w:type="dxa"/>
            <w:gridSpan w:val="3"/>
            <w:noWrap w:val="0"/>
            <w:vAlign w:val="top"/>
          </w:tcPr>
          <w:p>
            <w:pPr>
              <w:widowControl/>
              <w:jc w:val="left"/>
              <w:rPr>
                <w:rFonts w:ascii="宋体" w:hAnsi="宋体" w:eastAsia="宋体" w:cs="宋体"/>
                <w:kern w:val="0"/>
                <w:sz w:val="24"/>
              </w:rPr>
            </w:pPr>
          </w:p>
        </w:tc>
        <w:tc>
          <w:tcPr>
            <w:tcW w:w="4875" w:type="dxa"/>
            <w:gridSpan w:val="2"/>
            <w:noWrap w:val="0"/>
            <w:vAlign w:val="top"/>
          </w:tcPr>
          <w:p>
            <w:pPr>
              <w:widowControl/>
              <w:jc w:val="left"/>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635" w:type="dxa"/>
            <w:vMerge w:val="continue"/>
            <w:noWrap w:val="0"/>
            <w:vAlign w:val="center"/>
          </w:tcPr>
          <w:p>
            <w:pPr>
              <w:widowControl/>
              <w:jc w:val="left"/>
              <w:rPr>
                <w:rFonts w:ascii="黑体" w:hAnsi="宋体" w:eastAsia="黑体" w:cs="宋体"/>
                <w:b/>
                <w:bCs/>
                <w:kern w:val="0"/>
                <w:sz w:val="24"/>
              </w:rPr>
            </w:pPr>
          </w:p>
        </w:tc>
        <w:tc>
          <w:tcPr>
            <w:tcW w:w="2795" w:type="dxa"/>
            <w:gridSpan w:val="2"/>
            <w:noWrap w:val="0"/>
            <w:vAlign w:val="center"/>
          </w:tcPr>
          <w:p>
            <w:pPr>
              <w:widowControl/>
              <w:jc w:val="center"/>
              <w:rPr>
                <w:rFonts w:ascii="宋体" w:hAnsi="宋体" w:eastAsia="宋体" w:cs="宋体"/>
                <w:kern w:val="0"/>
                <w:sz w:val="24"/>
              </w:rPr>
            </w:pPr>
          </w:p>
        </w:tc>
        <w:tc>
          <w:tcPr>
            <w:tcW w:w="5110" w:type="dxa"/>
            <w:gridSpan w:val="3"/>
            <w:noWrap w:val="0"/>
            <w:vAlign w:val="center"/>
          </w:tcPr>
          <w:p>
            <w:pPr>
              <w:widowControl/>
              <w:jc w:val="center"/>
              <w:rPr>
                <w:rFonts w:ascii="宋体" w:hAnsi="宋体" w:eastAsia="宋体" w:cs="宋体"/>
                <w:kern w:val="0"/>
                <w:sz w:val="24"/>
              </w:rPr>
            </w:pPr>
          </w:p>
        </w:tc>
        <w:tc>
          <w:tcPr>
            <w:tcW w:w="4875" w:type="dxa"/>
            <w:gridSpan w:val="2"/>
            <w:noWrap w:val="0"/>
            <w:vAlign w:val="center"/>
          </w:tcPr>
          <w:p>
            <w:pPr>
              <w:widowControl/>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635" w:type="dxa"/>
            <w:vMerge w:val="restart"/>
            <w:noWrap w:val="0"/>
            <w:vAlign w:val="center"/>
          </w:tcPr>
          <w:p>
            <w:pPr>
              <w:widowControl/>
              <w:jc w:val="center"/>
              <w:rPr>
                <w:rFonts w:hint="eastAsia" w:ascii="黑体" w:hAnsi="宋体" w:eastAsia="黑体" w:cs="宋体"/>
                <w:b/>
                <w:bCs/>
                <w:kern w:val="0"/>
                <w:sz w:val="24"/>
              </w:rPr>
            </w:pPr>
            <w:r>
              <w:rPr>
                <w:rFonts w:hint="eastAsia" w:ascii="黑体" w:hAnsi="宋体" w:eastAsia="黑体" w:cs="宋体"/>
                <w:b/>
                <w:bCs/>
                <w:kern w:val="0"/>
                <w:sz w:val="24"/>
              </w:rPr>
              <w:t>本年度取得的实际效益</w:t>
            </w:r>
          </w:p>
        </w:tc>
        <w:tc>
          <w:tcPr>
            <w:tcW w:w="2795" w:type="dxa"/>
            <w:gridSpan w:val="2"/>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效益名称</w:t>
            </w:r>
          </w:p>
        </w:tc>
        <w:tc>
          <w:tcPr>
            <w:tcW w:w="5110" w:type="dxa"/>
            <w:gridSpan w:val="3"/>
            <w:noWrap w:val="0"/>
            <w:vAlign w:val="center"/>
          </w:tcPr>
          <w:p>
            <w:pPr>
              <w:widowControl/>
              <w:jc w:val="center"/>
              <w:rPr>
                <w:rFonts w:ascii="宋体" w:hAnsi="宋体" w:eastAsia="宋体" w:cs="宋体"/>
                <w:kern w:val="0"/>
                <w:sz w:val="24"/>
              </w:rPr>
            </w:pPr>
            <w:r>
              <w:rPr>
                <w:rFonts w:hint="eastAsia" w:ascii="宋体" w:hAnsi="宋体" w:eastAsia="宋体" w:cs="宋体"/>
                <w:kern w:val="0"/>
                <w:sz w:val="24"/>
              </w:rPr>
              <w:t>计  划</w:t>
            </w:r>
          </w:p>
        </w:tc>
        <w:tc>
          <w:tcPr>
            <w:tcW w:w="4875" w:type="dxa"/>
            <w:gridSpan w:val="2"/>
            <w:noWrap w:val="0"/>
            <w:vAlign w:val="center"/>
          </w:tcPr>
          <w:p>
            <w:pPr>
              <w:widowControl/>
              <w:jc w:val="center"/>
              <w:rPr>
                <w:rFonts w:ascii="宋体" w:hAnsi="宋体" w:eastAsia="宋体" w:cs="宋体"/>
                <w:kern w:val="0"/>
                <w:sz w:val="24"/>
              </w:rPr>
            </w:pPr>
            <w:r>
              <w:rPr>
                <w:rFonts w:hint="eastAsia" w:ascii="宋体" w:hAnsi="宋体" w:eastAsia="宋体" w:cs="宋体"/>
                <w:kern w:val="0"/>
                <w:sz w:val="24"/>
              </w:rPr>
              <w:t>实  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635" w:type="dxa"/>
            <w:vMerge w:val="continue"/>
            <w:noWrap w:val="0"/>
            <w:vAlign w:val="center"/>
          </w:tcPr>
          <w:p>
            <w:pPr>
              <w:widowControl/>
              <w:jc w:val="left"/>
              <w:rPr>
                <w:rFonts w:ascii="黑体" w:hAnsi="宋体" w:eastAsia="黑体" w:cs="宋体"/>
                <w:b/>
                <w:bCs/>
                <w:kern w:val="0"/>
                <w:sz w:val="24"/>
              </w:rPr>
            </w:pPr>
          </w:p>
        </w:tc>
        <w:tc>
          <w:tcPr>
            <w:tcW w:w="2795" w:type="dxa"/>
            <w:gridSpan w:val="2"/>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zh-CN"/>
              </w:rPr>
              <w:t>争创“</w:t>
            </w:r>
            <w:r>
              <w:rPr>
                <w:rFonts w:hint="eastAsia" w:ascii="宋体" w:hAnsi="宋体" w:cs="宋体"/>
                <w:kern w:val="0"/>
                <w:sz w:val="24"/>
                <w:lang w:val="zh-CN"/>
              </w:rPr>
              <w:t>省级</w:t>
            </w:r>
            <w:r>
              <w:rPr>
                <w:rFonts w:hint="eastAsia" w:ascii="宋体" w:hAnsi="宋体" w:eastAsia="宋体" w:cs="宋体"/>
                <w:kern w:val="0"/>
                <w:sz w:val="24"/>
                <w:lang w:val="zh-CN"/>
              </w:rPr>
              <w:t>双拥模范城”</w:t>
            </w:r>
          </w:p>
        </w:tc>
        <w:tc>
          <w:tcPr>
            <w:tcW w:w="5110" w:type="dxa"/>
            <w:gridSpan w:val="3"/>
            <w:noWrap w:val="0"/>
            <w:vAlign w:val="center"/>
          </w:tcPr>
          <w:p>
            <w:pPr>
              <w:widowControl/>
              <w:jc w:val="center"/>
              <w:rPr>
                <w:rFonts w:ascii="宋体" w:hAnsi="宋体" w:eastAsia="宋体" w:cs="宋体"/>
                <w:kern w:val="0"/>
                <w:sz w:val="24"/>
              </w:rPr>
            </w:pPr>
            <w:r>
              <w:rPr>
                <w:rFonts w:hint="eastAsia" w:ascii="宋体" w:hAnsi="宋体" w:eastAsia="宋体" w:cs="宋体"/>
                <w:kern w:val="0"/>
                <w:sz w:val="24"/>
              </w:rPr>
              <w:t>开展全国双拥模范城创建氛围营造，让市民更加了解双拥工作，增进全民拥军的主动性，在全社会形成“军爱民、民拥军”的良好氛围。</w:t>
            </w:r>
          </w:p>
        </w:tc>
        <w:tc>
          <w:tcPr>
            <w:tcW w:w="4875" w:type="dxa"/>
            <w:gridSpan w:val="2"/>
            <w:noWrap w:val="0"/>
            <w:vAlign w:val="center"/>
          </w:tcPr>
          <w:p>
            <w:pPr>
              <w:widowControl/>
              <w:jc w:val="center"/>
              <w:rPr>
                <w:rFonts w:ascii="宋体" w:hAnsi="宋体" w:eastAsia="宋体" w:cs="宋体"/>
                <w:kern w:val="0"/>
                <w:sz w:val="24"/>
              </w:rPr>
            </w:pPr>
            <w:r>
              <w:rPr>
                <w:rFonts w:hint="eastAsia" w:ascii="宋体" w:hAnsi="宋体" w:eastAsia="宋体" w:cs="宋体"/>
                <w:kern w:val="0"/>
                <w:sz w:val="24"/>
              </w:rPr>
              <w:t>成功获评“省级双拥模范城”，实现“四连冠”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635" w:type="dxa"/>
            <w:vMerge w:val="continue"/>
            <w:noWrap w:val="0"/>
            <w:vAlign w:val="center"/>
          </w:tcPr>
          <w:p>
            <w:pPr>
              <w:widowControl/>
              <w:jc w:val="left"/>
              <w:rPr>
                <w:rFonts w:ascii="黑体" w:hAnsi="宋体" w:eastAsia="黑体" w:cs="宋体"/>
                <w:b/>
                <w:bCs/>
                <w:kern w:val="0"/>
                <w:sz w:val="24"/>
              </w:rPr>
            </w:pPr>
          </w:p>
        </w:tc>
        <w:tc>
          <w:tcPr>
            <w:tcW w:w="2795" w:type="dxa"/>
            <w:gridSpan w:val="2"/>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促进退役士兵创业就业</w:t>
            </w:r>
          </w:p>
        </w:tc>
        <w:tc>
          <w:tcPr>
            <w:tcW w:w="5110" w:type="dxa"/>
            <w:gridSpan w:val="3"/>
            <w:noWrap w:val="0"/>
            <w:vAlign w:val="center"/>
          </w:tcPr>
          <w:p>
            <w:pPr>
              <w:widowControl/>
              <w:jc w:val="left"/>
              <w:rPr>
                <w:rFonts w:ascii="宋体" w:hAnsi="宋体" w:eastAsia="宋体" w:cs="宋体"/>
                <w:kern w:val="0"/>
                <w:sz w:val="24"/>
              </w:rPr>
            </w:pPr>
            <w:r>
              <w:rPr>
                <w:rFonts w:hint="eastAsia" w:ascii="宋体" w:hAnsi="宋体" w:eastAsia="宋体" w:cs="宋体"/>
                <w:kern w:val="0"/>
                <w:szCs w:val="21"/>
              </w:rPr>
              <w:t>开展退役士兵教育培训，提升退役士兵就业技能，增强退役士兵在市场竞争中的竞争力，为退役士兵就业创业提供支持帮助</w:t>
            </w:r>
          </w:p>
        </w:tc>
        <w:tc>
          <w:tcPr>
            <w:tcW w:w="4875" w:type="dxa"/>
            <w:gridSpan w:val="2"/>
            <w:noWrap w:val="0"/>
            <w:vAlign w:val="center"/>
          </w:tcPr>
          <w:p>
            <w:pPr>
              <w:widowControl/>
              <w:jc w:val="left"/>
              <w:rPr>
                <w:rFonts w:ascii="宋体" w:hAnsi="宋体" w:eastAsia="宋体" w:cs="宋体"/>
                <w:kern w:val="0"/>
                <w:sz w:val="24"/>
              </w:rPr>
            </w:pPr>
            <w:r>
              <w:rPr>
                <w:rFonts w:hint="eastAsia" w:ascii="宋体" w:hAnsi="宋体" w:eastAsia="宋体" w:cs="宋体"/>
                <w:kern w:val="0"/>
                <w:szCs w:val="21"/>
              </w:rPr>
              <w:t>组织自主就业退役士兵技能培训386人、复学282人、报考高职扩招98人，举办各类招聘会11场、提供就业岗位1928个、签订意向协议265人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635" w:type="dxa"/>
            <w:vMerge w:val="continue"/>
            <w:noWrap w:val="0"/>
            <w:vAlign w:val="center"/>
          </w:tcPr>
          <w:p>
            <w:pPr>
              <w:widowControl/>
              <w:jc w:val="left"/>
              <w:rPr>
                <w:rFonts w:ascii="黑体" w:hAnsi="宋体" w:eastAsia="黑体" w:cs="宋体"/>
                <w:b/>
                <w:bCs/>
                <w:kern w:val="0"/>
                <w:sz w:val="24"/>
              </w:rPr>
            </w:pPr>
          </w:p>
        </w:tc>
        <w:tc>
          <w:tcPr>
            <w:tcW w:w="2795" w:type="dxa"/>
            <w:gridSpan w:val="2"/>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保障优抚对象生活质量</w:t>
            </w:r>
            <w:bookmarkStart w:id="0" w:name="_GoBack"/>
            <w:bookmarkEnd w:id="0"/>
          </w:p>
        </w:tc>
        <w:tc>
          <w:tcPr>
            <w:tcW w:w="5110" w:type="dxa"/>
            <w:gridSpan w:val="3"/>
            <w:noWrap w:val="0"/>
            <w:vAlign w:val="center"/>
          </w:tcPr>
          <w:p>
            <w:pPr>
              <w:widowControl/>
              <w:jc w:val="left"/>
              <w:rPr>
                <w:rFonts w:hint="eastAsia" w:ascii="宋体" w:hAnsi="宋体" w:eastAsia="宋体" w:cs="宋体"/>
                <w:kern w:val="0"/>
                <w:sz w:val="24"/>
                <w:lang w:eastAsia="zh-CN"/>
              </w:rPr>
            </w:pPr>
            <w:r>
              <w:rPr>
                <w:rFonts w:hint="eastAsia" w:ascii="宋体" w:hAnsi="宋体" w:cs="宋体"/>
                <w:kern w:val="0"/>
                <w:sz w:val="24"/>
                <w:lang w:eastAsia="zh-CN"/>
              </w:rPr>
              <w:t>及时足额发放优抚对象生活补助、医疗补助等</w:t>
            </w:r>
          </w:p>
        </w:tc>
        <w:tc>
          <w:tcPr>
            <w:tcW w:w="4875" w:type="dxa"/>
            <w:gridSpan w:val="2"/>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及时足额发放</w:t>
            </w:r>
            <w:r>
              <w:rPr>
                <w:rFonts w:hint="eastAsia" w:ascii="宋体" w:hAnsi="宋体" w:eastAsia="宋体" w:cs="宋体"/>
                <w:kern w:val="0"/>
                <w:sz w:val="24"/>
                <w:lang w:val="en-US" w:eastAsia="zh-CN"/>
              </w:rPr>
              <w:t>对309名对象</w:t>
            </w:r>
            <w:r>
              <w:rPr>
                <w:rFonts w:hint="eastAsia" w:ascii="宋体" w:hAnsi="宋体" w:cs="宋体"/>
                <w:kern w:val="0"/>
                <w:sz w:val="24"/>
                <w:lang w:val="en-US" w:eastAsia="zh-CN"/>
              </w:rPr>
              <w:t>的生活补助和医疗补助等</w:t>
            </w:r>
            <w:r>
              <w:rPr>
                <w:rFonts w:hint="eastAsia" w:ascii="宋体" w:hAnsi="宋体" w:eastAsia="宋体" w:cs="宋体"/>
                <w:kern w:val="0"/>
                <w:sz w:val="24"/>
                <w:lang w:val="en-US" w:eastAsia="zh-CN"/>
              </w:rPr>
              <w:t>，切实保障了优抚对象的基本生活，提高了优抚对象生活质量，使得优抚对象感受到了党和政府对其的关心、关怀，提高优抚对象的荣誉感，促进了经济发展和社会和谐。</w:t>
            </w:r>
          </w:p>
          <w:p>
            <w:pPr>
              <w:widowControl/>
              <w:jc w:val="left"/>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1635" w:type="dxa"/>
            <w:noWrap w:val="0"/>
            <w:vAlign w:val="center"/>
          </w:tcPr>
          <w:p>
            <w:pPr>
              <w:widowControl/>
              <w:jc w:val="center"/>
              <w:rPr>
                <w:rFonts w:hint="eastAsia" w:ascii="黑体" w:hAnsi="黑体" w:eastAsia="黑体" w:cs="黑体"/>
                <w:b/>
                <w:bCs/>
                <w:kern w:val="0"/>
                <w:sz w:val="24"/>
              </w:rPr>
            </w:pPr>
            <w:r>
              <w:rPr>
                <w:rFonts w:hint="eastAsia" w:ascii="黑体" w:hAnsi="黑体" w:eastAsia="黑体" w:cs="黑体"/>
                <w:b/>
                <w:bCs/>
                <w:kern w:val="0"/>
                <w:sz w:val="24"/>
              </w:rPr>
              <w:t>服务对象（受益者及相关群体）满意度</w:t>
            </w:r>
          </w:p>
        </w:tc>
        <w:tc>
          <w:tcPr>
            <w:tcW w:w="12780" w:type="dxa"/>
            <w:gridSpan w:val="7"/>
            <w:noWrap w:val="0"/>
            <w:vAlign w:val="center"/>
          </w:tcPr>
          <w:p>
            <w:pPr>
              <w:widowControl/>
              <w:jc w:val="left"/>
              <w:rPr>
                <w:rFonts w:hint="default" w:ascii="宋体" w:hAnsi="宋体" w:eastAsia="宋体" w:cs="宋体"/>
                <w:kern w:val="0"/>
                <w:sz w:val="24"/>
                <w:lang w:val="en-US" w:eastAsia="zh-CN"/>
              </w:rPr>
            </w:pPr>
            <w:r>
              <w:rPr>
                <w:rFonts w:hint="eastAsia" w:ascii="宋体" w:hAnsi="宋体" w:eastAsia="宋体" w:cs="宋体"/>
                <w:kern w:val="0"/>
                <w:sz w:val="24"/>
              </w:rPr>
              <w:t xml:space="preserve">     </w:t>
            </w:r>
            <w:r>
              <w:rPr>
                <w:rFonts w:hint="eastAsia" w:ascii="宋体" w:hAnsi="宋体" w:cs="宋体"/>
                <w:kern w:val="0"/>
                <w:sz w:val="24"/>
                <w:lang w:eastAsia="zh-CN"/>
              </w:rPr>
              <w:t>满意度达</w:t>
            </w:r>
            <w:r>
              <w:rPr>
                <w:rFonts w:hint="eastAsia" w:ascii="宋体" w:hAnsi="宋体" w:cs="宋体"/>
                <w:kern w:val="0"/>
                <w:sz w:val="24"/>
                <w:lang w:val="en-US" w:eastAsia="zh-CN"/>
              </w:rPr>
              <w:t>90%以上</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0B5608"/>
    <w:rsid w:val="119340A6"/>
    <w:rsid w:val="13F54328"/>
    <w:rsid w:val="1D60258D"/>
    <w:rsid w:val="25426294"/>
    <w:rsid w:val="2B9256A1"/>
    <w:rsid w:val="2E95074E"/>
    <w:rsid w:val="312B157F"/>
    <w:rsid w:val="39A63183"/>
    <w:rsid w:val="3C3B4B25"/>
    <w:rsid w:val="448E63AA"/>
    <w:rsid w:val="454701B4"/>
    <w:rsid w:val="5BBD3D46"/>
    <w:rsid w:val="63122F8A"/>
    <w:rsid w:val="674B6959"/>
    <w:rsid w:val="7E890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2020-05-26T10:34:00Z</dcterms:created>
  <dc:creator>Administrator</dc:creator>
  <cp:lastModifiedBy>轩瑀</cp:lastModifiedBy>
  <dcterms:modified xsi:type="dcterms:W3CDTF">2020-05-28T08:25:53Z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