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98" w:lineRule="auto"/>
      </w:pPr>
    </w:p>
    <w:p>
      <w:pPr>
        <w:pStyle w:val="2"/>
        <w:spacing w:line="29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关于加强引进高校毕业生工作的若干意见</w:t>
      </w:r>
    </w:p>
    <w:p>
      <w:pPr>
        <w:pStyle w:val="2"/>
        <w:spacing w:line="29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稿）</w:t>
      </w:r>
    </w:p>
    <w:p>
      <w:pPr>
        <w:pStyle w:val="2"/>
        <w:spacing w:line="29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各县(市、区)人民政府，市政府直属各单位：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省委深化实施人才强省战略，全面加强“三支队伍”建设要求，完善人才服务保障机制，持续加大高校毕业生招引工作，做大人才“蓄水池”,根据市委人才工作领导小组《关于加快新时代人才科技跨越式高质量发展的实施意见》（丽委人〔2022〕2 号）精神，经市政府同意，现就加强引进高校毕业生工作提出如下意见：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一、给予高校毕业生房票补助。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2023年12月20日以后，高校毕业生与市本级企事业单位签订三年以上劳动合同、聘用合同或自主创业，并首次依法</w:t>
      </w:r>
      <w:r>
        <w:rPr>
          <w:rFonts w:hint="default" w:ascii="仿宋_GB2312" w:hAnsi="仿宋_GB2312" w:eastAsia="仿宋_GB2312" w:cs="仿宋_GB2312"/>
          <w:sz w:val="32"/>
          <w:szCs w:val="32"/>
          <w:woUserID w:val="1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企业职工基本养老保险或机关事业基本养老保险的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，五年内在丽水市区(莲都区、丽水</w:t>
      </w:r>
      <w:r>
        <w:rPr>
          <w:rFonts w:hint="default" w:ascii="仿宋_GB2312" w:hAnsi="仿宋_GB2312" w:eastAsia="仿宋_GB2312" w:cs="仿宋_GB2312"/>
          <w:sz w:val="32"/>
          <w:szCs w:val="32"/>
        </w:rPr>
        <w:t>经开区</w:t>
      </w:r>
      <w:r>
        <w:rPr>
          <w:rFonts w:hint="eastAsia" w:ascii="仿宋_GB2312" w:hAnsi="仿宋_GB2312" w:eastAsia="仿宋_GB2312" w:cs="仿宋_GB2312"/>
          <w:sz w:val="32"/>
          <w:szCs w:val="32"/>
        </w:rPr>
        <w:t>)购买首套商品住房，且缴纳社会保险费满1年的，赠送相应的房票。其中</w:t>
      </w:r>
      <w:r>
        <w:rPr>
          <w:rFonts w:hint="default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国内“双一流”高校及海外名校 QS 排名前100 位高校全日制硕士研究生、本科毕业生分别</w:t>
      </w:r>
      <w:r>
        <w:rPr>
          <w:rFonts w:hint="default" w:ascii="仿宋_GB2312" w:hAnsi="仿宋_GB2312" w:eastAsia="仿宋_GB2312" w:cs="仿宋_GB2312"/>
          <w:sz w:val="32"/>
          <w:szCs w:val="32"/>
        </w:rPr>
        <w:t>赠送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万元房票，其他高校全日制硕士研究生、本科毕业生分别</w:t>
      </w:r>
      <w:r>
        <w:rPr>
          <w:rFonts w:hint="default" w:ascii="仿宋_GB2312" w:hAnsi="仿宋_GB2312" w:eastAsia="仿宋_GB2312" w:cs="仿宋_GB2312"/>
          <w:sz w:val="32"/>
          <w:szCs w:val="32"/>
        </w:rPr>
        <w:t>赠送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万元、10 万元房票。对引进的博士研究生，按照丽委人〔2022〕2 号给予60万元房票。引进人才使用房票购买的房产，5年内限制上市交易，未满服务期离职的，应按未满服务期月数退回补助金额。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二、支持企业外出引才。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参加组织、</w:t>
      </w:r>
      <w:r>
        <w:rPr>
          <w:rFonts w:hint="eastAsia" w:ascii="仿宋_GB2312" w:hAnsi="仿宋_GB2312" w:eastAsia="仿宋_GB2312" w:cs="仿宋_GB2312"/>
          <w:sz w:val="32"/>
          <w:szCs w:val="32"/>
        </w:rPr>
        <w:t>人社部门统一组织引才活动的企业，给予交通和食宿补贴。补贴标准为：省内每次1000元、华东地区每次2000元、华东以外地区每次3000元、国(境)外每次2万元。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三、开展典型选树活动。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每年评选5家“引进高校毕业生优秀人力资源服务企业”，给予一次性奖励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万元；每年评选5名“</w:t>
      </w:r>
      <w:r>
        <w:rPr>
          <w:rFonts w:hint="default" w:ascii="仿宋_GB2312" w:hAnsi="仿宋_GB2312" w:eastAsia="仿宋_GB2312" w:cs="仿宋_GB2312"/>
          <w:sz w:val="32"/>
          <w:szCs w:val="32"/>
        </w:rPr>
        <w:t>最美引才大使</w:t>
      </w:r>
      <w:r>
        <w:rPr>
          <w:rFonts w:hint="eastAsia" w:ascii="仿宋_GB2312" w:hAnsi="仿宋_GB2312" w:eastAsia="仿宋_GB2312" w:cs="仿宋_GB2312"/>
          <w:sz w:val="32"/>
          <w:szCs w:val="32"/>
        </w:rPr>
        <w:t>”，给予一次性奖励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本意见所指的高校毕业生，是指全日制普通高等学校专科及以上毕业生，海外取得学历学位证书的，须经教育部留学服务中心认证。本意见所指“自主创业”是指依法创办企业或从事个体经营；“</w:t>
      </w:r>
      <w:r>
        <w:rPr>
          <w:rFonts w:hint="default" w:ascii="仿宋_GB2312" w:hAnsi="仿宋_GB2312" w:eastAsia="仿宋_GB2312" w:cs="仿宋_GB2312"/>
          <w:sz w:val="32"/>
          <w:szCs w:val="32"/>
        </w:rPr>
        <w:t>‘</w:t>
      </w:r>
      <w:r>
        <w:rPr>
          <w:rFonts w:hint="eastAsia" w:ascii="仿宋_GB2312" w:hAnsi="仿宋_GB2312" w:eastAsia="仿宋_GB2312" w:cs="仿宋_GB2312"/>
          <w:sz w:val="32"/>
          <w:szCs w:val="32"/>
        </w:rPr>
        <w:t>双一流’高校及海外名校 QS 排名”以引进人才毕业当年最新名单为准。本意见中享受政策优惠的企业是指依法登记注册且税收贡献</w:t>
      </w:r>
      <w:r>
        <w:rPr>
          <w:rFonts w:hint="default" w:ascii="仿宋_GB2312" w:hAnsi="仿宋_GB2312" w:eastAsia="仿宋_GB2312" w:cs="仿宋_GB2312"/>
          <w:sz w:val="32"/>
          <w:szCs w:val="32"/>
        </w:rPr>
        <w:t>在我市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企业。本意见与其他同类扶持政策有重复交叉的，按照从优、从高的原则执行。市人力社保局应会同市财政局根据本意见制定操作细则。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本意见自2023年12月20日起施行，有效期三年，适用范围为市本级，各县(市</w:t>
      </w:r>
      <w:r>
        <w:rPr>
          <w:rFonts w:hint="default" w:ascii="仿宋_GB2312" w:hAnsi="仿宋_GB2312" w:eastAsia="仿宋_GB2312" w:cs="仿宋_GB2312"/>
          <w:sz w:val="32"/>
          <w:szCs w:val="32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default" w:ascii="仿宋_GB2312" w:hAnsi="仿宋_GB2312" w:eastAsia="仿宋_GB2312" w:cs="仿宋_GB2312"/>
          <w:sz w:val="32"/>
          <w:szCs w:val="32"/>
        </w:rPr>
        <w:t>、丽水经开区</w:t>
      </w:r>
      <w:r>
        <w:rPr>
          <w:rFonts w:hint="eastAsia" w:ascii="仿宋_GB2312" w:hAnsi="仿宋_GB2312" w:eastAsia="仿宋_GB2312" w:cs="仿宋_GB2312"/>
          <w:sz w:val="32"/>
          <w:szCs w:val="32"/>
        </w:rPr>
        <w:t>可参照执行。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汉仪旗黑KW 55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A5B29"/>
    <w:rsid w:val="0231185C"/>
    <w:rsid w:val="055D53FF"/>
    <w:rsid w:val="0EBA5B29"/>
    <w:rsid w:val="15B328E5"/>
    <w:rsid w:val="1B697ECA"/>
    <w:rsid w:val="3C596FBF"/>
    <w:rsid w:val="3D5B823A"/>
    <w:rsid w:val="3EBF213C"/>
    <w:rsid w:val="51F30773"/>
    <w:rsid w:val="52B37C53"/>
    <w:rsid w:val="73E50D14"/>
    <w:rsid w:val="76FB7ABF"/>
    <w:rsid w:val="7AC58721"/>
    <w:rsid w:val="7BF76894"/>
    <w:rsid w:val="7BFCC49F"/>
    <w:rsid w:val="7F6FD484"/>
    <w:rsid w:val="A7FCDFE6"/>
    <w:rsid w:val="BAD737B5"/>
    <w:rsid w:val="BF3F6B76"/>
    <w:rsid w:val="DF3E5D3C"/>
    <w:rsid w:val="EEEFC190"/>
    <w:rsid w:val="FDFBD8CA"/>
    <w:rsid w:val="FE7B89CA"/>
    <w:rsid w:val="FF8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9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2024-02-22T09:37:00Z</dcterms:created>
  <dc:creator>韦玥</dc:creator>
  <cp:lastModifiedBy>韦玥</cp:lastModifiedBy>
  <dcterms:modified xsi:type="dcterms:W3CDTF">2024-03-18T16:03:58Z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8202356433CA47D5BBE21EDAEC794EE8</vt:lpwstr>
  </property>
</Properties>
</file>